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A17FE9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40"/>
        <w:jc w:val="center"/>
        <w:textAlignment w:val="auto"/>
        <w:rPr>
          <w:rFonts w:ascii="仿宋" w:cs="仿宋" w:eastAsia="仿宋" w:hAnsi="仿宋" w:hint="eastAsia"/>
          <w:b/>
          <w:sz w:val="36"/>
          <w:szCs w:val="36"/>
          <w:lang w:val="en-US" w:eastAsia="zh-CN"/>
        </w:rPr>
      </w:pPr>
      <w:r>
        <w:rPr>
          <w:rFonts w:ascii="仿宋" w:cs="仿宋" w:eastAsia="仿宋" w:hAnsi="仿宋" w:hint="eastAsia"/>
          <w:b/>
          <w:sz w:val="36"/>
          <w:szCs w:val="36"/>
          <w:lang w:eastAsia="zh-CN"/>
        </w:rPr>
        <w:t>华容县</w:t>
      </w:r>
      <w:r>
        <w:rPr>
          <w:rFonts w:ascii="仿宋" w:cs="仿宋" w:eastAsia="仿宋" w:hAnsi="仿宋" w:hint="eastAsia"/>
          <w:b/>
          <w:sz w:val="36"/>
          <w:szCs w:val="36"/>
          <w:lang w:val="en-US" w:eastAsia="zh-CN"/>
        </w:rPr>
        <w:t>2026年</w:t>
      </w:r>
      <w:r>
        <w:rPr>
          <w:rFonts w:ascii="仿宋" w:cs="仿宋" w:eastAsia="仿宋" w:hAnsi="仿宋" w:hint="eastAsia"/>
          <w:b/>
          <w:sz w:val="36"/>
          <w:szCs w:val="36"/>
        </w:rPr>
        <w:t>征收农用地区片综合地价</w:t>
      </w:r>
      <w:r>
        <w:rPr>
          <w:rFonts w:ascii="仿宋" w:cs="仿宋" w:eastAsia="仿宋" w:hAnsi="仿宋" w:hint="eastAsia"/>
          <w:b/>
          <w:sz w:val="36"/>
          <w:szCs w:val="36"/>
          <w:lang w:val="en-US" w:eastAsia="zh-CN"/>
        </w:rPr>
        <w:t>调整</w:t>
      </w:r>
    </w:p>
    <w:p w14:paraId="49387FC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40"/>
        <w:jc w:val="center"/>
        <w:textAlignment w:val="auto"/>
        <w:rPr>
          <w:rFonts w:ascii="仿宋" w:cs="仿宋" w:eastAsia="仿宋" w:hAnsi="仿宋" w:hint="eastAsia"/>
          <w:sz w:val="36"/>
          <w:szCs w:val="36"/>
        </w:rPr>
      </w:pPr>
      <w:r>
        <w:rPr>
          <w:rFonts w:ascii="仿宋" w:cs="仿宋" w:eastAsia="仿宋" w:hAnsi="仿宋" w:hint="eastAsia"/>
          <w:b/>
          <w:sz w:val="36"/>
          <w:szCs w:val="36"/>
        </w:rPr>
        <w:t>社会稳定风险评估调查问卷</w:t>
      </w:r>
    </w:p>
    <w:p w14:paraId="2642803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420"/>
        <w:ind w:firstLine="480" w:firstLineChars="200"/>
        <w:textAlignment w:val="auto"/>
        <w:rPr>
          <w:rFonts w:hint="eastAsia"/>
        </w:rPr>
      </w:pPr>
      <w:r>
        <w:rPr>
          <w:rFonts w:ascii="仿宋" w:cs="仿宋" w:eastAsia="仿宋" w:hAnsi="仿宋" w:hint="eastAsia"/>
          <w:sz w:val="24"/>
          <w:szCs w:val="24"/>
          <w:u w:val="none"/>
          <w:lang w:val="en-US" w:eastAsia="zh-CN"/>
        </w:rPr>
        <w:t>为开展社会稳定风险评估工作，我们组织了本次问卷调查，答案没有对错之分，如实回答就是最好的回答。我们保证您的答案仅用于本项目的社会稳定风险分析，不会影响您的个人利害关系。在此表示衷心感谢！</w:t>
      </w:r>
    </w:p>
    <w:tbl>
      <w:tblPr>
        <w:tblStyle w:val="style154"/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1274"/>
        <w:gridCol w:w="2464"/>
        <w:gridCol w:w="336"/>
        <w:gridCol w:w="3060"/>
      </w:tblGrid>
      <w:tr w14:paraId="3EE68BB4">
        <w:trPr>
          <w:trHeight w:val="2258" w:hRule="atLeast"/>
          <w:jc w:val="center"/>
        </w:trPr>
        <w:tc>
          <w:tcPr>
            <w:tcW w:w="9060" w:type="dxa"/>
            <w:gridSpan w:val="5"/>
            <w:tcBorders/>
          </w:tcPr>
          <w:p w14:paraId="77FE4506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400"/>
              <w:ind w:left="0" w:right="0" w:firstLine="482" w:firstLineChars="200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仿宋" w:cs="仿宋" w:eastAsia="仿宋" w:hAnsi="仿宋" w:hint="eastAsia"/>
                <w:b/>
                <w:bCs/>
                <w:sz w:val="24"/>
                <w:szCs w:val="24"/>
                <w:shd w:val="clear" w:color="auto" w:fill="ffffff"/>
                <w:lang w:val="en-US" w:eastAsia="zh-CN"/>
              </w:rPr>
              <w:t>项目背景情况</w:t>
            </w:r>
            <w:r>
              <w:rPr>
                <w:rFonts w:ascii="仿宋" w:cs="仿宋" w:eastAsia="仿宋" w:hAnsi="仿宋" w:hint="eastAsia"/>
                <w:sz w:val="24"/>
                <w:szCs w:val="24"/>
                <w:shd w:val="clear" w:color="auto" w:fill="ffffff"/>
                <w:lang w:val="en-US" w:eastAsia="zh-CN"/>
              </w:rPr>
              <w:t>：依据《中华人民共和国土地管理法》第四十八条以及《关于做好湖南省征收农用地区片综合地价调整的通知》，征收农用地区片综合地价应当至少每三年调整或重新公布一次。为保持征地补偿标准的现势性，使之与当地经济社会发展水平相适应，有效支撑华容县征地补偿安置相关政策的实施，对被征收人给予公平、合理的补偿，维护被征收人的合法权益，保障被征地农民原有生活水平不降低、长远生计有保障，根据有关法律法规相关规定，对华容县2026年征地区片综合地价标准进行调整。本次区片综合地价内涵仅包含土地补偿费和安置补助费两部分，不含青苗、地上建筑物、附着物补偿以及被征地农民社会保障等其他费用。</w:t>
            </w:r>
          </w:p>
        </w:tc>
      </w:tr>
      <w:tr w14:paraId="0289AE8D">
        <w:tblPrEx/>
        <w:trPr>
          <w:trHeight w:val="435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0E83CA43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center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  <w:lang w:eastAsia="zh-CN"/>
              </w:rPr>
              <w:t>华容县</w:t>
            </w:r>
            <w:r>
              <w:rPr>
                <w:rFonts w:ascii="仿宋" w:cs="仿宋" w:eastAsia="仿宋" w:hAnsi="仿宋" w:hint="eastAsia"/>
                <w:kern w:val="0"/>
                <w:sz w:val="24"/>
                <w:lang w:val="en-US" w:eastAsia="zh-CN"/>
              </w:rPr>
              <w:t>2026年</w:t>
            </w:r>
            <w:r>
              <w:rPr>
                <w:rFonts w:ascii="仿宋" w:cs="仿宋" w:eastAsia="仿宋" w:hAnsi="仿宋" w:hint="eastAsia"/>
                <w:kern w:val="0"/>
                <w:sz w:val="24"/>
              </w:rPr>
              <w:t>征地区片综合地价（征地补偿标准）调整方案</w:t>
            </w:r>
          </w:p>
        </w:tc>
      </w:tr>
      <w:tr w14:paraId="14AAD2EA">
        <w:tblPrEx/>
        <w:trPr>
          <w:trHeight w:val="435" w:hRule="atLeast"/>
          <w:jc w:val="center"/>
        </w:trPr>
        <w:tc>
          <w:tcPr>
            <w:tcW w:w="1926" w:type="dxa"/>
            <w:tcBorders/>
            <w:vAlign w:val="center"/>
          </w:tcPr>
          <w:p w14:paraId="15886B12">
            <w:pPr>
              <w:pStyle w:val="style0"/>
              <w:keepNext w:val="false"/>
              <w:keepLines w:val="false"/>
              <w:suppressLineNumbers w:val="false"/>
              <w:spacing w:before="0" w:beforeAutospacing="false" w:after="0" w:afterAutospacing="false"/>
              <w:ind w:left="0" w:right="0"/>
              <w:jc w:val="center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</w:rPr>
              <w:t>级别</w:t>
            </w:r>
          </w:p>
        </w:tc>
        <w:tc>
          <w:tcPr>
            <w:tcW w:w="1274" w:type="dxa"/>
            <w:tcBorders/>
            <w:vAlign w:val="center"/>
          </w:tcPr>
          <w:p w14:paraId="34CF9779">
            <w:pPr>
              <w:pStyle w:val="style0"/>
              <w:keepNext w:val="false"/>
              <w:keepLines w:val="false"/>
              <w:suppressLineNumbers w:val="false"/>
              <w:spacing w:before="0" w:beforeAutospacing="false" w:after="0" w:afterAutospacing="false"/>
              <w:ind w:left="0" w:right="0"/>
              <w:jc w:val="center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</w:rPr>
              <w:t>区域范围</w:t>
            </w:r>
          </w:p>
        </w:tc>
        <w:tc>
          <w:tcPr>
            <w:tcW w:w="2800" w:type="dxa"/>
            <w:gridSpan w:val="2"/>
            <w:tcBorders/>
            <w:vAlign w:val="center"/>
          </w:tcPr>
          <w:p w14:paraId="6BA035A1">
            <w:pPr>
              <w:pStyle w:val="style0"/>
              <w:keepNext w:val="false"/>
              <w:keepLines w:val="false"/>
              <w:suppressLineNumbers w:val="false"/>
              <w:spacing w:before="0" w:beforeAutospacing="false" w:after="0" w:afterAutospacing="false"/>
              <w:ind w:left="0" w:right="0"/>
              <w:jc w:val="center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</w:rPr>
              <w:t>调整后补偿标准（元/亩）</w:t>
            </w:r>
          </w:p>
        </w:tc>
        <w:tc>
          <w:tcPr>
            <w:tcW w:w="3060" w:type="dxa"/>
            <w:tcBorders/>
            <w:vAlign w:val="center"/>
          </w:tcPr>
          <w:p w14:paraId="591782B7">
            <w:pPr>
              <w:pStyle w:val="style0"/>
              <w:keepNext w:val="false"/>
              <w:keepLines w:val="false"/>
              <w:suppressLineNumbers w:val="false"/>
              <w:spacing w:before="0" w:beforeAutospacing="false" w:after="0" w:afterAutospacing="false"/>
              <w:ind w:left="0" w:right="0"/>
              <w:jc w:val="center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</w:rPr>
              <w:t>调整前补偿标准（元/亩）</w:t>
            </w:r>
          </w:p>
        </w:tc>
      </w:tr>
      <w:tr w14:paraId="0C77AA8F">
        <w:tblPrEx/>
        <w:trPr>
          <w:trHeight w:val="435" w:hRule="atLeast"/>
          <w:jc w:val="center"/>
        </w:trPr>
        <w:tc>
          <w:tcPr>
            <w:tcW w:w="1926" w:type="dxa"/>
            <w:tcBorders/>
            <w:vAlign w:val="center"/>
          </w:tcPr>
          <w:p w14:paraId="29F5AF23">
            <w:pPr>
              <w:pStyle w:val="style0"/>
              <w:keepNext w:val="false"/>
              <w:keepLines w:val="false"/>
              <w:suppressLineNumbers w:val="false"/>
              <w:spacing w:before="0" w:beforeAutospacing="false" w:after="0" w:afterAutospacing="false"/>
              <w:ind w:left="0" w:right="0"/>
              <w:jc w:val="center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</w:rPr>
              <w:t>I区</w:t>
            </w:r>
          </w:p>
        </w:tc>
        <w:tc>
          <w:tcPr>
            <w:tcW w:w="1274" w:type="dxa"/>
            <w:tcBorders/>
            <w:vAlign w:val="center"/>
          </w:tcPr>
          <w:p w14:paraId="6A4BC7BA">
            <w:pPr>
              <w:pStyle w:val="style0"/>
              <w:keepNext w:val="false"/>
              <w:keepLines w:val="false"/>
              <w:suppressLineNumbers w:val="false"/>
              <w:spacing w:before="0" w:beforeAutospacing="false" w:after="0" w:afterAutospacing="false"/>
              <w:ind w:left="0" w:right="0"/>
              <w:jc w:val="center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  <w:lang w:eastAsia="zh-CN"/>
              </w:rPr>
              <w:t>华容县</w:t>
            </w:r>
          </w:p>
        </w:tc>
        <w:tc>
          <w:tcPr>
            <w:tcW w:w="2800" w:type="dxa"/>
            <w:gridSpan w:val="2"/>
            <w:tcBorders/>
            <w:vAlign w:val="center"/>
          </w:tcPr>
          <w:p w14:paraId="12288B93">
            <w:pPr>
              <w:pStyle w:val="style0"/>
              <w:keepNext w:val="false"/>
              <w:keepLines w:val="false"/>
              <w:widowControl/>
              <w:suppressLineNumbers w:val="false"/>
              <w:spacing w:before="0" w:beforeAutospacing="false" w:after="0" w:afterAutospacing="false"/>
              <w:ind w:left="0" w:right="0"/>
              <w:jc w:val="center"/>
              <w:textAlignment w:val="center"/>
              <w:rPr>
                <w:rFonts w:ascii="Times New Roman" w:cs="Times New Roman" w:eastAsia="仿宋" w:hAnsi="Times New Roman"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highlight w:val="none"/>
                <w:vertAlign w:val="baseline"/>
                <w:lang w:val="en-US" w:eastAsia="zh-CN"/>
              </w:rPr>
              <w:t>78500</w:t>
            </w:r>
          </w:p>
        </w:tc>
        <w:tc>
          <w:tcPr>
            <w:tcW w:w="3060" w:type="dxa"/>
            <w:tcBorders/>
            <w:vAlign w:val="center"/>
          </w:tcPr>
          <w:p w14:paraId="4DFBB029">
            <w:pPr>
              <w:pStyle w:val="style0"/>
              <w:keepNext w:val="false"/>
              <w:keepLines w:val="false"/>
              <w:widowControl/>
              <w:suppressLineNumbers w:val="false"/>
              <w:spacing w:before="0" w:beforeAutospacing="false" w:after="0" w:afterAutospacing="false"/>
              <w:ind w:left="0" w:leftChars="0" w:right="0" w:rightChars="0"/>
              <w:jc w:val="center"/>
              <w:textAlignment w:val="center"/>
              <w:rPr>
                <w:rFonts w:ascii="Times New Roman" w:cs="Times New Roman" w:eastAsia="仿宋" w:hAnsi="Times New Roman"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highlight w:val="none"/>
                <w:vertAlign w:val="baseline"/>
                <w:lang w:val="en-US" w:eastAsia="zh-CN"/>
              </w:rPr>
              <w:t>78500</w:t>
            </w:r>
          </w:p>
        </w:tc>
      </w:tr>
      <w:tr w14:paraId="27CEA616">
        <w:tblPrEx/>
        <w:trPr>
          <w:trHeight w:val="435" w:hRule="atLeast"/>
          <w:jc w:val="center"/>
        </w:trPr>
        <w:tc>
          <w:tcPr>
            <w:tcW w:w="1926" w:type="dxa"/>
            <w:tcBorders/>
            <w:vAlign w:val="center"/>
          </w:tcPr>
          <w:p w14:paraId="7650FA1D">
            <w:pPr>
              <w:pStyle w:val="style0"/>
              <w:keepNext w:val="false"/>
              <w:keepLines w:val="false"/>
              <w:suppressLineNumbers w:val="false"/>
              <w:spacing w:before="0" w:beforeAutospacing="false" w:after="0" w:afterAutospacing="false"/>
              <w:ind w:left="0" w:right="0"/>
              <w:jc w:val="center"/>
              <w:rPr>
                <w:rFonts w:ascii="仿宋" w:cs="仿宋" w:eastAsia="仿宋" w:hAnsi="仿宋" w:hint="eastAsia"/>
                <w:kern w:val="0"/>
                <w:sz w:val="24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</w:rPr>
              <w:fldChar w:fldCharType="begin"/>
            </w:r>
            <w:r>
              <w:rPr>
                <w:rFonts w:ascii="仿宋" w:cs="仿宋" w:eastAsia="仿宋" w:hAnsi="仿宋" w:hint="eastAsia"/>
                <w:kern w:val="0"/>
                <w:sz w:val="24"/>
              </w:rPr>
              <w:instrText xml:space="preserve"> = 2 \* ROMAN \* MERGEFORMAT </w:instrText>
            </w:r>
            <w:r>
              <w:rPr>
                <w:rFonts w:ascii="仿宋" w:cs="仿宋" w:eastAsia="仿宋" w:hAnsi="仿宋" w:hint="eastAsia"/>
                <w:kern w:val="0"/>
                <w:sz w:val="24"/>
              </w:rPr>
              <w:fldChar w:fldCharType="separate"/>
            </w:r>
            <w:r>
              <w:rPr>
                <w:rFonts w:ascii="仿宋" w:cs="仿宋" w:eastAsia="仿宋" w:hAnsi="仿宋" w:hint="eastAsia"/>
                <w:kern w:val="0"/>
                <w:sz w:val="24"/>
              </w:rPr>
              <w:t>II</w:t>
            </w:r>
            <w:r>
              <w:rPr>
                <w:rFonts w:ascii="仿宋" w:cs="仿宋" w:eastAsia="仿宋" w:hAnsi="仿宋" w:hint="eastAsia"/>
                <w:kern w:val="0"/>
                <w:sz w:val="24"/>
              </w:rPr>
              <w:fldChar w:fldCharType="end"/>
            </w:r>
            <w:r>
              <w:rPr>
                <w:rFonts w:ascii="仿宋" w:cs="仿宋" w:eastAsia="仿宋" w:hAnsi="仿宋" w:hint="eastAsia"/>
                <w:kern w:val="0"/>
                <w:sz w:val="24"/>
              </w:rPr>
              <w:t>区</w:t>
            </w:r>
          </w:p>
        </w:tc>
        <w:tc>
          <w:tcPr>
            <w:tcW w:w="1274" w:type="dxa"/>
            <w:tcBorders/>
            <w:vAlign w:val="center"/>
          </w:tcPr>
          <w:p w14:paraId="41B2EF9A">
            <w:pPr>
              <w:pStyle w:val="style0"/>
              <w:keepNext w:val="false"/>
              <w:keepLines w:val="false"/>
              <w:suppressLineNumbers w:val="false"/>
              <w:spacing w:before="0" w:beforeAutospacing="false" w:after="0" w:afterAutospacing="false"/>
              <w:ind w:left="0" w:right="0"/>
              <w:jc w:val="center"/>
              <w:rPr>
                <w:rFonts w:ascii="Times New Roman" w:cs="Times New Roman" w:eastAsia="仿宋" w:hAnsi="Times New Roman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kern w:val="0"/>
                <w:sz w:val="24"/>
                <w:lang w:eastAsia="zh-CN"/>
              </w:rPr>
              <w:t>华容县</w:t>
            </w:r>
          </w:p>
        </w:tc>
        <w:tc>
          <w:tcPr>
            <w:tcW w:w="2800" w:type="dxa"/>
            <w:gridSpan w:val="2"/>
            <w:tcBorders/>
            <w:vAlign w:val="center"/>
          </w:tcPr>
          <w:p w14:paraId="08D231EA">
            <w:pPr>
              <w:pStyle w:val="style0"/>
              <w:keepNext w:val="false"/>
              <w:keepLines w:val="false"/>
              <w:widowControl/>
              <w:suppressLineNumbers w:val="false"/>
              <w:spacing w:before="0" w:beforeAutospacing="false" w:after="0" w:afterAutospacing="false"/>
              <w:ind w:left="0" w:right="0"/>
              <w:jc w:val="center"/>
              <w:textAlignment w:val="center"/>
              <w:rPr>
                <w:rFonts w:ascii="Times New Roman" w:cs="Times New Roman" w:eastAsia="仿宋" w:hAnsi="Times New Roman"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highlight w:val="none"/>
                <w:vertAlign w:val="baseline"/>
                <w:lang w:val="en-US" w:eastAsia="zh-CN"/>
              </w:rPr>
              <w:t>71000</w:t>
            </w:r>
          </w:p>
        </w:tc>
        <w:tc>
          <w:tcPr>
            <w:tcW w:w="3060" w:type="dxa"/>
            <w:tcBorders/>
            <w:vAlign w:val="center"/>
          </w:tcPr>
          <w:p w14:paraId="5134B97D">
            <w:pPr>
              <w:pStyle w:val="style0"/>
              <w:keepNext w:val="false"/>
              <w:keepLines w:val="false"/>
              <w:widowControl/>
              <w:suppressLineNumbers w:val="false"/>
              <w:spacing w:before="0" w:beforeAutospacing="false" w:after="0" w:afterAutospacing="false"/>
              <w:ind w:left="0" w:leftChars="0" w:right="0" w:rightChars="0"/>
              <w:jc w:val="center"/>
              <w:textAlignment w:val="center"/>
              <w:rPr>
                <w:rFonts w:ascii="Times New Roman" w:cs="Times New Roman" w:eastAsia="仿宋" w:hAnsi="Times New Roman"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highlight w:val="none"/>
                <w:vertAlign w:val="baseline"/>
                <w:lang w:val="en-US" w:eastAsia="zh-CN"/>
              </w:rPr>
              <w:t>71000</w:t>
            </w:r>
          </w:p>
        </w:tc>
      </w:tr>
      <w:tr w14:paraId="1CAC7CF2">
        <w:tblPrEx/>
        <w:trPr>
          <w:trHeight w:val="435" w:hRule="atLeast"/>
          <w:jc w:val="center"/>
        </w:trPr>
        <w:tc>
          <w:tcPr>
            <w:tcW w:w="1926" w:type="dxa"/>
            <w:tcBorders/>
            <w:vAlign w:val="center"/>
          </w:tcPr>
          <w:p w14:paraId="53AA53FC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姓名：</w:t>
            </w:r>
          </w:p>
        </w:tc>
        <w:tc>
          <w:tcPr>
            <w:tcW w:w="1274" w:type="dxa"/>
            <w:tcBorders/>
            <w:vAlign w:val="center"/>
          </w:tcPr>
          <w:p w14:paraId="08396D5B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性别：</w:t>
            </w:r>
          </w:p>
        </w:tc>
        <w:tc>
          <w:tcPr>
            <w:tcW w:w="2800" w:type="dxa"/>
            <w:gridSpan w:val="2"/>
            <w:tcBorders/>
            <w:vAlign w:val="center"/>
          </w:tcPr>
          <w:p w14:paraId="65FFECF1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年龄：</w:t>
            </w:r>
          </w:p>
        </w:tc>
        <w:tc>
          <w:tcPr>
            <w:tcW w:w="3060" w:type="dxa"/>
            <w:tcBorders/>
            <w:vAlign w:val="center"/>
          </w:tcPr>
          <w:p w14:paraId="56D4BA57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联系电话：</w:t>
            </w:r>
          </w:p>
        </w:tc>
      </w:tr>
      <w:tr w14:paraId="0545EE98">
        <w:tblPrEx/>
        <w:trPr>
          <w:trHeight w:val="435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4F9270D3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住址：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 w:eastAsia="zh-CN"/>
              </w:rPr>
              <w:t xml:space="preserve">        区县（市）             镇（街道）           村（社区）</w:t>
            </w:r>
          </w:p>
        </w:tc>
      </w:tr>
      <w:tr w14:paraId="008DE6B9">
        <w:tblPrEx/>
        <w:trPr>
          <w:trHeight w:val="619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72C493DF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1.您的职业: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A.国家机关工作人员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B.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事业单位工作人员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C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企业工作人员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D.个体商户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 E.商业服务业人员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 F.学生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G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农民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H.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自由职业者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I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.待业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J.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退休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K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其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eastAsia="zh-CN"/>
              </w:rPr>
              <w:t>他</w:t>
            </w:r>
          </w:p>
        </w:tc>
      </w:tr>
      <w:tr w14:paraId="331E1840">
        <w:tblPrEx/>
        <w:trPr>
          <w:trHeight w:val="653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6507B973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2.您通过何种渠道了解本次征地区片综合地价调整工作？（可多选）</w:t>
            </w:r>
          </w:p>
          <w:p w14:paraId="0A06E1D6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A.政府正式文件/会议 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B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.政府官网公示 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C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.新闻媒体 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D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.本次调查 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E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.其他</w:t>
            </w:r>
          </w:p>
        </w:tc>
      </w:tr>
      <w:tr w14:paraId="79E6AA77">
        <w:tblPrEx/>
        <w:trPr>
          <w:trHeight w:val="435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24BDF85C">
            <w:pPr>
              <w:pStyle w:val="style0"/>
              <w:keepNext w:val="false"/>
              <w:keepLines w:val="false"/>
              <w:pageBreakBefore w:val="false"/>
              <w:widowControl w:val="false"/>
              <w:numPr>
                <w:ilvl w:val="0"/>
                <w:numId w:val="1"/>
              </w:numPr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您对本次区片地价调整政策的了解程度?</w:t>
            </w:r>
          </w:p>
          <w:p w14:paraId="3CD6E2FC">
            <w:pPr>
              <w:pStyle w:val="style0"/>
              <w:keepNext w:val="false"/>
              <w:keepLines w:val="false"/>
              <w:pageBreakBefore w:val="false"/>
              <w:widowControl w:val="false"/>
              <w:numPr>
                <w:ilvl w:val="0"/>
                <w:numId w:val="0"/>
              </w:numPr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 w:rightChars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A.了解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 B.基本了解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C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不太了解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D.不了解</w:t>
            </w:r>
          </w:p>
        </w:tc>
      </w:tr>
      <w:tr w14:paraId="24F5D515">
        <w:tblPrEx/>
        <w:trPr>
          <w:trHeight w:val="653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4F6DB62F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4.您对本决策事项的态度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: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A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支持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B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基本支持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C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无所谓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D.反对</w:t>
            </w:r>
          </w:p>
          <w:p w14:paraId="00D86F76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如果反对，您的理由是:</w:t>
            </w:r>
          </w:p>
        </w:tc>
      </w:tr>
      <w:tr w14:paraId="3C576EA9">
        <w:tblPrEx/>
        <w:trPr>
          <w:trHeight w:val="694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5B5EE931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5.对于本次征地区片综合地价调整，您最担心哪方面的问题？</w:t>
            </w:r>
          </w:p>
          <w:p w14:paraId="558FF65F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A.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区片边界划分不合理</w:t>
            </w:r>
            <w:bookmarkStart w:id="0" w:name="_GoBack"/>
            <w:bookmarkEnd w:id="0"/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   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B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.区片之间补偿标准差异过大   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C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.政策程序的合法性   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D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.其他：</w:t>
            </w:r>
          </w:p>
        </w:tc>
      </w:tr>
      <w:tr w14:paraId="297CA8C1">
        <w:tblPrEx/>
        <w:trPr>
          <w:trHeight w:val="604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46E74616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.您认为本次调整在实施过程中，哪些方面最容易引发社会稳定风险？（可多选）</w:t>
            </w:r>
          </w:p>
          <w:p w14:paraId="1C469537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A.地价标准不合理  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B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.公众参与度不够  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C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.经济社会影响性 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D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.媒体舆论导向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E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.其他：</w:t>
            </w:r>
          </w:p>
        </w:tc>
      </w:tr>
      <w:tr w14:paraId="6ED0C2AC">
        <w:tblPrEx/>
        <w:trPr>
          <w:trHeight w:val="435" w:hRule="atLeast"/>
          <w:jc w:val="center"/>
        </w:trPr>
        <w:tc>
          <w:tcPr>
            <w:tcW w:w="9060" w:type="dxa"/>
            <w:gridSpan w:val="5"/>
            <w:tcBorders/>
            <w:vAlign w:val="center"/>
          </w:tcPr>
          <w:p w14:paraId="54AA34C7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7.您会采取何种方式和表达解决诉求(可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多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选)A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投诉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B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调解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 xml:space="preserve"> C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lang w:val="en-US" w:eastAsia="zh-CN"/>
              </w:rPr>
              <w:t>.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其他</w:t>
            </w:r>
          </w:p>
        </w:tc>
      </w:tr>
      <w:tr w14:paraId="135C245C">
        <w:tblPrEx/>
        <w:trPr>
          <w:trHeight w:val="1262" w:hRule="atLeast"/>
          <w:jc w:val="center"/>
        </w:trPr>
        <w:tc>
          <w:tcPr>
            <w:tcW w:w="1926" w:type="dxa"/>
            <w:tcBorders/>
            <w:vAlign w:val="center"/>
          </w:tcPr>
          <w:p w14:paraId="5F7CA684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center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8.您对本次</w:t>
            </w:r>
            <w:r>
              <w:rPr>
                <w:rFonts w:ascii="Times New Roman" w:cs="Times New Roman" w:eastAsia="仿宋" w:hAnsi="Times New Roman" w:hint="eastAsia"/>
                <w:sz w:val="24"/>
                <w:szCs w:val="24"/>
                <w:lang w:val="en-US" w:eastAsia="zh-CN"/>
              </w:rPr>
              <w:t>华容县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</w:rPr>
              <w:t>征地区片综合地价补偿标准调整的建议或意见</w:t>
            </w:r>
          </w:p>
        </w:tc>
        <w:tc>
          <w:tcPr>
            <w:tcW w:w="7134" w:type="dxa"/>
            <w:gridSpan w:val="4"/>
            <w:tcBorders/>
            <w:vAlign w:val="center"/>
          </w:tcPr>
          <w:p w14:paraId="00512B33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 w14:paraId="13C97B65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</w:tc>
      </w:tr>
      <w:tr w14:paraId="71C7E723">
        <w:tblPrEx/>
        <w:trPr>
          <w:trHeight w:val="446" w:hRule="atLeast"/>
          <w:jc w:val="center"/>
        </w:trPr>
        <w:tc>
          <w:tcPr>
            <w:tcW w:w="1926" w:type="dxa"/>
            <w:tcBorders/>
            <w:vAlign w:val="center"/>
          </w:tcPr>
          <w:p w14:paraId="3F41F088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center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调查员签名</w:t>
            </w:r>
          </w:p>
        </w:tc>
        <w:tc>
          <w:tcPr>
            <w:tcW w:w="3738" w:type="dxa"/>
            <w:gridSpan w:val="2"/>
            <w:tcBorders/>
            <w:vAlign w:val="center"/>
          </w:tcPr>
          <w:p w14:paraId="35AF81D3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</w:rPr>
            </w:pPr>
          </w:p>
        </w:tc>
        <w:tc>
          <w:tcPr>
            <w:tcW w:w="3396" w:type="dxa"/>
            <w:gridSpan w:val="2"/>
            <w:tcBorders/>
            <w:vAlign w:val="center"/>
          </w:tcPr>
          <w:p w14:paraId="03C909F9">
            <w:pPr>
              <w:pStyle w:val="style0"/>
              <w:keepNext w:val="false"/>
              <w:keepLines w:val="false"/>
              <w:pageBreakBefore w:val="false"/>
              <w:widowControl w:val="false"/>
              <w:suppressLineNumbers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before="0" w:beforeAutospacing="false" w:after="0" w:afterAutospacing="false" w:lineRule="exact" w:line="300"/>
              <w:ind w:left="0" w:right="0" w:firstLine="960" w:firstLineChars="400"/>
              <w:jc w:val="both"/>
              <w:textAlignment w:val="auto"/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月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ascii="Times New Roman" w:cs="Times New Roman" w:eastAsia="仿宋" w:hAnsi="Times New Roman" w:hint="default"/>
                <w:sz w:val="24"/>
                <w:szCs w:val="24"/>
                <w:vertAlign w:val="baseline"/>
                <w:lang w:eastAsia="zh-CN"/>
              </w:rPr>
              <w:t>日</w:t>
            </w:r>
          </w:p>
        </w:tc>
      </w:tr>
    </w:tbl>
    <w:p w14:paraId="73CF0FA5">
      <w:pPr>
        <w:pStyle w:val="style0"/>
        <w:rPr/>
      </w:pPr>
    </w:p>
    <w:sectPr>
      <w:pgSz w:w="11906" w:h="16838" w:orient="portrait"/>
      <w:pgMar w:top="1020" w:right="1800" w:bottom="102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88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E264C5B"/>
    <w:lvl w:ilvl="0">
      <w:start w:val="3"/>
      <w:numFmt w:val="decimal"/>
      <w:lvlText w:val="%1."/>
      <w:lvlJc w:val="left"/>
      <w:pPr>
        <w:tabs>
          <w:tab w:val="left" w:leader="none" w:pos="312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0"/>
    <w:qFormat/>
    <w:uiPriority w:val="0"/>
    <w:pPr>
      <w:keepNext/>
      <w:keepLines/>
      <w:spacing w:before="340" w:beforeAutospacing="false" w:after="330" w:afterAutospacing="false" w:lineRule="auto" w:line="576"/>
      <w:outlineLvl w:val="0"/>
    </w:pPr>
    <w:rPr>
      <w:b/>
      <w:kern w:val="44"/>
      <w:sz w:val="44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7">
    <w:name w:val="Body Text Indent"/>
    <w:basedOn w:val="style0"/>
    <w:next w:val="style67"/>
    <w:qFormat/>
    <w:uiPriority w:val="99"/>
    <w:pPr>
      <w:spacing w:after="120"/>
      <w:ind w:left="420" w:leftChars="200"/>
    </w:pPr>
    <w:rPr/>
  </w:style>
  <w:style w:type="paragraph" w:styleId="style94">
    <w:name w:val="Normal (Web)"/>
    <w:basedOn w:val="style0"/>
    <w:next w:val="style94"/>
    <w:qFormat/>
    <w:uiPriority w:val="0"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/>
    </w:rPr>
  </w:style>
  <w:style w:type="paragraph" w:styleId="style78">
    <w:name w:val="Body Text First Indent 2"/>
    <w:basedOn w:val="style67"/>
    <w:next w:val="style78"/>
    <w:qFormat/>
    <w:uiPriority w:val="99"/>
    <w:pPr>
      <w:ind w:firstLine="420" w:firstLineChars="200"/>
    </w:pPr>
    <w:rPr/>
  </w:style>
  <w:style w:type="table" w:styleId="style154">
    <w:name w:val="Table Grid"/>
    <w:basedOn w:val="style105"/>
    <w:next w:val="style154"/>
    <w:qFormat/>
    <w:uiPriority w:val="0"/>
    <w:pPr>
      <w:keepNext w:val="false"/>
      <w:keepLines w:val="false"/>
      <w:widowControl w:val="false"/>
      <w:suppressLineNumbers w:val="false"/>
      <w:spacing w:before="0" w:beforeAutospacing="false" w:after="0" w:afterAutospacing="false"/>
      <w:ind w:left="0" w:right="0"/>
      <w:jc w:val="both"/>
    </w:pPr>
    <w:rPr>
      <w:rFonts w:ascii="Times New Roman" w:cs="Times New Roman" w:hAnsi="Times New Roman" w:hint="default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Words>905</Words>
  <Pages>1</Pages>
  <Characters>979</Characters>
  <Application>WPS Office</Application>
  <DocSecurity>0</DocSecurity>
  <Paragraphs>57</Paragraphs>
  <ScaleCrop>false</ScaleCrop>
  <LinksUpToDate>false</LinksUpToDate>
  <CharactersWithSpaces>1079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2026-09-10T08:33:00Z</dcterms:created>
  <dc:creator>z Jake</dc:creator>
  <lastModifiedBy>BVL-AN20</lastModifiedBy>
  <lastPrinted>2026-09-10T08:34:00Z</lastPrinted>
  <dcterms:modified xsi:type="dcterms:W3CDTF">2026-09-19T04:24:08Z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A8BC16086A4846158F186E62D8D25AA3_13</vt:lpwstr>
  </property>
  <property fmtid="{D5CDD505-2E9C-101B-9397-08002B2CF9AE}" pid="4" name="KSOTemplateDocerSaveRecord">
    <vt:lpwstr>eyJoZGlkIjoiYzYyMzVmYmQ2MGMwZDc5NmI5Y2I1NzRjMDBlYWM1MGMiLCJ1c2VySWQiOiI2OTg5ODEwMjMifQ==</vt:lpwstr>
  </property>
</Properties>
</file>