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/>
        <w:textAlignment w:val="auto"/>
        <w:rPr>
          <w:rFonts w:hint="eastAsia" w:ascii="黑体" w:hAnsi="黑体" w:eastAsia="黑体" w:cs="黑体"/>
          <w:spacing w:val="-4"/>
          <w:sz w:val="31"/>
          <w:szCs w:val="3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spacing w:val="0"/>
          <w:sz w:val="44"/>
          <w:szCs w:val="4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0"/>
          <w:sz w:val="44"/>
          <w:szCs w:val="44"/>
        </w:rPr>
        <w:t>202</w:t>
      </w:r>
      <w:r>
        <w:rPr>
          <w:rFonts w:hint="eastAsia" w:ascii="微软雅黑" w:hAnsi="微软雅黑" w:eastAsia="微软雅黑" w:cs="微软雅黑"/>
          <w:b w:val="0"/>
          <w:bCs w:val="0"/>
          <w:spacing w:val="0"/>
          <w:sz w:val="44"/>
          <w:szCs w:val="44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b w:val="0"/>
          <w:bCs w:val="0"/>
          <w:spacing w:val="0"/>
          <w:sz w:val="44"/>
          <w:szCs w:val="44"/>
        </w:rPr>
        <w:t>年度部门整体支出绩效</w:t>
      </w:r>
      <w:r>
        <w:rPr>
          <w:rFonts w:hint="eastAsia" w:ascii="微软雅黑" w:hAnsi="微软雅黑" w:eastAsia="微软雅黑" w:cs="微软雅黑"/>
          <w:b w:val="0"/>
          <w:bCs w:val="0"/>
          <w:spacing w:val="0"/>
          <w:sz w:val="44"/>
          <w:szCs w:val="44"/>
          <w:lang w:eastAsia="zh-CN"/>
        </w:rPr>
        <w:t>评</w:t>
      </w:r>
      <w:r>
        <w:rPr>
          <w:rFonts w:hint="eastAsia" w:ascii="微软雅黑" w:hAnsi="微软雅黑" w:eastAsia="微软雅黑" w:cs="微软雅黑"/>
          <w:b w:val="0"/>
          <w:bCs w:val="0"/>
          <w:spacing w:val="0"/>
          <w:sz w:val="44"/>
          <w:szCs w:val="44"/>
        </w:rPr>
        <w:t>价基础数据表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</w:pPr>
    </w:p>
    <w:tbl>
      <w:tblPr>
        <w:tblStyle w:val="14"/>
        <w:tblW w:w="927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19"/>
        <w:gridCol w:w="964"/>
        <w:gridCol w:w="966"/>
        <w:gridCol w:w="985"/>
        <w:gridCol w:w="986"/>
        <w:gridCol w:w="978"/>
        <w:gridCol w:w="97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3419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财政供养人员情况（人）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编制数</w:t>
            </w: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202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年实际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在职人数</w:t>
            </w: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控制率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19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74</w:t>
            </w: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74</w:t>
            </w: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91.82%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经费控制情况（万元）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202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年决算数</w:t>
            </w: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202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年预算数</w:t>
            </w: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202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年决算数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三公经费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：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1、公务用车购置和维护经费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40" w:firstLineChars="4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其中：公车购置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40" w:firstLineChars="4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40" w:firstLineChars="4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40" w:firstLineChars="4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1459" w:firstLineChars="695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公车运行维护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2、出国经费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3、公务接待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4.8</w:t>
            </w: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4.6</w:t>
            </w: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4.6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项目支出：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业务工作经费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1617</w:t>
            </w: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1301.07</w:t>
            </w: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1301.07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XX项目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3、专项资金（每个专项一行）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1264.24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858" w:firstLineChars="409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困难人员供养补助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116.6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858" w:firstLineChars="409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人大政协事务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43.91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858" w:firstLineChars="409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文化旅游及人力资源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18.2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858" w:firstLineChars="409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农村基础设施建设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1085.53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公用经费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185.4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40" w:firstLineChars="4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其中：办公经费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40" w:firstLineChars="4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40" w:firstLineChars="4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40" w:firstLineChars="4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47.1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1478" w:firstLineChars="704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水费、电费、差旅费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1478" w:firstLineChars="704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会议费、培训费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政府采购金额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部门基本支出预算调整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——</w:t>
            </w:r>
          </w:p>
        </w:tc>
        <w:tc>
          <w:tcPr>
            <w:tcW w:w="19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9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  <w:jc w:val="center"/>
        </w:trPr>
        <w:tc>
          <w:tcPr>
            <w:tcW w:w="3419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楼堂馆所控制情况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（2023年完工项目）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批复规模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（㎡）</w:t>
            </w:r>
          </w:p>
        </w:tc>
        <w:tc>
          <w:tcPr>
            <w:tcW w:w="9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实际规模（㎡）</w:t>
            </w:r>
          </w:p>
        </w:tc>
        <w:tc>
          <w:tcPr>
            <w:tcW w:w="9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规模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控制率</w:t>
            </w:r>
          </w:p>
        </w:tc>
        <w:tc>
          <w:tcPr>
            <w:tcW w:w="9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预算投资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（万元）</w:t>
            </w:r>
          </w:p>
        </w:tc>
        <w:tc>
          <w:tcPr>
            <w:tcW w:w="9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实际投资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（万元）</w:t>
            </w:r>
          </w:p>
        </w:tc>
        <w:tc>
          <w:tcPr>
            <w:tcW w:w="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投资概算控制率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19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3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厉行节约保障措施</w:t>
            </w:r>
          </w:p>
        </w:tc>
        <w:tc>
          <w:tcPr>
            <w:tcW w:w="5858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</w:tbl>
    <w:p>
      <w:pPr>
        <w:rPr>
          <w:rFonts w:hint="eastAsia"/>
          <w:lang w:eastAsia="zh-CN"/>
        </w:rPr>
      </w:pPr>
      <w:r>
        <w:rPr>
          <w:rFonts w:hint="eastAsia"/>
        </w:rPr>
        <w:t>说明：“项目支出” 需要填报基本支出以外的所有项目支出情况，“公用经费”填报基本支出</w:t>
      </w:r>
      <w:r>
        <w:rPr>
          <w:rFonts w:hint="eastAsia"/>
          <w:lang w:eastAsia="zh-CN"/>
        </w:rPr>
        <w:t>中的一般商品和服务支出。</w:t>
      </w: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r>
        <w:rPr>
          <w:rFonts w:hint="eastAsia"/>
        </w:rPr>
        <w:t xml:space="preserve">填表人：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填报日期：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 联系电话：</w:t>
      </w:r>
      <w:r>
        <w:rPr>
          <w:rFonts w:hint="eastAsia"/>
          <w:lang w:val="en-US" w:eastAsia="zh-CN"/>
        </w:rPr>
        <w:t xml:space="preserve">         </w:t>
      </w:r>
      <w:r>
        <w:rPr>
          <w:rFonts w:hint="eastAsia"/>
        </w:rPr>
        <w:t xml:space="preserve"> 单位负责人签字：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spacing w:val="-4"/>
          <w:sz w:val="32"/>
          <w:szCs w:val="32"/>
        </w:rPr>
        <w:sectPr>
          <w:footerReference r:id="rId3" w:type="default"/>
          <w:pgSz w:w="11905" w:h="16838"/>
          <w:pgMar w:top="1984" w:right="1701" w:bottom="1984" w:left="1701" w:header="850" w:footer="1587" w:gutter="0"/>
          <w:pgNumType w:fmt="numberInDash" w:start="1"/>
          <w:cols w:space="0" w:num="1"/>
          <w:rtlGutter w:val="0"/>
          <w:docGrid w:type="lines" w:linePitch="314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仿宋_GB2312" w:hAnsi="仿宋_GB2312" w:eastAsia="仿宋_GB2312" w:cs="仿宋_GB2312"/>
          <w:spacing w:val="-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val="en-US" w:eastAsia="zh-CN"/>
        </w:rPr>
        <w:t>3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pStyle w:val="2"/>
      </w:pPr>
    </w:p>
    <w:p/>
    <w:p>
      <w:pPr>
        <w:spacing w:before="223" w:line="218" w:lineRule="auto"/>
        <w:jc w:val="center"/>
        <w:rPr>
          <w:rFonts w:hint="eastAsia" w:ascii="微软雅黑" w:hAnsi="微软雅黑" w:eastAsia="微软雅黑" w:cs="微软雅黑"/>
          <w:b w:val="0"/>
          <w:bCs w:val="0"/>
          <w:sz w:val="48"/>
          <w:szCs w:val="48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-1"/>
          <w:sz w:val="48"/>
          <w:szCs w:val="48"/>
        </w:rPr>
        <w:t>202</w:t>
      </w:r>
      <w:r>
        <w:rPr>
          <w:rFonts w:hint="eastAsia" w:ascii="微软雅黑" w:hAnsi="微软雅黑" w:eastAsia="微软雅黑" w:cs="微软雅黑"/>
          <w:b w:val="0"/>
          <w:bCs w:val="0"/>
          <w:spacing w:val="-1"/>
          <w:sz w:val="48"/>
          <w:szCs w:val="48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b w:val="0"/>
          <w:bCs w:val="0"/>
          <w:spacing w:val="-1"/>
          <w:sz w:val="48"/>
          <w:szCs w:val="48"/>
        </w:rPr>
        <w:t>年度</w:t>
      </w:r>
      <w:r>
        <w:rPr>
          <w:rFonts w:hint="eastAsia" w:ascii="微软雅黑" w:hAnsi="微软雅黑" w:eastAsia="微软雅黑" w:cs="微软雅黑"/>
          <w:b w:val="0"/>
          <w:bCs w:val="0"/>
          <w:spacing w:val="-1"/>
          <w:sz w:val="48"/>
          <w:szCs w:val="48"/>
          <w:lang w:val="en-US" w:eastAsia="zh-CN"/>
        </w:rPr>
        <w:t>新河乡</w:t>
      </w:r>
      <w:r>
        <w:rPr>
          <w:rFonts w:hint="eastAsia" w:ascii="微软雅黑" w:hAnsi="微软雅黑" w:eastAsia="微软雅黑" w:cs="微软雅黑"/>
          <w:b w:val="0"/>
          <w:bCs w:val="0"/>
          <w:spacing w:val="-1"/>
          <w:sz w:val="48"/>
          <w:szCs w:val="48"/>
          <w:lang w:eastAsia="zh-CN"/>
        </w:rPr>
        <w:t>人民政府</w:t>
      </w:r>
      <w:r>
        <w:rPr>
          <w:rFonts w:hint="eastAsia" w:ascii="微软雅黑" w:hAnsi="微软雅黑" w:eastAsia="微软雅黑" w:cs="微软雅黑"/>
          <w:b w:val="0"/>
          <w:bCs w:val="0"/>
          <w:spacing w:val="-1"/>
          <w:sz w:val="48"/>
          <w:szCs w:val="48"/>
        </w:rPr>
        <w:t>整体支出</w:t>
      </w:r>
    </w:p>
    <w:p>
      <w:pPr>
        <w:spacing w:before="223" w:line="218" w:lineRule="auto"/>
        <w:jc w:val="center"/>
        <w:rPr>
          <w:rFonts w:hint="eastAsia" w:ascii="微软雅黑" w:hAnsi="微软雅黑" w:eastAsia="微软雅黑" w:cs="微软雅黑"/>
          <w:b w:val="0"/>
          <w:bCs w:val="0"/>
          <w:spacing w:val="-1"/>
          <w:sz w:val="48"/>
          <w:szCs w:val="48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-1"/>
          <w:sz w:val="48"/>
          <w:szCs w:val="48"/>
        </w:rPr>
        <w:t>绩效自评报告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pStyle w:val="2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221" w:lineRule="auto"/>
        <w:ind w:firstLine="60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>部门（单位）名称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u w:val="single" w:color="auto"/>
          <w:lang w:val="en-US" w:eastAsia="zh-CN"/>
        </w:rPr>
        <w:t>新河乡人民政府</w:t>
      </w:r>
    </w:p>
    <w:p>
      <w:pPr>
        <w:spacing w:before="228" w:line="222" w:lineRule="auto"/>
        <w:ind w:firstLine="3344" w:firstLineChars="11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spacing w:val="-8"/>
          <w:sz w:val="32"/>
          <w:szCs w:val="32"/>
          <w:lang w:val="en-US" w:eastAsia="zh-CN"/>
        </w:rPr>
        <w:t>2026</w:t>
      </w:r>
      <w:r>
        <w:rPr>
          <w:rFonts w:hint="eastAsia" w:ascii="楷体" w:hAnsi="楷体" w:eastAsia="楷体" w:cs="楷体"/>
          <w:spacing w:val="-8"/>
          <w:sz w:val="32"/>
          <w:szCs w:val="32"/>
        </w:rPr>
        <w:t>年</w:t>
      </w:r>
      <w:r>
        <w:rPr>
          <w:rFonts w:hint="eastAsia" w:ascii="楷体" w:hAnsi="楷体" w:eastAsia="楷体" w:cs="楷体"/>
          <w:spacing w:val="21"/>
          <w:sz w:val="32"/>
          <w:szCs w:val="32"/>
          <w:lang w:val="en-US" w:eastAsia="zh-CN"/>
        </w:rPr>
        <w:t>5</w:t>
      </w:r>
      <w:r>
        <w:rPr>
          <w:rFonts w:hint="eastAsia" w:ascii="楷体" w:hAnsi="楷体" w:eastAsia="楷体" w:cs="楷体"/>
          <w:spacing w:val="-8"/>
          <w:sz w:val="32"/>
          <w:szCs w:val="32"/>
        </w:rPr>
        <w:t>月</w:t>
      </w:r>
      <w:r>
        <w:rPr>
          <w:rFonts w:hint="eastAsia" w:ascii="楷体" w:hAnsi="楷体" w:eastAsia="楷体" w:cs="楷体"/>
          <w:spacing w:val="43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日</w:t>
      </w:r>
    </w:p>
    <w:p>
      <w:pPr>
        <w:spacing w:line="335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4"/>
        <w:spacing w:before="102" w:line="224" w:lineRule="auto"/>
        <w:ind w:left="321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（此页为封面）</w:t>
      </w:r>
    </w:p>
    <w:p>
      <w:pPr>
        <w:pStyle w:val="2"/>
        <w:sectPr>
          <w:footerReference r:id="rId4" w:type="default"/>
          <w:pgSz w:w="11905" w:h="16838"/>
          <w:pgMar w:top="1984" w:right="1701" w:bottom="1984" w:left="1701" w:header="850" w:footer="1587" w:gutter="0"/>
          <w:pgNumType w:fmt="numberInDash" w:start="1"/>
          <w:cols w:space="0" w:num="1"/>
          <w:rtlGutter w:val="0"/>
          <w:docGrid w:type="lines" w:linePitch="314" w:charSpace="0"/>
        </w:sectPr>
      </w:pP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0" w:firstLineChars="0"/>
        <w:jc w:val="center"/>
        <w:textAlignment w:val="auto"/>
        <w:rPr>
          <w:rFonts w:hint="eastAsia" w:ascii="微软雅黑" w:hAnsi="微软雅黑" w:eastAsia="微软雅黑" w:cs="微软雅黑"/>
          <w:spacing w:val="6"/>
          <w:sz w:val="44"/>
          <w:szCs w:val="44"/>
        </w:rPr>
      </w:pP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pacing w:val="6"/>
          <w:sz w:val="44"/>
          <w:szCs w:val="44"/>
        </w:rPr>
        <w:t>202</w:t>
      </w:r>
      <w:r>
        <w:rPr>
          <w:rFonts w:hint="eastAsia" w:ascii="微软雅黑" w:hAnsi="微软雅黑" w:eastAsia="微软雅黑" w:cs="微软雅黑"/>
          <w:spacing w:val="6"/>
          <w:sz w:val="44"/>
          <w:szCs w:val="44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spacing w:val="7"/>
          <w:sz w:val="44"/>
          <w:szCs w:val="44"/>
        </w:rPr>
        <w:t>年度</w:t>
      </w:r>
      <w:r>
        <w:rPr>
          <w:rFonts w:hint="eastAsia" w:ascii="微软雅黑" w:hAnsi="微软雅黑" w:eastAsia="微软雅黑" w:cs="微软雅黑"/>
          <w:spacing w:val="7"/>
          <w:sz w:val="44"/>
          <w:szCs w:val="44"/>
          <w:lang w:val="en-US" w:eastAsia="zh-CN"/>
        </w:rPr>
        <w:t>新河乡</w:t>
      </w:r>
      <w:r>
        <w:rPr>
          <w:rFonts w:hint="eastAsia" w:ascii="微软雅黑" w:hAnsi="微软雅黑" w:eastAsia="微软雅黑" w:cs="微软雅黑"/>
          <w:spacing w:val="7"/>
          <w:sz w:val="44"/>
          <w:szCs w:val="44"/>
          <w:lang w:eastAsia="zh-CN"/>
        </w:rPr>
        <w:t>人民政府</w:t>
      </w:r>
      <w:r>
        <w:rPr>
          <w:rFonts w:hint="eastAsia" w:ascii="微软雅黑" w:hAnsi="微软雅黑" w:eastAsia="微软雅黑" w:cs="微软雅黑"/>
          <w:spacing w:val="7"/>
          <w:sz w:val="44"/>
          <w:szCs w:val="44"/>
        </w:rPr>
        <w:t>部</w:t>
      </w:r>
      <w:r>
        <w:rPr>
          <w:rFonts w:hint="eastAsia" w:ascii="微软雅黑" w:hAnsi="微软雅黑" w:eastAsia="微软雅黑" w:cs="微软雅黑"/>
          <w:spacing w:val="6"/>
          <w:sz w:val="44"/>
          <w:szCs w:val="44"/>
        </w:rPr>
        <w:t>门整体支出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pacing w:val="7"/>
          <w:sz w:val="44"/>
          <w:szCs w:val="44"/>
        </w:rPr>
        <w:t>绩效自评报告</w:t>
      </w:r>
    </w:p>
    <w:p>
      <w:pPr>
        <w:spacing w:line="283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pStyle w:val="2"/>
      </w:pPr>
    </w:p>
    <w:p>
      <w:pPr>
        <w:numPr>
          <w:ilvl w:val="0"/>
          <w:numId w:val="1"/>
        </w:numPr>
        <w:spacing w:before="101" w:line="228" w:lineRule="auto"/>
        <w:ind w:left="630" w:leftChars="0" w:firstLineChars="0"/>
        <w:rPr>
          <w:rFonts w:hint="eastAsia" w:ascii="黑体" w:hAnsi="黑体" w:eastAsia="黑体" w:cs="黑体"/>
          <w:spacing w:val="5"/>
          <w:sz w:val="32"/>
          <w:szCs w:val="32"/>
        </w:rPr>
      </w:pPr>
      <w:r>
        <w:rPr>
          <w:rFonts w:hint="eastAsia" w:ascii="黑体" w:hAnsi="黑体" w:eastAsia="黑体" w:cs="黑体"/>
          <w:spacing w:val="5"/>
          <w:sz w:val="32"/>
          <w:szCs w:val="32"/>
        </w:rPr>
        <w:t>部门基本情况</w:t>
      </w:r>
    </w:p>
    <w:p>
      <w:pPr>
        <w:widowControl/>
        <w:spacing w:line="61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单位为财政全额预算拨款单位，核定人员编制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74</w:t>
      </w:r>
      <w:r>
        <w:rPr>
          <w:rFonts w:hint="eastAsia" w:eastAsia="仿宋_GB2312"/>
          <w:color w:val="000000"/>
          <w:sz w:val="32"/>
          <w:szCs w:val="32"/>
        </w:rPr>
        <w:t>人，实有人数为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73</w:t>
      </w:r>
      <w:r>
        <w:rPr>
          <w:rFonts w:hint="eastAsia" w:eastAsia="仿宋_GB2312"/>
          <w:color w:val="000000"/>
          <w:sz w:val="32"/>
          <w:szCs w:val="32"/>
        </w:rPr>
        <w:t>人。</w:t>
      </w:r>
    </w:p>
    <w:p>
      <w:pPr>
        <w:widowControl/>
        <w:spacing w:line="61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1、</w:t>
      </w:r>
      <w:r>
        <w:rPr>
          <w:rFonts w:hint="eastAsia" w:eastAsia="仿宋_GB2312"/>
          <w:sz w:val="32"/>
          <w:szCs w:val="32"/>
        </w:rPr>
        <w:t>职责职能：</w:t>
      </w:r>
    </w:p>
    <w:p>
      <w:pPr>
        <w:pStyle w:val="13"/>
        <w:widowControl/>
        <w:spacing w:line="610" w:lineRule="exact"/>
        <w:ind w:firstLine="640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人民政府：全民贯彻落实党和国家在农村的各项方针政策和法律法规，加强基层组织建设，完善党对农村工作的领导，紧紧围绕促进经济发展、增加农民收入，强化公共服务、着力改善民生，加强社会管理、维护农村稳定，推进基层民主、促进农村和谐四个方面履职。</w:t>
      </w:r>
    </w:p>
    <w:p>
      <w:pPr>
        <w:pStyle w:val="13"/>
        <w:widowControl/>
        <w:spacing w:line="610" w:lineRule="exact"/>
        <w:ind w:firstLine="640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财政所：负责贯彻执行有关财政、预算、财务、会计等方面的法律法规和政策；编制本镇财政预决算、管理和监督全镇各项财政收支，资金调度和拨款；指导全镇的会计工作，加强对农村财务工作的指导和监督；加强对国家专项资金的监督、将惠民政策落到实处；完成上级财政和乡镇安排的其他工作。</w:t>
      </w:r>
    </w:p>
    <w:p>
      <w:pPr>
        <w:pStyle w:val="13"/>
        <w:widowControl/>
        <w:spacing w:line="610" w:lineRule="exact"/>
        <w:ind w:firstLine="640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镇农业综合服务中心：负责种植业、养殖业、林业、水产业、农业机械新技术的引进、试验示范、培训推广、技术服务和农业林业病虫害预测预报及防治指导工作；负责国家强制免疫的动物疫病免疫接种以及相关工作；负责农产品质量安全检测监督服务工作；承办农村经济统计、农民专业合作组织管理等工作。</w:t>
      </w:r>
    </w:p>
    <w:p>
      <w:pPr>
        <w:pStyle w:val="13"/>
        <w:widowControl/>
        <w:spacing w:line="610" w:lineRule="exact"/>
        <w:ind w:firstLine="640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镇社会事业综合服务中心：协助社会事务办公室的工作，具体承办科技、教育体育、文化旅游广电、卫生健康与计划生育、人力资源和社会保障、民政、社区建设、医疗保障、住房和城乡建设、村镇规划、村镇建设、住房保障、交通运输、生态环境保护、残疾人事业、慈善等方面的公益服务性、技术性工作。</w:t>
      </w:r>
    </w:p>
    <w:p>
      <w:pPr>
        <w:pStyle w:val="13"/>
        <w:widowControl/>
        <w:spacing w:line="610" w:lineRule="exact"/>
        <w:ind w:firstLine="640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镇退役军人服务站：负责退役军人就业创业、优抚帮扶、权益保障、数据信息采集、走访慰问等事务性工作。</w:t>
      </w:r>
    </w:p>
    <w:p>
      <w:pPr>
        <w:pStyle w:val="13"/>
        <w:widowControl/>
        <w:spacing w:line="610" w:lineRule="exact"/>
        <w:ind w:firstLine="640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镇综合行政执法大队：负责本辖区内综合行政执法工作；依法依规相对集中行使乡村集镇管理、住房建设、自然资源、生态环境保护、市场监管、交通运输、应急管理、安全生产、农业农村、文化旅游等方面的行政执法权；负责执法信息报送；配合县级执法部门开展联合执法、专业执法，负责日常巡查、综合检查、接受投诉举报、协助调查取证等工作。</w:t>
      </w:r>
    </w:p>
    <w:p>
      <w:pPr>
        <w:pStyle w:val="13"/>
        <w:widowControl/>
        <w:spacing w:line="610" w:lineRule="exact"/>
        <w:ind w:firstLine="640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水利管理服务站：负责宣传防汛、水土保持、水资源等法律法规的宣传；负责农田水利规划、堤防建设与管理及防汛救灾工作；辖区内农村供水工程的规划、质量监督和安全运营；乡镇党委政府及其他业务部门安排的其他事项。</w:t>
      </w:r>
    </w:p>
    <w:p>
      <w:pPr>
        <w:pStyle w:val="13"/>
        <w:widowControl/>
        <w:spacing w:line="610" w:lineRule="exact"/>
        <w:ind w:firstLine="640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2、机构设置：</w:t>
      </w:r>
    </w:p>
    <w:p>
      <w:pPr>
        <w:pStyle w:val="13"/>
        <w:widowControl/>
        <w:spacing w:line="610" w:lineRule="exact"/>
        <w:ind w:firstLine="640"/>
        <w:rPr>
          <w:rFonts w:hint="eastAsi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乡政府机关、乡财政所、乡农业综合服务中心、乡社会事业综合服务中心、乡退役军人服务站、乡综合行政执法大队、乡水利服务站。</w:t>
      </w:r>
    </w:p>
    <w:p>
      <w:pPr>
        <w:spacing w:before="216" w:line="226" w:lineRule="auto"/>
        <w:ind w:left="648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2"/>
          <w:sz w:val="32"/>
          <w:szCs w:val="32"/>
        </w:rPr>
        <w:t>二、一般公共预算支出情况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（一）基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本支出情况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1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eastAsia="仿宋_GB2312" w:cs="Times New Roman"/>
          <w:color w:val="000000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年基本支出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1264.24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万元，其中：人员经费支出1368.10万元，占基本支出的79.23%，公用经费支出358.7</w:t>
      </w:r>
      <w:r>
        <w:rPr>
          <w:rFonts w:hint="eastAsia" w:eastAsia="仿宋_GB2312" w:cs="Times New Roman"/>
          <w:color w:val="000000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万元，占基本支出的20.77%。单位厉行节约，保障了机构人员工资、社保和福利的及时发放，保障了机构的正常运转。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目支出情况</w:t>
      </w:r>
    </w:p>
    <w:p>
      <w:pPr>
        <w:widowControl/>
        <w:spacing w:line="610" w:lineRule="exact"/>
        <w:ind w:firstLine="640" w:firstLineChars="200"/>
        <w:rPr>
          <w:rFonts w:hint="eastAsia"/>
        </w:rPr>
      </w:pPr>
      <w:r>
        <w:rPr>
          <w:rFonts w:hint="eastAsia" w:eastAsia="仿宋_GB2312"/>
          <w:color w:val="000000"/>
          <w:sz w:val="32"/>
          <w:szCs w:val="32"/>
        </w:rPr>
        <w:t>项目支出1301.07万元，涉及一般公共预算项目支出1199.07万元，政府性基金预算项目支出102万元，国有资本经营预算项目支出0万元。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主要用于发展农业经济，推动社会各项事业，促进经济社会协调发展，提升乡村社会文化发展，巩固农村环境整治成果，巩固精准扶贫成果，推进乡村振兴等。主要目标：保障镇政府的基本运转，不断提升镇政府服务水平；促进经济、社会和文化发展；加强农村建设，建设美丽、宜居新镇等。202</w:t>
      </w:r>
      <w:r>
        <w:rPr>
          <w:rFonts w:hint="eastAsia" w:eastAsia="仿宋_GB2312" w:cs="Times New Roman"/>
          <w:color w:val="000000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年度项目绩效目标完成情况较好。</w:t>
      </w:r>
    </w:p>
    <w:p>
      <w:pPr>
        <w:numPr>
          <w:ilvl w:val="0"/>
          <w:numId w:val="1"/>
        </w:numPr>
        <w:spacing w:before="224" w:line="227" w:lineRule="auto"/>
        <w:ind w:left="630" w:leftChars="0" w:firstLine="0" w:firstLineChars="0"/>
        <w:rPr>
          <w:rFonts w:hint="eastAsia" w:ascii="黑体" w:hAnsi="黑体" w:eastAsia="黑体" w:cs="黑体"/>
          <w:spacing w:val="8"/>
          <w:sz w:val="32"/>
          <w:szCs w:val="32"/>
        </w:rPr>
      </w:pPr>
      <w:r>
        <w:rPr>
          <w:rFonts w:hint="eastAsia" w:ascii="黑体" w:hAnsi="黑体" w:eastAsia="黑体" w:cs="黑体"/>
          <w:spacing w:val="8"/>
          <w:sz w:val="32"/>
          <w:szCs w:val="32"/>
        </w:rPr>
        <w:t>政府性基金预算支出情况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10" w:lineRule="exact"/>
        <w:ind w:firstLine="640" w:firstLineChars="200"/>
        <w:textAlignment w:val="auto"/>
        <w:rPr>
          <w:rFonts w:hint="eastAsi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eastAsia="仿宋_GB2312" w:cs="Times New Roman"/>
          <w:color w:val="000000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年政府性基金预算收入</w:t>
      </w:r>
      <w:r>
        <w:rPr>
          <w:rFonts w:hint="eastAsia" w:eastAsia="仿宋_GB2312" w:cs="Times New Roman"/>
          <w:color w:val="000000"/>
          <w:kern w:val="2"/>
          <w:sz w:val="32"/>
          <w:szCs w:val="32"/>
          <w:lang w:val="en-US" w:eastAsia="zh-CN" w:bidi="ar-SA"/>
        </w:rPr>
        <w:t>102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万元，支出</w:t>
      </w:r>
      <w:r>
        <w:rPr>
          <w:rFonts w:hint="eastAsia" w:eastAsia="仿宋_GB2312" w:cs="Times New Roman"/>
          <w:color w:val="000000"/>
          <w:kern w:val="2"/>
          <w:sz w:val="32"/>
          <w:szCs w:val="32"/>
          <w:lang w:val="en-US" w:eastAsia="zh-CN" w:bidi="ar-SA"/>
        </w:rPr>
        <w:t>102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万元，政府性基金预算实现收支平衡。具体收支及结转金额待决算完成后报告。</w:t>
      </w:r>
    </w:p>
    <w:p>
      <w:pPr>
        <w:pStyle w:val="2"/>
        <w:numPr>
          <w:ilvl w:val="0"/>
          <w:numId w:val="0"/>
        </w:numPr>
        <w:ind w:left="648" w:leftChars="0"/>
        <w:rPr>
          <w:rFonts w:hint="eastAsia"/>
        </w:rPr>
      </w:pPr>
    </w:p>
    <w:p>
      <w:pPr>
        <w:numPr>
          <w:ilvl w:val="0"/>
          <w:numId w:val="1"/>
        </w:numPr>
        <w:spacing w:before="219" w:line="600" w:lineRule="exact"/>
        <w:ind w:left="630" w:leftChars="0" w:firstLine="0" w:firstLineChars="0"/>
        <w:rPr>
          <w:rFonts w:hint="eastAsia" w:ascii="黑体" w:hAnsi="黑体" w:eastAsia="黑体" w:cs="黑体"/>
          <w:spacing w:val="7"/>
          <w:position w:val="21"/>
          <w:sz w:val="32"/>
          <w:szCs w:val="32"/>
        </w:rPr>
      </w:pPr>
      <w:r>
        <w:rPr>
          <w:rFonts w:hint="eastAsia" w:ascii="黑体" w:hAnsi="黑体" w:eastAsia="黑体" w:cs="黑体"/>
          <w:spacing w:val="7"/>
          <w:position w:val="21"/>
          <w:sz w:val="32"/>
          <w:szCs w:val="32"/>
        </w:rPr>
        <w:t>国有资本经营预算支出情况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10" w:lineRule="exact"/>
        <w:ind w:firstLine="640" w:firstLineChars="200"/>
        <w:textAlignment w:val="auto"/>
        <w:rPr>
          <w:rFonts w:hint="eastAsi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eastAsia="仿宋_GB2312" w:cs="Times New Roman"/>
          <w:color w:val="000000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年国有资本经营收入0万元，支出0亿元。</w:t>
      </w:r>
    </w:p>
    <w:p>
      <w:pPr>
        <w:pStyle w:val="2"/>
        <w:numPr>
          <w:ilvl w:val="0"/>
          <w:numId w:val="0"/>
        </w:numPr>
        <w:ind w:left="630" w:leftChars="0"/>
        <w:rPr>
          <w:rFonts w:hint="eastAsia"/>
        </w:rPr>
      </w:pPr>
    </w:p>
    <w:p>
      <w:pPr>
        <w:numPr>
          <w:ilvl w:val="0"/>
          <w:numId w:val="1"/>
        </w:numPr>
        <w:spacing w:line="227" w:lineRule="auto"/>
        <w:ind w:left="630" w:leftChars="0" w:firstLine="0" w:firstLineChars="0"/>
        <w:rPr>
          <w:rFonts w:hint="eastAsia" w:ascii="黑体" w:hAnsi="黑体" w:eastAsia="黑体" w:cs="黑体"/>
          <w:spacing w:val="8"/>
          <w:sz w:val="32"/>
          <w:szCs w:val="32"/>
        </w:rPr>
      </w:pPr>
      <w:r>
        <w:rPr>
          <w:rFonts w:hint="eastAsia" w:ascii="黑体" w:hAnsi="黑体" w:eastAsia="黑体" w:cs="黑体"/>
          <w:spacing w:val="8"/>
          <w:sz w:val="32"/>
          <w:szCs w:val="32"/>
        </w:rPr>
        <w:t>社会保险基金预算支出情况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无相关情况说明</w:t>
      </w:r>
    </w:p>
    <w:p>
      <w:pPr>
        <w:spacing w:before="219" w:line="226" w:lineRule="auto"/>
        <w:ind w:left="653"/>
        <w:rPr>
          <w:rFonts w:hint="eastAsia" w:ascii="黑体" w:hAnsi="黑体" w:eastAsia="黑体" w:cs="黑体"/>
          <w:spacing w:val="8"/>
          <w:sz w:val="32"/>
          <w:szCs w:val="32"/>
        </w:rPr>
      </w:pPr>
      <w:r>
        <w:rPr>
          <w:rFonts w:hint="eastAsia" w:ascii="黑体" w:hAnsi="黑体" w:eastAsia="黑体" w:cs="黑体"/>
          <w:spacing w:val="8"/>
          <w:sz w:val="32"/>
          <w:szCs w:val="32"/>
        </w:rPr>
        <w:t>六、部门整体支出</w:t>
      </w:r>
      <w:r>
        <w:rPr>
          <w:rFonts w:hint="eastAsia" w:ascii="黑体" w:hAnsi="黑体" w:eastAsia="黑体" w:cs="黑体"/>
          <w:color w:val="auto"/>
          <w:spacing w:val="8"/>
          <w:sz w:val="32"/>
          <w:szCs w:val="32"/>
        </w:rPr>
        <w:t>绩效情况</w:t>
      </w:r>
    </w:p>
    <w:p>
      <w:pPr>
        <w:widowControl/>
        <w:spacing w:line="61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202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eastAsia="仿宋_GB2312"/>
          <w:color w:val="000000"/>
          <w:sz w:val="32"/>
          <w:szCs w:val="32"/>
        </w:rPr>
        <w:t>年，根据年初工作规划和重点工作，围绕县委、县政府的工作部署，积极履行职责，强化管理，较好地完成了年度工作目标，同时加强预算收支的管理，建立健全内部管理制度，严格内部管理流程，部门整体支出管理得到了提升。202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eastAsia="仿宋_GB2312"/>
          <w:color w:val="000000"/>
          <w:sz w:val="32"/>
          <w:szCs w:val="32"/>
        </w:rPr>
        <w:t>年度部门整体支出绩效情况如下：</w:t>
      </w:r>
    </w:p>
    <w:p>
      <w:pPr>
        <w:widowControl/>
        <w:spacing w:line="61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1.</w:t>
      </w:r>
      <w:r>
        <w:rPr>
          <w:rFonts w:hint="eastAsia" w:eastAsia="仿宋_GB2312"/>
          <w:sz w:val="32"/>
          <w:szCs w:val="32"/>
        </w:rPr>
        <w:t>严格预算支出管理。严控行政经费，压缩一般性支出，严格控制“三公”经费，资产的配置严格政府采购，保障机构运行成本。</w:t>
      </w:r>
    </w:p>
    <w:p>
      <w:pPr>
        <w:widowControl/>
        <w:spacing w:line="61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2.</w:t>
      </w:r>
      <w:r>
        <w:rPr>
          <w:rFonts w:hint="eastAsia" w:eastAsia="仿宋_GB2312"/>
          <w:sz w:val="32"/>
          <w:szCs w:val="32"/>
        </w:rPr>
        <w:t>完善财务控制管理。按照国家相关法律法规，制定完善了单位内部控制制度，并严格按照制度管理和执行，防范风险，保证机构运行管理效率。</w:t>
      </w:r>
    </w:p>
    <w:p>
      <w:pPr>
        <w:widowControl/>
        <w:spacing w:line="61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通过对202</w:t>
      </w:r>
      <w:r>
        <w:rPr>
          <w:rFonts w:hint="eastAsia" w:eastAsia="仿宋_GB2312"/>
          <w:sz w:val="32"/>
          <w:szCs w:val="32"/>
          <w:lang w:val="en-US" w:eastAsia="zh-CN"/>
        </w:rPr>
        <w:t>5</w:t>
      </w:r>
      <w:r>
        <w:rPr>
          <w:rFonts w:hint="eastAsia" w:eastAsia="仿宋_GB2312"/>
          <w:sz w:val="32"/>
          <w:szCs w:val="32"/>
        </w:rPr>
        <w:t>年的</w:t>
      </w:r>
      <w:r>
        <w:rPr>
          <w:rFonts w:eastAsia="仿宋_GB2312"/>
          <w:sz w:val="32"/>
          <w:szCs w:val="32"/>
        </w:rPr>
        <w:t>运行成本、管理效率、履职效能、社会效应、可持续发展能力和服务对象满意度等方面</w:t>
      </w:r>
      <w:r>
        <w:rPr>
          <w:rFonts w:hint="eastAsia" w:eastAsia="仿宋_GB2312"/>
          <w:sz w:val="32"/>
          <w:szCs w:val="32"/>
        </w:rPr>
        <w:t>综合考评， 202</w:t>
      </w:r>
      <w:r>
        <w:rPr>
          <w:rFonts w:hint="eastAsia" w:eastAsia="仿宋_GB2312"/>
          <w:sz w:val="32"/>
          <w:szCs w:val="32"/>
          <w:lang w:val="en-US" w:eastAsia="zh-CN"/>
        </w:rPr>
        <w:t>5</w:t>
      </w:r>
      <w:r>
        <w:rPr>
          <w:rFonts w:hint="eastAsia" w:eastAsia="仿宋_GB2312"/>
          <w:sz w:val="32"/>
          <w:szCs w:val="32"/>
        </w:rPr>
        <w:t>年，较好地完成了年度工作目标，部门整体支出绩效评价为优。</w:t>
      </w:r>
    </w:p>
    <w:p>
      <w:pPr>
        <w:pStyle w:val="2"/>
        <w:rPr>
          <w:rFonts w:hint="eastAsia"/>
        </w:rPr>
      </w:pPr>
    </w:p>
    <w:p>
      <w:pPr>
        <w:numPr>
          <w:ilvl w:val="0"/>
          <w:numId w:val="3"/>
        </w:numPr>
        <w:spacing w:before="220" w:line="600" w:lineRule="exact"/>
        <w:ind w:left="641"/>
        <w:rPr>
          <w:rFonts w:hint="eastAsia" w:ascii="黑体" w:hAnsi="黑体" w:eastAsia="黑体" w:cs="黑体"/>
          <w:spacing w:val="9"/>
          <w:position w:val="21"/>
          <w:sz w:val="32"/>
          <w:szCs w:val="32"/>
        </w:rPr>
      </w:pPr>
      <w:r>
        <w:rPr>
          <w:rFonts w:hint="eastAsia" w:ascii="黑体" w:hAnsi="黑体" w:eastAsia="黑体" w:cs="黑体"/>
          <w:spacing w:val="9"/>
          <w:position w:val="21"/>
          <w:sz w:val="32"/>
          <w:szCs w:val="32"/>
        </w:rPr>
        <w:t>存在的问题</w:t>
      </w:r>
      <w:r>
        <w:rPr>
          <w:rFonts w:hint="eastAsia" w:ascii="黑体" w:hAnsi="黑体" w:eastAsia="黑体" w:cs="黑体"/>
          <w:color w:val="000000" w:themeColor="text1"/>
          <w:spacing w:val="9"/>
          <w:position w:val="21"/>
          <w:sz w:val="32"/>
          <w:szCs w:val="32"/>
          <w14:textFill>
            <w14:solidFill>
              <w14:schemeClr w14:val="tx1"/>
            </w14:solidFill>
          </w14:textFill>
        </w:rPr>
        <w:t>及原因分析</w:t>
      </w:r>
    </w:p>
    <w:p>
      <w:pPr>
        <w:widowControl/>
        <w:spacing w:line="61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202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eastAsia="仿宋_GB2312"/>
          <w:color w:val="000000"/>
          <w:sz w:val="32"/>
          <w:szCs w:val="32"/>
        </w:rPr>
        <w:t>年，根据年初工作规划和重点工作，围绕县委、县政府的工作部署，积极履行职责，强化管理，较好地完成了年度工作目标，同时加强预算收支的管理，建立健全内部管理制度，严格内部管理流程，部门整体支出管理得到了提升。202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eastAsia="仿宋_GB2312"/>
          <w:color w:val="000000"/>
          <w:sz w:val="32"/>
          <w:szCs w:val="32"/>
        </w:rPr>
        <w:t>年度部门整体支出绩效情况如下：</w:t>
      </w:r>
    </w:p>
    <w:p>
      <w:pPr>
        <w:widowControl/>
        <w:spacing w:line="61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1.</w:t>
      </w:r>
      <w:r>
        <w:rPr>
          <w:rFonts w:hint="eastAsia" w:eastAsia="仿宋_GB2312"/>
          <w:sz w:val="32"/>
          <w:szCs w:val="32"/>
        </w:rPr>
        <w:t>严格预算支出管理。严控行政经费，压缩一般性支出，严格控制“三公”经费，资产的配置严格政府采购，保障机构运行成本。</w:t>
      </w:r>
    </w:p>
    <w:p>
      <w:pPr>
        <w:widowControl/>
        <w:spacing w:line="61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2.</w:t>
      </w:r>
      <w:r>
        <w:rPr>
          <w:rFonts w:hint="eastAsia" w:eastAsia="仿宋_GB2312"/>
          <w:sz w:val="32"/>
          <w:szCs w:val="32"/>
        </w:rPr>
        <w:t>完善财务控制管理。按照国家相关法律法规，制定完善了单位内部控制制度，并严格按照制度管理和执行，防范风险，保证机构运行管理效率。</w:t>
      </w:r>
    </w:p>
    <w:p>
      <w:pPr>
        <w:widowControl/>
        <w:spacing w:line="61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通过对202</w:t>
      </w:r>
      <w:r>
        <w:rPr>
          <w:rFonts w:hint="eastAsia" w:eastAsia="仿宋_GB2312"/>
          <w:sz w:val="32"/>
          <w:szCs w:val="32"/>
          <w:lang w:val="en-US" w:eastAsia="zh-CN"/>
        </w:rPr>
        <w:t>5</w:t>
      </w:r>
      <w:r>
        <w:rPr>
          <w:rFonts w:hint="eastAsia" w:eastAsia="仿宋_GB2312"/>
          <w:sz w:val="32"/>
          <w:szCs w:val="32"/>
        </w:rPr>
        <w:t>年的</w:t>
      </w:r>
      <w:r>
        <w:rPr>
          <w:rFonts w:eastAsia="仿宋_GB2312"/>
          <w:sz w:val="32"/>
          <w:szCs w:val="32"/>
        </w:rPr>
        <w:t>运行成本、管理效率、履职效能、社会效应、可持续发展能力和服务对象满意度等方面</w:t>
      </w:r>
      <w:r>
        <w:rPr>
          <w:rFonts w:hint="eastAsia" w:eastAsia="仿宋_GB2312"/>
          <w:sz w:val="32"/>
          <w:szCs w:val="32"/>
        </w:rPr>
        <w:t>综合考评， 202</w:t>
      </w:r>
      <w:r>
        <w:rPr>
          <w:rFonts w:hint="eastAsia" w:eastAsia="仿宋_GB2312"/>
          <w:sz w:val="32"/>
          <w:szCs w:val="32"/>
          <w:lang w:val="en-US" w:eastAsia="zh-CN"/>
        </w:rPr>
        <w:t>4</w:t>
      </w:r>
      <w:r>
        <w:rPr>
          <w:rFonts w:hint="eastAsia" w:eastAsia="仿宋_GB2312"/>
          <w:sz w:val="32"/>
          <w:szCs w:val="32"/>
        </w:rPr>
        <w:t>年，较好地完成了年度工作目标，部门整体支出绩效评价为优。</w:t>
      </w: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3"/>
        </w:numPr>
        <w:spacing w:line="227" w:lineRule="auto"/>
        <w:ind w:left="641" w:leftChars="0" w:firstLine="0" w:firstLineChars="0"/>
        <w:rPr>
          <w:rFonts w:hint="eastAsia" w:ascii="黑体" w:hAnsi="黑体" w:eastAsia="黑体" w:cs="黑体"/>
          <w:spacing w:val="8"/>
          <w:sz w:val="32"/>
          <w:szCs w:val="32"/>
        </w:rPr>
      </w:pPr>
      <w:r>
        <w:rPr>
          <w:rFonts w:hint="eastAsia" w:ascii="黑体" w:hAnsi="黑体" w:eastAsia="黑体" w:cs="黑体"/>
          <w:spacing w:val="8"/>
          <w:sz w:val="32"/>
          <w:szCs w:val="32"/>
        </w:rPr>
        <w:t>下一步改</w:t>
      </w:r>
      <w:r>
        <w:rPr>
          <w:rFonts w:hint="eastAsia" w:ascii="黑体" w:hAnsi="黑体" w:eastAsia="黑体" w:cs="黑体"/>
          <w:color w:val="000000" w:themeColor="text1"/>
          <w:spacing w:val="8"/>
          <w:sz w:val="32"/>
          <w:szCs w:val="32"/>
          <w14:textFill>
            <w14:solidFill>
              <w14:schemeClr w14:val="tx1"/>
            </w14:solidFill>
          </w14:textFill>
        </w:rPr>
        <w:t>进措施</w:t>
      </w:r>
    </w:p>
    <w:p>
      <w:pPr>
        <w:widowControl/>
        <w:spacing w:line="61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一是按照预算规定的项目和用途严格财务审核，经费支出严格按预算规定项目的财务支出内容进行财务核算，在预算金额内严格控制费用的支出，先有预算，再有支出。</w:t>
      </w:r>
    </w:p>
    <w:p>
      <w:pPr>
        <w:widowControl/>
        <w:spacing w:line="61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二是预算财务分析常态化，定期做好预算支出财务分析，做好部门整体支出预算评价工作。</w:t>
      </w:r>
    </w:p>
    <w:p>
      <w:pPr>
        <w:pStyle w:val="2"/>
        <w:numPr>
          <w:ilvl w:val="0"/>
          <w:numId w:val="0"/>
        </w:numPr>
        <w:ind w:left="641" w:leftChars="0"/>
        <w:rPr>
          <w:rFonts w:hint="eastAsia"/>
        </w:rPr>
      </w:pPr>
    </w:p>
    <w:p>
      <w:pPr>
        <w:numPr>
          <w:ilvl w:val="0"/>
          <w:numId w:val="3"/>
        </w:numPr>
        <w:spacing w:before="219" w:line="600" w:lineRule="exact"/>
        <w:ind w:left="641" w:leftChars="0" w:firstLine="0" w:firstLineChars="0"/>
        <w:rPr>
          <w:rFonts w:hint="eastAsia" w:ascii="黑体" w:hAnsi="黑体" w:eastAsia="黑体" w:cs="黑体"/>
          <w:spacing w:val="8"/>
          <w:position w:val="21"/>
          <w:sz w:val="32"/>
          <w:szCs w:val="32"/>
        </w:rPr>
      </w:pPr>
      <w:r>
        <w:rPr>
          <w:rFonts w:hint="eastAsia" w:ascii="黑体" w:hAnsi="黑体" w:eastAsia="黑体" w:cs="黑体"/>
          <w:spacing w:val="9"/>
          <w:position w:val="21"/>
          <w:sz w:val="32"/>
          <w:szCs w:val="32"/>
        </w:rPr>
        <w:t>部门整体支出绩效自评结果拟应用和公开</w:t>
      </w:r>
      <w:r>
        <w:rPr>
          <w:rFonts w:hint="eastAsia" w:ascii="黑体" w:hAnsi="黑体" w:eastAsia="黑体" w:cs="黑体"/>
          <w:spacing w:val="8"/>
          <w:position w:val="21"/>
          <w:sz w:val="32"/>
          <w:szCs w:val="32"/>
        </w:rPr>
        <w:t>情况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此次绩效自评结果主要以《202</w:t>
      </w:r>
      <w:r>
        <w:rPr>
          <w:rFonts w:hint="eastAsia" w:eastAsia="仿宋_GB2312" w:cs="Times New Roman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年度财政重点评价项目清单》、《202</w:t>
      </w:r>
      <w:r>
        <w:rPr>
          <w:rFonts w:hint="eastAsia" w:eastAsia="仿宋_GB2312" w:cs="Times New Roman"/>
          <w:kern w:val="2"/>
          <w:sz w:val="32"/>
          <w:szCs w:val="32"/>
          <w:lang w:val="en-US" w:eastAsia="zh-CN" w:bidi="ar-SA"/>
        </w:rPr>
        <w:t>4年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度部门整体支出绩效评价基础表》、《202</w:t>
      </w:r>
      <w:r>
        <w:rPr>
          <w:rFonts w:hint="eastAsia" w:eastAsia="仿宋_GB2312" w:cs="Times New Roman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年度部门整体支出绩效自评报告》和《202</w:t>
      </w:r>
      <w:r>
        <w:rPr>
          <w:rFonts w:hint="eastAsia" w:eastAsia="仿宋_GB2312" w:cs="Times New Roman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年度部门整体支出绩效自评表》的形式体现，自评表及自评报告内容完整、权重合理、数据真实、结果客观。我单位将绩效自评结果作为完善政策和改进管理的重要依据，同时加强评价结果的应用，对有效支出安排预算、低效支出压减预算、无效支出进行问责，切实提高部门预算绩效管理水平。自评结果将报送省财政局，并按照要求将绩效评价结果分别编入政府决算和本部门决算。</w:t>
      </w:r>
    </w:p>
    <w:p>
      <w:pPr>
        <w:pStyle w:val="2"/>
        <w:numPr>
          <w:ilvl w:val="0"/>
          <w:numId w:val="0"/>
        </w:numPr>
        <w:ind w:left="641" w:leftChars="0"/>
        <w:rPr>
          <w:rFonts w:hint="eastAsia"/>
        </w:rPr>
      </w:pPr>
    </w:p>
    <w:p>
      <w:pPr>
        <w:spacing w:line="226" w:lineRule="auto"/>
        <w:ind w:left="647"/>
        <w:rPr>
          <w:rFonts w:hint="eastAsia" w:ascii="黑体" w:hAnsi="黑体" w:eastAsia="黑体" w:cs="黑体"/>
          <w:spacing w:val="-3"/>
          <w:sz w:val="32"/>
          <w:szCs w:val="32"/>
        </w:rPr>
      </w:pPr>
      <w:r>
        <w:rPr>
          <w:rFonts w:hint="eastAsia" w:ascii="黑体" w:hAnsi="黑体" w:eastAsia="黑体" w:cs="黑体"/>
          <w:spacing w:val="-3"/>
          <w:sz w:val="32"/>
          <w:szCs w:val="32"/>
        </w:rPr>
        <w:t>十、其他需要说明的情况</w:t>
      </w:r>
    </w:p>
    <w:p>
      <w:pPr>
        <w:widowControl/>
        <w:spacing w:line="610" w:lineRule="exact"/>
        <w:ind w:firstLine="640" w:firstLineChars="2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 xml:space="preserve">无 </w:t>
      </w:r>
    </w:p>
    <w:p>
      <w:pPr>
        <w:rPr>
          <w:rFonts w:ascii="黑体" w:hAnsi="黑体" w:eastAsia="黑体" w:cs="黑体"/>
          <w:spacing w:val="-3"/>
          <w:sz w:val="31"/>
          <w:szCs w:val="31"/>
        </w:rPr>
      </w:pPr>
    </w:p>
    <w:p>
      <w:pPr>
        <w:widowControl/>
        <w:spacing w:line="610" w:lineRule="exact"/>
        <w:ind w:firstLine="1040" w:firstLineChars="200"/>
        <w:rPr>
          <w:rFonts w:hint="eastAsia" w:ascii="Times New Roman" w:hAnsi="Times New Roman" w:eastAsia="方正小标宋_GBK" w:cs="Times New Roman"/>
          <w:sz w:val="52"/>
          <w:szCs w:val="52"/>
          <w:lang w:eastAsia="zh-CN"/>
        </w:rPr>
        <w:sectPr>
          <w:footerReference r:id="rId5" w:type="default"/>
          <w:pgSz w:w="11905" w:h="16838"/>
          <w:pgMar w:top="1984" w:right="1701" w:bottom="1984" w:left="1701" w:header="850" w:footer="992" w:gutter="0"/>
          <w:pgNumType w:fmt="numberInDash" w:start="1"/>
          <w:cols w:space="0" w:num="1"/>
          <w:rtlGutter w:val="0"/>
          <w:docGrid w:type="lines" w:linePitch="314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spacing w:val="-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val="en-US" w:eastAsia="zh-CN"/>
        </w:rPr>
        <w:t>4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0" w:firstLineChars="0"/>
        <w:jc w:val="center"/>
        <w:textAlignment w:val="auto"/>
        <w:rPr>
          <w:rFonts w:hint="eastAsia" w:ascii="微软雅黑" w:hAnsi="微软雅黑" w:eastAsia="微软雅黑" w:cs="微软雅黑"/>
          <w:spacing w:val="6"/>
          <w:sz w:val="44"/>
          <w:szCs w:val="44"/>
        </w:rPr>
      </w:pPr>
      <w:r>
        <w:rPr>
          <w:rFonts w:hint="eastAsia" w:ascii="微软雅黑" w:hAnsi="微软雅黑" w:eastAsia="微软雅黑" w:cs="微软雅黑"/>
          <w:spacing w:val="6"/>
          <w:sz w:val="44"/>
          <w:szCs w:val="44"/>
        </w:rPr>
        <w:t>202</w:t>
      </w:r>
      <w:r>
        <w:rPr>
          <w:rFonts w:hint="eastAsia" w:ascii="微软雅黑" w:hAnsi="微软雅黑" w:eastAsia="微软雅黑" w:cs="微软雅黑"/>
          <w:spacing w:val="6"/>
          <w:sz w:val="44"/>
          <w:szCs w:val="44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spacing w:val="6"/>
          <w:sz w:val="44"/>
          <w:szCs w:val="44"/>
        </w:rPr>
        <w:t>年度部门整体支出绩效自评表</w:t>
      </w:r>
    </w:p>
    <w:p>
      <w:pPr>
        <w:spacing w:line="132" w:lineRule="exact"/>
      </w:pPr>
    </w:p>
    <w:tbl>
      <w:tblPr>
        <w:tblStyle w:val="14"/>
        <w:tblW w:w="86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0"/>
        <w:gridCol w:w="987"/>
        <w:gridCol w:w="963"/>
        <w:gridCol w:w="31"/>
        <w:gridCol w:w="989"/>
        <w:gridCol w:w="1058"/>
        <w:gridCol w:w="1001"/>
        <w:gridCol w:w="691"/>
        <w:gridCol w:w="718"/>
        <w:gridCol w:w="13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  <w:jc w:val="center"/>
        </w:trPr>
        <w:tc>
          <w:tcPr>
            <w:tcW w:w="277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省级预算部门、单位名称</w:t>
            </w:r>
          </w:p>
        </w:tc>
        <w:tc>
          <w:tcPr>
            <w:tcW w:w="5845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color w:val="000000"/>
                <w:szCs w:val="21"/>
              </w:rPr>
              <w:t>华容县</w:t>
            </w:r>
            <w:r>
              <w:rPr>
                <w:rFonts w:hint="eastAsia" w:ascii="新宋体" w:hAnsi="新宋体" w:eastAsia="新宋体" w:cs="新宋体"/>
                <w:color w:val="000000"/>
                <w:szCs w:val="21"/>
                <w:lang w:val="en-US" w:eastAsia="zh-CN"/>
              </w:rPr>
              <w:t>新河乡</w:t>
            </w:r>
            <w:r>
              <w:rPr>
                <w:rFonts w:hint="eastAsia" w:ascii="新宋体" w:hAnsi="新宋体" w:eastAsia="新宋体" w:cs="新宋体"/>
                <w:color w:val="000000"/>
                <w:szCs w:val="21"/>
              </w:rPr>
              <w:t>人民政府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820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年度预算申请（万元）</w:t>
            </w:r>
          </w:p>
        </w:tc>
        <w:tc>
          <w:tcPr>
            <w:tcW w:w="19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02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年初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预算数</w:t>
            </w:r>
          </w:p>
        </w:tc>
        <w:tc>
          <w:tcPr>
            <w:tcW w:w="10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预算数</w:t>
            </w:r>
          </w:p>
        </w:tc>
        <w:tc>
          <w:tcPr>
            <w:tcW w:w="10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执行数</w:t>
            </w:r>
          </w:p>
        </w:tc>
        <w:tc>
          <w:tcPr>
            <w:tcW w:w="6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分值</w:t>
            </w:r>
          </w:p>
        </w:tc>
        <w:tc>
          <w:tcPr>
            <w:tcW w:w="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执行率</w:t>
            </w:r>
          </w:p>
        </w:tc>
        <w:tc>
          <w:tcPr>
            <w:tcW w:w="1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自评得分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820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19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年度资金总额</w:t>
            </w:r>
          </w:p>
        </w:tc>
        <w:tc>
          <w:tcPr>
            <w:tcW w:w="102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1135.97</w:t>
            </w:r>
          </w:p>
        </w:tc>
        <w:tc>
          <w:tcPr>
            <w:tcW w:w="10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2548.67</w:t>
            </w:r>
          </w:p>
        </w:tc>
        <w:tc>
          <w:tcPr>
            <w:tcW w:w="10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2548.67</w:t>
            </w:r>
          </w:p>
        </w:tc>
        <w:tc>
          <w:tcPr>
            <w:tcW w:w="6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10</w:t>
            </w:r>
          </w:p>
        </w:tc>
        <w:tc>
          <w:tcPr>
            <w:tcW w:w="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1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820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40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58" w:firstLineChars="28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按收入性质分：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2548.67</w:t>
            </w:r>
          </w:p>
        </w:tc>
        <w:tc>
          <w:tcPr>
            <w:tcW w:w="376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按支出性质分：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820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40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210" w:firstLineChars="1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其中：一般公共预算：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2469.17</w:t>
            </w:r>
          </w:p>
        </w:tc>
        <w:tc>
          <w:tcPr>
            <w:tcW w:w="376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210" w:firstLineChars="10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其中：基本支出：</w:t>
            </w:r>
            <w:bookmarkStart w:id="0" w:name="OLE_LINK1"/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1284.43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820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40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840" w:firstLineChars="4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政府性基金拨款：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79.5</w:t>
            </w:r>
          </w:p>
        </w:tc>
        <w:tc>
          <w:tcPr>
            <w:tcW w:w="376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840" w:firstLineChars="40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项目支出：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1264.24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820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40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840" w:firstLineChars="4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纳入专户管理的非税收入拨款：</w:t>
            </w:r>
          </w:p>
        </w:tc>
        <w:tc>
          <w:tcPr>
            <w:tcW w:w="376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82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40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840" w:firstLineChars="4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其他资金：</w:t>
            </w:r>
          </w:p>
        </w:tc>
        <w:tc>
          <w:tcPr>
            <w:tcW w:w="376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820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年度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总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体目标</w:t>
            </w:r>
          </w:p>
        </w:tc>
        <w:tc>
          <w:tcPr>
            <w:tcW w:w="40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预期目标</w:t>
            </w:r>
          </w:p>
        </w:tc>
        <w:tc>
          <w:tcPr>
            <w:tcW w:w="376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实际完成情况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82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40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目标1：围绕项目建设，突出发展农业经济；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目标2：全力推动社会各项事业，促进经济社会协调发展；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目标3：巩固农村环境整治工作成果，建设美丽、宜居新镇；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目标4：全力推进乡村振兴工作的开展。</w:t>
            </w:r>
          </w:p>
        </w:tc>
        <w:tc>
          <w:tcPr>
            <w:tcW w:w="376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大力发展项目，助推农业快速发展；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促进特色产业飞速发展，促进经济社会协调发展；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推动农村改厕、人居环境整治，有效整治农村环境，打造生态宜居美丽乡镇；4、鼓励乡村振兴产业发展，乡村振兴工作取得一定成效。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  <w:jc w:val="center"/>
        </w:trPr>
        <w:tc>
          <w:tcPr>
            <w:tcW w:w="8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标</w:t>
            </w:r>
          </w:p>
        </w:tc>
        <w:tc>
          <w:tcPr>
            <w:tcW w:w="987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一级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指标</w:t>
            </w:r>
          </w:p>
        </w:tc>
        <w:tc>
          <w:tcPr>
            <w:tcW w:w="99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二级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指标</w:t>
            </w:r>
          </w:p>
        </w:tc>
        <w:tc>
          <w:tcPr>
            <w:tcW w:w="989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三级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指标</w:t>
            </w:r>
          </w:p>
        </w:tc>
        <w:tc>
          <w:tcPr>
            <w:tcW w:w="10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年度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指标值</w:t>
            </w:r>
          </w:p>
        </w:tc>
        <w:tc>
          <w:tcPr>
            <w:tcW w:w="10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实际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完成值</w:t>
            </w:r>
          </w:p>
        </w:tc>
        <w:tc>
          <w:tcPr>
            <w:tcW w:w="6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分值</w:t>
            </w:r>
          </w:p>
        </w:tc>
        <w:tc>
          <w:tcPr>
            <w:tcW w:w="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自评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得分</w:t>
            </w:r>
          </w:p>
        </w:tc>
        <w:tc>
          <w:tcPr>
            <w:tcW w:w="1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偏差原因分析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及改进措施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20" w:type="dxa"/>
            <w:vMerge w:val="continue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0分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99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数量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指标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/>
                <w:color w:val="auto"/>
                <w:sz w:val="17"/>
                <w:lang w:val="en-US" w:eastAsia="zh-CN"/>
              </w:rPr>
            </w:pPr>
            <w:r>
              <w:rPr>
                <w:rFonts w:hint="default"/>
                <w:color w:val="auto"/>
                <w:sz w:val="17"/>
                <w:lang w:val="en-US" w:eastAsia="zh-CN"/>
              </w:rPr>
              <w:t>年内开展调研活动次数；</w:t>
            </w:r>
          </w:p>
        </w:tc>
        <w:tc>
          <w:tcPr>
            <w:tcW w:w="1058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/>
                <w:color w:val="auto"/>
                <w:sz w:val="17"/>
                <w:lang w:val="en-US" w:eastAsia="zh-CN"/>
              </w:rPr>
            </w:pPr>
            <w:r>
              <w:rPr>
                <w:rFonts w:hint="default"/>
                <w:color w:val="auto"/>
                <w:sz w:val="17"/>
                <w:lang w:val="en-US" w:eastAsia="zh-CN"/>
              </w:rPr>
              <w:t>≥4</w:t>
            </w:r>
          </w:p>
        </w:tc>
        <w:tc>
          <w:tcPr>
            <w:tcW w:w="1001" w:type="dxa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17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17"/>
              </w:rPr>
              <w:t>完成</w:t>
            </w:r>
          </w:p>
        </w:tc>
        <w:tc>
          <w:tcPr>
            <w:tcW w:w="6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20" w:type="dxa"/>
            <w:vMerge w:val="continue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9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/>
                <w:color w:val="auto"/>
                <w:sz w:val="17"/>
                <w:lang w:val="en-US" w:eastAsia="zh-CN"/>
              </w:rPr>
            </w:pPr>
            <w:r>
              <w:rPr>
                <w:rFonts w:hint="default"/>
                <w:color w:val="auto"/>
                <w:sz w:val="17"/>
                <w:lang w:val="en-US" w:eastAsia="zh-CN"/>
              </w:rPr>
              <w:t>年内举办各类培训班次数；</w:t>
            </w:r>
          </w:p>
        </w:tc>
        <w:tc>
          <w:tcPr>
            <w:tcW w:w="1058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/>
                <w:color w:val="auto"/>
                <w:sz w:val="17"/>
                <w:lang w:val="en-US" w:eastAsia="zh-CN"/>
              </w:rPr>
            </w:pPr>
            <w:r>
              <w:rPr>
                <w:rFonts w:hint="default"/>
                <w:color w:val="auto"/>
                <w:sz w:val="17"/>
                <w:lang w:val="en-US" w:eastAsia="zh-CN"/>
              </w:rPr>
              <w:t>≥5</w:t>
            </w:r>
          </w:p>
        </w:tc>
        <w:tc>
          <w:tcPr>
            <w:tcW w:w="1001" w:type="dxa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17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17"/>
              </w:rPr>
              <w:t>完成</w:t>
            </w:r>
          </w:p>
        </w:tc>
        <w:tc>
          <w:tcPr>
            <w:tcW w:w="6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20" w:type="dxa"/>
            <w:vMerge w:val="continue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9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/>
                <w:color w:val="auto"/>
                <w:sz w:val="17"/>
                <w:lang w:val="en-US" w:eastAsia="zh-CN"/>
              </w:rPr>
            </w:pPr>
            <w:r>
              <w:rPr>
                <w:rFonts w:hint="default"/>
                <w:color w:val="auto"/>
                <w:sz w:val="17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 w:val="17"/>
                <w:lang w:val="en-US" w:eastAsia="zh-CN"/>
              </w:rPr>
              <w:t>召开会议次数</w:t>
            </w:r>
          </w:p>
        </w:tc>
        <w:tc>
          <w:tcPr>
            <w:tcW w:w="1058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/>
                <w:color w:val="auto"/>
                <w:sz w:val="17"/>
                <w:lang w:val="en-US" w:eastAsia="zh-CN"/>
              </w:rPr>
            </w:pPr>
            <w:r>
              <w:rPr>
                <w:rFonts w:hint="default"/>
                <w:color w:val="auto"/>
                <w:sz w:val="17"/>
                <w:lang w:val="en-US" w:eastAsia="zh-CN"/>
              </w:rPr>
              <w:t>≥10</w:t>
            </w:r>
          </w:p>
        </w:tc>
        <w:tc>
          <w:tcPr>
            <w:tcW w:w="1001" w:type="dxa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17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17"/>
              </w:rPr>
              <w:t>完成</w:t>
            </w:r>
          </w:p>
        </w:tc>
        <w:tc>
          <w:tcPr>
            <w:tcW w:w="6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20" w:type="dxa"/>
            <w:vMerge w:val="continue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8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9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质量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指标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Times New Roman" w:hAnsi="Times New Roman" w:eastAsia="宋体" w:cs="Times New Roman"/>
                <w:kern w:val="2"/>
                <w:sz w:val="17"/>
                <w:szCs w:val="24"/>
                <w:lang w:val="en-US" w:eastAsia="zh-CN" w:bidi="ar-SA"/>
              </w:rPr>
            </w:pPr>
            <w:r>
              <w:rPr>
                <w:rFonts w:hint="eastAsia"/>
                <w:sz w:val="17"/>
              </w:rPr>
              <w:t>全面创先争优。形成调研报告4份以上，合格率达</w:t>
            </w:r>
          </w:p>
        </w:tc>
        <w:tc>
          <w:tcPr>
            <w:tcW w:w="1058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17"/>
                <w:szCs w:val="24"/>
                <w:lang w:val="en-US" w:eastAsia="zh-CN" w:bidi="ar-SA"/>
              </w:rPr>
            </w:pPr>
            <w:r>
              <w:rPr>
                <w:rFonts w:hint="eastAsia"/>
                <w:sz w:val="17"/>
              </w:rPr>
              <w:t>≥100</w:t>
            </w:r>
          </w:p>
        </w:tc>
        <w:tc>
          <w:tcPr>
            <w:tcW w:w="10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/>
                <w:color w:val="auto"/>
                <w:sz w:val="17"/>
              </w:rPr>
              <w:t>完成</w:t>
            </w:r>
          </w:p>
        </w:tc>
        <w:tc>
          <w:tcPr>
            <w:tcW w:w="6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  <w:sectPr>
          <w:footerReference r:id="rId6" w:type="default"/>
          <w:pgSz w:w="11905" w:h="16838"/>
          <w:pgMar w:top="1984" w:right="1701" w:bottom="1984" w:left="1701" w:header="850" w:footer="158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0" w:num="1"/>
          <w:rtlGutter w:val="0"/>
          <w:docGrid w:type="lines" w:linePitch="314" w:charSpace="0"/>
        </w:sectPr>
      </w:pPr>
    </w:p>
    <w:tbl>
      <w:tblPr>
        <w:tblStyle w:val="14"/>
        <w:tblW w:w="861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0"/>
        <w:gridCol w:w="987"/>
        <w:gridCol w:w="994"/>
        <w:gridCol w:w="989"/>
        <w:gridCol w:w="1058"/>
        <w:gridCol w:w="1001"/>
        <w:gridCol w:w="691"/>
        <w:gridCol w:w="718"/>
        <w:gridCol w:w="135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20" w:type="dxa"/>
            <w:vMerge w:val="restart"/>
            <w:textDirection w:val="tbRlV"/>
            <w:vAlign w:val="center"/>
          </w:tcPr>
          <w:p>
            <w:pPr>
              <w:pStyle w:val="2"/>
              <w:rPr>
                <w:rFonts w:hint="eastAsia"/>
              </w:rPr>
            </w:pPr>
          </w:p>
        </w:tc>
        <w:tc>
          <w:tcPr>
            <w:tcW w:w="9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Times New Roman" w:hAnsi="Times New Roman" w:eastAsia="宋体" w:cs="Times New Roman"/>
                <w:kern w:val="2"/>
                <w:sz w:val="17"/>
                <w:szCs w:val="24"/>
                <w:lang w:val="en-US" w:eastAsia="zh-CN" w:bidi="ar-SA"/>
              </w:rPr>
            </w:pPr>
            <w:r>
              <w:rPr>
                <w:rFonts w:hint="eastAsia"/>
                <w:sz w:val="17"/>
              </w:rPr>
              <w:t>形成相关的主题汇报，上报率达</w:t>
            </w:r>
          </w:p>
        </w:tc>
        <w:tc>
          <w:tcPr>
            <w:tcW w:w="1058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17"/>
                <w:szCs w:val="24"/>
                <w:lang w:val="en-US" w:eastAsia="zh-CN" w:bidi="ar-SA"/>
              </w:rPr>
            </w:pPr>
            <w:r>
              <w:rPr>
                <w:rFonts w:hint="eastAsia"/>
                <w:sz w:val="17"/>
              </w:rPr>
              <w:t>≥100</w:t>
            </w:r>
          </w:p>
        </w:tc>
        <w:tc>
          <w:tcPr>
            <w:tcW w:w="10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/>
                <w:color w:val="auto"/>
                <w:sz w:val="17"/>
              </w:rPr>
              <w:t>完成</w:t>
            </w:r>
          </w:p>
        </w:tc>
        <w:tc>
          <w:tcPr>
            <w:tcW w:w="6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20" w:type="dxa"/>
            <w:vMerge w:val="continue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时效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指标</w:t>
            </w:r>
          </w:p>
        </w:tc>
        <w:tc>
          <w:tcPr>
            <w:tcW w:w="989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17"/>
              </w:rPr>
              <w:t>工资福利等人员经费发放及时； 按时间节点完成各项中心任务。</w:t>
            </w:r>
          </w:p>
        </w:tc>
        <w:tc>
          <w:tcPr>
            <w:tcW w:w="1058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17"/>
                <w:szCs w:val="24"/>
                <w:lang w:val="en-US" w:eastAsia="zh-CN" w:bidi="ar-SA"/>
              </w:rPr>
            </w:pPr>
            <w:r>
              <w:rPr>
                <w:rFonts w:hint="eastAsia"/>
                <w:sz w:val="17"/>
              </w:rPr>
              <w:t>≥100</w:t>
            </w:r>
          </w:p>
        </w:tc>
        <w:tc>
          <w:tcPr>
            <w:tcW w:w="1001" w:type="dxa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Times New Roman" w:hAnsi="Times New Roman" w:eastAsia="宋体" w:cs="Times New Roman"/>
                <w:kern w:val="2"/>
                <w:sz w:val="17"/>
                <w:szCs w:val="24"/>
                <w:lang w:val="en-US" w:eastAsia="zh-CN" w:bidi="ar-SA"/>
              </w:rPr>
            </w:pPr>
            <w:r>
              <w:rPr>
                <w:rFonts w:hint="eastAsia"/>
                <w:sz w:val="17"/>
              </w:rPr>
              <w:t>完成</w:t>
            </w:r>
          </w:p>
        </w:tc>
        <w:tc>
          <w:tcPr>
            <w:tcW w:w="691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新宋体" w:hAnsi="新宋体" w:eastAsia="新宋体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000000"/>
                <w:szCs w:val="21"/>
              </w:rPr>
              <w:t>10</w:t>
            </w:r>
          </w:p>
        </w:tc>
        <w:tc>
          <w:tcPr>
            <w:tcW w:w="718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新宋体" w:hAnsi="新宋体" w:eastAsia="新宋体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000000"/>
                <w:szCs w:val="21"/>
              </w:rPr>
              <w:t>10</w:t>
            </w:r>
          </w:p>
        </w:tc>
        <w:tc>
          <w:tcPr>
            <w:tcW w:w="1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标</w:t>
            </w:r>
          </w:p>
        </w:tc>
        <w:tc>
          <w:tcPr>
            <w:tcW w:w="9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0分）</w:t>
            </w:r>
          </w:p>
        </w:tc>
        <w:tc>
          <w:tcPr>
            <w:tcW w:w="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经济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效益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指标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vAlign w:val="center"/>
          </w:tcPr>
          <w:p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新宋体" w:hAnsi="新宋体" w:eastAsia="新宋体" w:cs="新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17"/>
              </w:rPr>
              <w:t>财政供养人员控制在编制数内；</w:t>
            </w:r>
          </w:p>
        </w:tc>
        <w:tc>
          <w:tcPr>
            <w:tcW w:w="1058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1"/>
                <w:szCs w:val="21"/>
                <w:lang w:val="en-US" w:eastAsia="zh-CN" w:bidi="ar-SA"/>
              </w:rPr>
              <w:t>&lt;109人</w:t>
            </w:r>
          </w:p>
        </w:tc>
        <w:tc>
          <w:tcPr>
            <w:tcW w:w="1001" w:type="dxa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新宋体" w:hAnsi="新宋体" w:eastAsia="新宋体" w:cs="新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17"/>
              </w:rPr>
              <w:t>完成</w:t>
            </w:r>
          </w:p>
        </w:tc>
        <w:tc>
          <w:tcPr>
            <w:tcW w:w="6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20" w:type="dxa"/>
            <w:vMerge w:val="continue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89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rPr>
                <w:rFonts w:hint="eastAsia" w:ascii="新宋体" w:hAnsi="新宋体" w:eastAsia="新宋体" w:cs="新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17"/>
              </w:rPr>
              <w:t>全镇公用经费和三公经费同比下降</w:t>
            </w:r>
          </w:p>
        </w:tc>
        <w:tc>
          <w:tcPr>
            <w:tcW w:w="1058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1"/>
                <w:szCs w:val="21"/>
                <w:lang w:val="en-US" w:eastAsia="zh-CN" w:bidi="ar-SA"/>
              </w:rPr>
              <w:t>≥5%</w:t>
            </w:r>
          </w:p>
        </w:tc>
        <w:tc>
          <w:tcPr>
            <w:tcW w:w="1001" w:type="dxa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新宋体" w:hAnsi="新宋体" w:eastAsia="新宋体" w:cs="新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17"/>
              </w:rPr>
              <w:t>完成</w:t>
            </w:r>
          </w:p>
        </w:tc>
        <w:tc>
          <w:tcPr>
            <w:tcW w:w="6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20" w:type="dxa"/>
            <w:vMerge w:val="continue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社会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效益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指标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17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17"/>
              </w:rPr>
              <w:t>维护社会稳定，促进社会经济可持续发展。</w:t>
            </w:r>
          </w:p>
        </w:tc>
        <w:tc>
          <w:tcPr>
            <w:tcW w:w="1058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01" w:type="dxa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新宋体" w:hAnsi="新宋体" w:eastAsia="新宋体" w:cs="新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7"/>
              </w:rPr>
              <w:t>完成</w:t>
            </w:r>
          </w:p>
        </w:tc>
        <w:tc>
          <w:tcPr>
            <w:tcW w:w="6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20" w:type="dxa"/>
            <w:vMerge w:val="continue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生态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效益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指标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17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17"/>
              </w:rPr>
              <w:t>保持辖区环境卫生，营造良好的生活环境，生态环境投诉率</w:t>
            </w:r>
          </w:p>
        </w:tc>
        <w:tc>
          <w:tcPr>
            <w:tcW w:w="1058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7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17"/>
                <w:szCs w:val="24"/>
                <w:lang w:val="en-US" w:eastAsia="zh-CN" w:bidi="ar-SA"/>
              </w:rPr>
              <w:t>=0</w:t>
            </w:r>
          </w:p>
        </w:tc>
        <w:tc>
          <w:tcPr>
            <w:tcW w:w="1001" w:type="dxa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17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7"/>
              </w:rPr>
              <w:t>完成</w:t>
            </w:r>
          </w:p>
        </w:tc>
        <w:tc>
          <w:tcPr>
            <w:tcW w:w="6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20" w:type="dxa"/>
            <w:vMerge w:val="continue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可持续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影响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指标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新宋体" w:hAnsi="新宋体" w:eastAsia="新宋体" w:cs="新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17"/>
              </w:rPr>
              <w:t>辖区内居民生活幸福感提升</w:t>
            </w:r>
          </w:p>
        </w:tc>
        <w:tc>
          <w:tcPr>
            <w:tcW w:w="1058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7"/>
                <w:szCs w:val="24"/>
                <w:lang w:val="en-US" w:eastAsia="zh-CN" w:bidi="ar-SA"/>
              </w:rPr>
            </w:pPr>
          </w:p>
        </w:tc>
        <w:tc>
          <w:tcPr>
            <w:tcW w:w="1001" w:type="dxa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17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7"/>
              </w:rPr>
              <w:t>完成</w:t>
            </w:r>
          </w:p>
        </w:tc>
        <w:tc>
          <w:tcPr>
            <w:tcW w:w="6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原因：居民收入还需增加；改进措施大力发展农业经济，提高居民收入，提升居民幸福感。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20" w:type="dxa"/>
            <w:vMerge w:val="continue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（10分）</w:t>
            </w:r>
          </w:p>
        </w:tc>
        <w:tc>
          <w:tcPr>
            <w:tcW w:w="99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服务对象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指标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Times New Roman" w:hAnsi="Times New Roman" w:eastAsia="宋体" w:cs="Times New Roman"/>
                <w:kern w:val="2"/>
                <w:sz w:val="17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7"/>
                <w:szCs w:val="24"/>
                <w:lang w:val="en-US" w:eastAsia="zh-CN" w:bidi="ar-SA"/>
              </w:rPr>
              <w:t>群众满意度</w:t>
            </w:r>
          </w:p>
        </w:tc>
        <w:tc>
          <w:tcPr>
            <w:tcW w:w="1058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17"/>
              </w:rPr>
              <w:t>≥</w:t>
            </w:r>
            <w:r>
              <w:rPr>
                <w:rFonts w:hint="eastAsia" w:ascii="新宋体" w:hAnsi="新宋体" w:eastAsia="新宋体" w:cs="新宋体"/>
                <w:szCs w:val="21"/>
              </w:rPr>
              <w:t>90%</w:t>
            </w:r>
          </w:p>
        </w:tc>
        <w:tc>
          <w:tcPr>
            <w:tcW w:w="1001" w:type="dxa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7"/>
              </w:rPr>
              <w:t>完成</w:t>
            </w:r>
          </w:p>
        </w:tc>
        <w:tc>
          <w:tcPr>
            <w:tcW w:w="6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20" w:type="dxa"/>
            <w:vMerge w:val="continue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87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（2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0分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99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经济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成本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指标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rPr>
                <w:rFonts w:hint="eastAsia" w:ascii="新宋体" w:hAnsi="新宋体" w:eastAsia="新宋体" w:cs="新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17"/>
              </w:rPr>
              <w:t>部门总体支出数</w:t>
            </w:r>
          </w:p>
        </w:tc>
        <w:tc>
          <w:tcPr>
            <w:tcW w:w="1058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17"/>
              </w:rPr>
              <w:t>≤1438</w:t>
            </w:r>
          </w:p>
        </w:tc>
        <w:tc>
          <w:tcPr>
            <w:tcW w:w="1001" w:type="dxa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新宋体" w:hAnsi="新宋体" w:eastAsia="新宋体" w:cs="新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17"/>
              </w:rPr>
              <w:t>完成</w:t>
            </w:r>
          </w:p>
        </w:tc>
        <w:tc>
          <w:tcPr>
            <w:tcW w:w="6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20" w:type="dxa"/>
            <w:vMerge w:val="continue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87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社会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成本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指标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17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17"/>
              </w:rPr>
              <w:t>控制预算数</w:t>
            </w:r>
          </w:p>
        </w:tc>
        <w:tc>
          <w:tcPr>
            <w:tcW w:w="1058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17"/>
              </w:rPr>
              <w:t>≤1438</w:t>
            </w:r>
          </w:p>
        </w:tc>
        <w:tc>
          <w:tcPr>
            <w:tcW w:w="1001" w:type="dxa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新宋体" w:hAnsi="新宋体" w:eastAsia="新宋体" w:cs="新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7"/>
              </w:rPr>
              <w:t>完成</w:t>
            </w:r>
          </w:p>
        </w:tc>
        <w:tc>
          <w:tcPr>
            <w:tcW w:w="6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20" w:type="dxa"/>
            <w:vMerge w:val="continue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87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生态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环境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成本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指标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17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17"/>
              </w:rPr>
              <w:t>辖区内绿化资金</w:t>
            </w:r>
          </w:p>
        </w:tc>
        <w:tc>
          <w:tcPr>
            <w:tcW w:w="1058" w:type="dxa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17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7"/>
              </w:rPr>
              <w:t>≥30</w:t>
            </w:r>
          </w:p>
        </w:tc>
        <w:tc>
          <w:tcPr>
            <w:tcW w:w="1001" w:type="dxa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17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7"/>
              </w:rPr>
              <w:t>完成</w:t>
            </w:r>
          </w:p>
        </w:tc>
        <w:tc>
          <w:tcPr>
            <w:tcW w:w="6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49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总分</w:t>
            </w:r>
          </w:p>
        </w:tc>
        <w:tc>
          <w:tcPr>
            <w:tcW w:w="6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100</w:t>
            </w:r>
          </w:p>
        </w:tc>
        <w:tc>
          <w:tcPr>
            <w:tcW w:w="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98</w:t>
            </w:r>
          </w:p>
        </w:tc>
        <w:tc>
          <w:tcPr>
            <w:tcW w:w="1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填表人：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填报日期：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联系电话：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单位负责人签字：</w:t>
      </w:r>
    </w:p>
    <w:p>
      <w:pPr>
        <w:rPr>
          <w:rFonts w:hint="eastAsia" w:ascii="黑体" w:hAnsi="黑体" w:eastAsia="黑体" w:cs="黑体"/>
          <w:sz w:val="21"/>
          <w:szCs w:val="21"/>
          <w:lang w:val="en-US" w:eastAsia="zh-CN"/>
        </w:rPr>
      </w:pPr>
    </w:p>
    <w:sectPr>
      <w:footerReference r:id="rId7" w:type="default"/>
      <w:pgSz w:w="11905" w:h="16838"/>
      <w:pgMar w:top="1984" w:right="1701" w:bottom="1984" w:left="1701" w:header="850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4623FFA-BEE7-4BA3-BB6C-0C650EA74E3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A258F3EA-9ED1-4629-85CF-D4D3D8329BE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C7B5512-E5A2-48C5-B282-5E55D526703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9F76F406-1834-4142-A13C-449CB65390B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0DDE7B39-83EC-4ABA-868B-FF97ACE3674B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A7989B08-6149-4C4C-AD9F-6515DF68453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7" w:fontKey="{1EFCC3B7-FF01-4F49-9B8F-1C3A56B5ACB4}"/>
  </w:font>
  <w:font w:name="仿宋_GB2312">
    <w:panose1 w:val="02010609030101010101"/>
    <w:charset w:val="86"/>
    <w:family w:val="auto"/>
    <w:pitch w:val="default"/>
    <w:sig w:usb0="00000000" w:usb1="00000000" w:usb2="00000000" w:usb3="00000000" w:csb0="00000000" w:csb1="00000000"/>
    <w:embedRegular r:id="rId8" w:fontKey="{D3461DE7-9FF9-494B-9818-16B08895629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9" w:fontKey="{D8E8233B-018A-4118-90A7-0942BD0C87BF}"/>
  </w:font>
  <w:font w:name="楷体_GB2312">
    <w:panose1 w:val="02010609030101010101"/>
    <w:charset w:val="86"/>
    <w:family w:val="auto"/>
    <w:pitch w:val="default"/>
    <w:sig w:usb0="00000000" w:usb1="00000000" w:usb2="00000000" w:usb3="00000000" w:csb0="00000000" w:csb1="00000000"/>
    <w:embedRegular r:id="rId10" w:fontKey="{3C5E65AD-A5F2-4C8D-95CF-009B5465CF58}"/>
  </w:font>
  <w:font w:name="方正小标宋_GBK">
    <w:panose1 w:val="03000509000000000000"/>
    <w:charset w:val="86"/>
    <w:family w:val="script"/>
    <w:pitch w:val="default"/>
    <w:sig w:usb0="00000000" w:usb1="00000000" w:usb2="00000000" w:usb3="00000000" w:csb0="00000000" w:csb1="00000000"/>
    <w:embedRegular r:id="rId11" w:fontKey="{9422ACE7-E539-43C1-8C82-8F481DA933E4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2" w:fontKey="{217B0AD7-A77F-4FBF-9697-02F1BFFFEDED}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  <w:embedRegular r:id="rId13" w:fontKey="{7065A54D-53CB-4B70-9702-65A376A4B34A}"/>
  </w:font>
  <w:font w:name="仿宋_GB2312">
    <w:panose1 w:val="02010609030101010101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="1" w:line="174" w:lineRule="auto"/>
      <w:jc w:val="center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="1" w:line="174" w:lineRule="auto"/>
      <w:jc w:val="center"/>
      <w:rPr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="1" w:line="174" w:lineRule="auto"/>
      <w:ind w:left="8576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华文仿宋" w:hAnsi="华文仿宋" w:eastAsia="华文仿宋" w:cs="华文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华文仿宋" w:hAnsi="华文仿宋" w:eastAsia="华文仿宋" w:cs="华文仿宋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华文仿宋" w:hAnsi="华文仿宋" w:eastAsia="华文仿宋" w:cs="华文仿宋"/>
                              <w:b w:val="0"/>
                              <w:bCs w:val="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华文仿宋" w:hAnsi="华文仿宋" w:eastAsia="华文仿宋" w:cs="华文仿宋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华文仿宋" w:hAnsi="华文仿宋" w:eastAsia="华文仿宋" w:cs="华文仿宋"/>
                              <w:b w:val="0"/>
                              <w:bCs w:val="0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eastAsia" w:ascii="华文仿宋" w:hAnsi="华文仿宋" w:eastAsia="华文仿宋" w:cs="华文仿宋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华文仿宋" w:hAnsi="华文仿宋" w:eastAsia="华文仿宋" w:cs="华文仿宋"/>
                        <w:sz w:val="28"/>
                        <w:szCs w:val="28"/>
                      </w:rPr>
                    </w:pPr>
                    <w:r>
                      <w:rPr>
                        <w:rFonts w:hint="eastAsia" w:ascii="华文仿宋" w:hAnsi="华文仿宋" w:eastAsia="华文仿宋" w:cs="华文仿宋"/>
                        <w:b w:val="0"/>
                        <w:bCs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华文仿宋" w:hAnsi="华文仿宋" w:eastAsia="华文仿宋" w:cs="华文仿宋"/>
                        <w:b w:val="0"/>
                        <w:bCs w:val="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华文仿宋" w:hAnsi="华文仿宋" w:eastAsia="华文仿宋" w:cs="华文仿宋"/>
                        <w:b w:val="0"/>
                        <w:bCs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华文仿宋" w:hAnsi="华文仿宋" w:eastAsia="华文仿宋" w:cs="华文仿宋"/>
                        <w:b w:val="0"/>
                        <w:bCs w:val="0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eastAsia" w:ascii="华文仿宋" w:hAnsi="华文仿宋" w:eastAsia="华文仿宋" w:cs="华文仿宋"/>
                        <w:b w:val="0"/>
                        <w:bCs w:val="0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="1" w:line="174" w:lineRule="auto"/>
      <w:ind w:left="574"/>
      <w:rPr>
        <w:sz w:val="28"/>
        <w:szCs w:val="2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="1" w:line="174" w:lineRule="auto"/>
      <w:ind w:left="574"/>
      <w:rPr>
        <w:sz w:val="28"/>
        <w:szCs w:val="28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0B97BDF"/>
    <w:multiLevelType w:val="singleLevel"/>
    <w:tmpl w:val="80B97BDF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9870C93"/>
    <w:multiLevelType w:val="singleLevel"/>
    <w:tmpl w:val="99870C93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59F337E6"/>
    <w:multiLevelType w:val="singleLevel"/>
    <w:tmpl w:val="59F337E6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5DFE53F4"/>
    <w:multiLevelType w:val="singleLevel"/>
    <w:tmpl w:val="5DFE53F4"/>
    <w:lvl w:ilvl="0" w:tentative="0">
      <w:start w:val="1"/>
      <w:numFmt w:val="chineseCounting"/>
      <w:suff w:val="nothing"/>
      <w:lvlText w:val="%1、"/>
      <w:lvlJc w:val="left"/>
      <w:pPr>
        <w:ind w:left="-18"/>
      </w:pPr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bordersDoNotSurroundHeader w:val="0"/>
  <w:bordersDoNotSurroundFooter w:val="0"/>
  <w:documentProtection w:enforcement="0"/>
  <w:defaultTabStop w:val="420"/>
  <w:drawingGridHorizontalSpacing w:val="210"/>
  <w:drawingGridVerticalSpacing w:val="157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yODc5NTk4NWJlMjJmMGZlNTE4ZWEzOGQ0YTZiMjAifQ=="/>
  </w:docVars>
  <w:rsids>
    <w:rsidRoot w:val="0CCB7736"/>
    <w:rsid w:val="00047FEF"/>
    <w:rsid w:val="000A3906"/>
    <w:rsid w:val="001776F1"/>
    <w:rsid w:val="003D4818"/>
    <w:rsid w:val="006F0A16"/>
    <w:rsid w:val="00773328"/>
    <w:rsid w:val="00821883"/>
    <w:rsid w:val="00917857"/>
    <w:rsid w:val="00951882"/>
    <w:rsid w:val="00A755C2"/>
    <w:rsid w:val="00D06DD6"/>
    <w:rsid w:val="011D2710"/>
    <w:rsid w:val="016A347B"/>
    <w:rsid w:val="018E53BB"/>
    <w:rsid w:val="01914021"/>
    <w:rsid w:val="01B42948"/>
    <w:rsid w:val="01BF20E7"/>
    <w:rsid w:val="01E4322D"/>
    <w:rsid w:val="021138F7"/>
    <w:rsid w:val="02B50488"/>
    <w:rsid w:val="0338470A"/>
    <w:rsid w:val="034822A9"/>
    <w:rsid w:val="03D86621"/>
    <w:rsid w:val="04EE6171"/>
    <w:rsid w:val="05315F6B"/>
    <w:rsid w:val="05395EA9"/>
    <w:rsid w:val="05704DD8"/>
    <w:rsid w:val="05B06A45"/>
    <w:rsid w:val="0616597F"/>
    <w:rsid w:val="06426ACC"/>
    <w:rsid w:val="07A62D33"/>
    <w:rsid w:val="086B5F82"/>
    <w:rsid w:val="09E6794E"/>
    <w:rsid w:val="0A067AB9"/>
    <w:rsid w:val="0A093BDC"/>
    <w:rsid w:val="0A9A299E"/>
    <w:rsid w:val="0ABD557B"/>
    <w:rsid w:val="0BBB5A8D"/>
    <w:rsid w:val="0C104906"/>
    <w:rsid w:val="0C607C21"/>
    <w:rsid w:val="0CCB7736"/>
    <w:rsid w:val="0D9074CF"/>
    <w:rsid w:val="0D9E0E8D"/>
    <w:rsid w:val="0DBC1618"/>
    <w:rsid w:val="0E1F65D3"/>
    <w:rsid w:val="0E3E5716"/>
    <w:rsid w:val="0E411EEF"/>
    <w:rsid w:val="0E6B257C"/>
    <w:rsid w:val="0EAB7397"/>
    <w:rsid w:val="0EF755B3"/>
    <w:rsid w:val="0F17035E"/>
    <w:rsid w:val="0F4E168D"/>
    <w:rsid w:val="0F7A0392"/>
    <w:rsid w:val="0FAF3959"/>
    <w:rsid w:val="0FD26E31"/>
    <w:rsid w:val="1020625B"/>
    <w:rsid w:val="11404466"/>
    <w:rsid w:val="11406985"/>
    <w:rsid w:val="115359F2"/>
    <w:rsid w:val="11837AA9"/>
    <w:rsid w:val="11963ADD"/>
    <w:rsid w:val="11B91434"/>
    <w:rsid w:val="11EB0F5C"/>
    <w:rsid w:val="11F20483"/>
    <w:rsid w:val="12123C76"/>
    <w:rsid w:val="12831010"/>
    <w:rsid w:val="129038DB"/>
    <w:rsid w:val="13441D7E"/>
    <w:rsid w:val="136F31F8"/>
    <w:rsid w:val="138750E0"/>
    <w:rsid w:val="1396506E"/>
    <w:rsid w:val="13D82A59"/>
    <w:rsid w:val="140E6961"/>
    <w:rsid w:val="15604228"/>
    <w:rsid w:val="15A620D3"/>
    <w:rsid w:val="16A3369E"/>
    <w:rsid w:val="17114A8B"/>
    <w:rsid w:val="176B77A7"/>
    <w:rsid w:val="178536BD"/>
    <w:rsid w:val="17E3634B"/>
    <w:rsid w:val="19516372"/>
    <w:rsid w:val="19575CC2"/>
    <w:rsid w:val="19A80228"/>
    <w:rsid w:val="19AF68C7"/>
    <w:rsid w:val="19E85A53"/>
    <w:rsid w:val="1A101464"/>
    <w:rsid w:val="1A4C1518"/>
    <w:rsid w:val="1AB71087"/>
    <w:rsid w:val="1AB74849"/>
    <w:rsid w:val="1AC52FF2"/>
    <w:rsid w:val="1AE6175D"/>
    <w:rsid w:val="1B742AA7"/>
    <w:rsid w:val="1BC21A43"/>
    <w:rsid w:val="1BD5498B"/>
    <w:rsid w:val="1BF15B4E"/>
    <w:rsid w:val="1CA34935"/>
    <w:rsid w:val="1D5A640E"/>
    <w:rsid w:val="1E4F2FFF"/>
    <w:rsid w:val="1E9351E5"/>
    <w:rsid w:val="1F7640EC"/>
    <w:rsid w:val="20176B8B"/>
    <w:rsid w:val="20D30097"/>
    <w:rsid w:val="20D76C5F"/>
    <w:rsid w:val="20E55C2B"/>
    <w:rsid w:val="21057490"/>
    <w:rsid w:val="214A230E"/>
    <w:rsid w:val="21B052C4"/>
    <w:rsid w:val="21CD3DC3"/>
    <w:rsid w:val="22B43877"/>
    <w:rsid w:val="22CA430C"/>
    <w:rsid w:val="22DF2F05"/>
    <w:rsid w:val="22FF5445"/>
    <w:rsid w:val="22FF5F6A"/>
    <w:rsid w:val="23201E3D"/>
    <w:rsid w:val="2342170A"/>
    <w:rsid w:val="238D0E57"/>
    <w:rsid w:val="24256710"/>
    <w:rsid w:val="251E7983"/>
    <w:rsid w:val="25FE2B31"/>
    <w:rsid w:val="260D5D83"/>
    <w:rsid w:val="260E1D77"/>
    <w:rsid w:val="26A07F35"/>
    <w:rsid w:val="277A77CA"/>
    <w:rsid w:val="28043432"/>
    <w:rsid w:val="284A2254"/>
    <w:rsid w:val="29165294"/>
    <w:rsid w:val="292F1467"/>
    <w:rsid w:val="29786927"/>
    <w:rsid w:val="297B51B4"/>
    <w:rsid w:val="29E40467"/>
    <w:rsid w:val="29F527E2"/>
    <w:rsid w:val="2A9A1E2C"/>
    <w:rsid w:val="2B09665D"/>
    <w:rsid w:val="2BF35971"/>
    <w:rsid w:val="2C487650"/>
    <w:rsid w:val="2C5A7AC4"/>
    <w:rsid w:val="2E4F43C0"/>
    <w:rsid w:val="2EC7368E"/>
    <w:rsid w:val="2EDC05D9"/>
    <w:rsid w:val="2F240CAA"/>
    <w:rsid w:val="2F5137B6"/>
    <w:rsid w:val="2FF62815"/>
    <w:rsid w:val="30FB4B41"/>
    <w:rsid w:val="31621165"/>
    <w:rsid w:val="322E1E8E"/>
    <w:rsid w:val="323C5548"/>
    <w:rsid w:val="33235CE2"/>
    <w:rsid w:val="33F22F3B"/>
    <w:rsid w:val="35366B72"/>
    <w:rsid w:val="359F2200"/>
    <w:rsid w:val="35A42962"/>
    <w:rsid w:val="36AD0EA9"/>
    <w:rsid w:val="36FF783F"/>
    <w:rsid w:val="37450F88"/>
    <w:rsid w:val="375F1A7E"/>
    <w:rsid w:val="378B026E"/>
    <w:rsid w:val="37B47BE4"/>
    <w:rsid w:val="37D6106F"/>
    <w:rsid w:val="37F52D97"/>
    <w:rsid w:val="38241593"/>
    <w:rsid w:val="38856E40"/>
    <w:rsid w:val="38BE1DF3"/>
    <w:rsid w:val="38F862EB"/>
    <w:rsid w:val="39047B70"/>
    <w:rsid w:val="39343807"/>
    <w:rsid w:val="39887BBC"/>
    <w:rsid w:val="3A0F7AD4"/>
    <w:rsid w:val="3A24056E"/>
    <w:rsid w:val="3A53023B"/>
    <w:rsid w:val="3A616112"/>
    <w:rsid w:val="3AF42D2D"/>
    <w:rsid w:val="3B062751"/>
    <w:rsid w:val="3B3A041F"/>
    <w:rsid w:val="3BAE6BF9"/>
    <w:rsid w:val="3BEE0229"/>
    <w:rsid w:val="3C0C753E"/>
    <w:rsid w:val="3C3568D7"/>
    <w:rsid w:val="3C3A11AB"/>
    <w:rsid w:val="3C963EFB"/>
    <w:rsid w:val="3CCA47F2"/>
    <w:rsid w:val="3CDE0708"/>
    <w:rsid w:val="3D33006A"/>
    <w:rsid w:val="3D3954D4"/>
    <w:rsid w:val="3D3B6155"/>
    <w:rsid w:val="3D4F2038"/>
    <w:rsid w:val="3D5877DF"/>
    <w:rsid w:val="3DAE53BC"/>
    <w:rsid w:val="3DAF5049"/>
    <w:rsid w:val="3DC55CAA"/>
    <w:rsid w:val="3DD556CA"/>
    <w:rsid w:val="3DFE271A"/>
    <w:rsid w:val="3E5F4AE1"/>
    <w:rsid w:val="3F057228"/>
    <w:rsid w:val="3F450429"/>
    <w:rsid w:val="3FB6105E"/>
    <w:rsid w:val="3FBF3F86"/>
    <w:rsid w:val="3FF70715"/>
    <w:rsid w:val="3FFD550C"/>
    <w:rsid w:val="4021030A"/>
    <w:rsid w:val="40226C80"/>
    <w:rsid w:val="40C451A5"/>
    <w:rsid w:val="40C671E5"/>
    <w:rsid w:val="41051ABE"/>
    <w:rsid w:val="4156470B"/>
    <w:rsid w:val="41943ACE"/>
    <w:rsid w:val="42521D88"/>
    <w:rsid w:val="425D4066"/>
    <w:rsid w:val="430118BA"/>
    <w:rsid w:val="43173FD4"/>
    <w:rsid w:val="43B27D8E"/>
    <w:rsid w:val="43FE3E34"/>
    <w:rsid w:val="44143822"/>
    <w:rsid w:val="44654A12"/>
    <w:rsid w:val="44E421C9"/>
    <w:rsid w:val="45320384"/>
    <w:rsid w:val="45716413"/>
    <w:rsid w:val="457C5F26"/>
    <w:rsid w:val="4716830A"/>
    <w:rsid w:val="47BF53CA"/>
    <w:rsid w:val="48B126BB"/>
    <w:rsid w:val="49CF255F"/>
    <w:rsid w:val="4A3239D7"/>
    <w:rsid w:val="4B2C5DCD"/>
    <w:rsid w:val="4B46D032"/>
    <w:rsid w:val="4B7D1173"/>
    <w:rsid w:val="4BBDFBDE"/>
    <w:rsid w:val="4BCF5C41"/>
    <w:rsid w:val="4C150E22"/>
    <w:rsid w:val="4C6A38FC"/>
    <w:rsid w:val="4CD520DA"/>
    <w:rsid w:val="4CE74BC3"/>
    <w:rsid w:val="4CEEB85C"/>
    <w:rsid w:val="4CF5000E"/>
    <w:rsid w:val="4D6D6EEB"/>
    <w:rsid w:val="4D8864A8"/>
    <w:rsid w:val="4DB17672"/>
    <w:rsid w:val="4DB27F04"/>
    <w:rsid w:val="4F5D15A2"/>
    <w:rsid w:val="4FCB46B2"/>
    <w:rsid w:val="4FFE57BD"/>
    <w:rsid w:val="50AC44C4"/>
    <w:rsid w:val="50EA6DB9"/>
    <w:rsid w:val="51453FF0"/>
    <w:rsid w:val="515661FD"/>
    <w:rsid w:val="51714DE5"/>
    <w:rsid w:val="51CA7471"/>
    <w:rsid w:val="521C2FA3"/>
    <w:rsid w:val="522529B2"/>
    <w:rsid w:val="524806C4"/>
    <w:rsid w:val="5301082D"/>
    <w:rsid w:val="5387476B"/>
    <w:rsid w:val="53910AF4"/>
    <w:rsid w:val="53FBDA3F"/>
    <w:rsid w:val="54F63F7F"/>
    <w:rsid w:val="555952B3"/>
    <w:rsid w:val="555E65E4"/>
    <w:rsid w:val="556B5A36"/>
    <w:rsid w:val="5599697B"/>
    <w:rsid w:val="55AF40BB"/>
    <w:rsid w:val="55E65FDC"/>
    <w:rsid w:val="5613734A"/>
    <w:rsid w:val="562D7E5B"/>
    <w:rsid w:val="564F3D12"/>
    <w:rsid w:val="56F72F7C"/>
    <w:rsid w:val="5717642E"/>
    <w:rsid w:val="573F4E21"/>
    <w:rsid w:val="57946554"/>
    <w:rsid w:val="57D80A00"/>
    <w:rsid w:val="586243BF"/>
    <w:rsid w:val="58FD3402"/>
    <w:rsid w:val="5968027A"/>
    <w:rsid w:val="5AAF7799"/>
    <w:rsid w:val="5AB04BD0"/>
    <w:rsid w:val="5B5C1753"/>
    <w:rsid w:val="5BE211F7"/>
    <w:rsid w:val="5BF510BE"/>
    <w:rsid w:val="5C6C4B26"/>
    <w:rsid w:val="5D03DFF6"/>
    <w:rsid w:val="5D9C3D56"/>
    <w:rsid w:val="5DD775C7"/>
    <w:rsid w:val="5E134100"/>
    <w:rsid w:val="5F7A1C50"/>
    <w:rsid w:val="5FC69000"/>
    <w:rsid w:val="601C4AB5"/>
    <w:rsid w:val="604F2F3E"/>
    <w:rsid w:val="60BE691E"/>
    <w:rsid w:val="60F838FC"/>
    <w:rsid w:val="61444403"/>
    <w:rsid w:val="62265BDF"/>
    <w:rsid w:val="62E1699A"/>
    <w:rsid w:val="62FBC294"/>
    <w:rsid w:val="63123C13"/>
    <w:rsid w:val="637D5875"/>
    <w:rsid w:val="64147F0D"/>
    <w:rsid w:val="64B713E7"/>
    <w:rsid w:val="64D66362"/>
    <w:rsid w:val="65860217"/>
    <w:rsid w:val="659D5052"/>
    <w:rsid w:val="667E0AA1"/>
    <w:rsid w:val="66AE5CE5"/>
    <w:rsid w:val="66D4191C"/>
    <w:rsid w:val="677027A4"/>
    <w:rsid w:val="67B37C7A"/>
    <w:rsid w:val="67F20A94"/>
    <w:rsid w:val="68FB17C3"/>
    <w:rsid w:val="695F12F9"/>
    <w:rsid w:val="69636C3A"/>
    <w:rsid w:val="696D83E8"/>
    <w:rsid w:val="69C60A20"/>
    <w:rsid w:val="69CF7B2C"/>
    <w:rsid w:val="69EE4FDB"/>
    <w:rsid w:val="69FEC155"/>
    <w:rsid w:val="6A0B0004"/>
    <w:rsid w:val="6A3273AF"/>
    <w:rsid w:val="6AC56475"/>
    <w:rsid w:val="6AD35263"/>
    <w:rsid w:val="6B8D38AE"/>
    <w:rsid w:val="6BA1010E"/>
    <w:rsid w:val="6BC80F42"/>
    <w:rsid w:val="6CE47E41"/>
    <w:rsid w:val="6CED5810"/>
    <w:rsid w:val="6CF92413"/>
    <w:rsid w:val="6DFE5E04"/>
    <w:rsid w:val="6E0D1F7B"/>
    <w:rsid w:val="6E796921"/>
    <w:rsid w:val="6E87203D"/>
    <w:rsid w:val="6F8C2350"/>
    <w:rsid w:val="6F9278BB"/>
    <w:rsid w:val="6FB7D4E3"/>
    <w:rsid w:val="6FBE0EF0"/>
    <w:rsid w:val="6FF41ED1"/>
    <w:rsid w:val="6FFF1C22"/>
    <w:rsid w:val="70EC5DDE"/>
    <w:rsid w:val="71572F19"/>
    <w:rsid w:val="719B7427"/>
    <w:rsid w:val="71E33685"/>
    <w:rsid w:val="71F326B3"/>
    <w:rsid w:val="721734E1"/>
    <w:rsid w:val="724A6793"/>
    <w:rsid w:val="72647B59"/>
    <w:rsid w:val="7372FC32"/>
    <w:rsid w:val="73A56E44"/>
    <w:rsid w:val="73B12A87"/>
    <w:rsid w:val="741F26FA"/>
    <w:rsid w:val="74470DF8"/>
    <w:rsid w:val="744E1D52"/>
    <w:rsid w:val="74BD60BB"/>
    <w:rsid w:val="74CF0052"/>
    <w:rsid w:val="74FA3C0D"/>
    <w:rsid w:val="751D6EAE"/>
    <w:rsid w:val="75FD1676"/>
    <w:rsid w:val="7687113B"/>
    <w:rsid w:val="76C3247D"/>
    <w:rsid w:val="76EFC8B0"/>
    <w:rsid w:val="776ACBF9"/>
    <w:rsid w:val="77FF7A21"/>
    <w:rsid w:val="7951325E"/>
    <w:rsid w:val="799536BA"/>
    <w:rsid w:val="7B170752"/>
    <w:rsid w:val="7B382425"/>
    <w:rsid w:val="7B8F681B"/>
    <w:rsid w:val="7BC55225"/>
    <w:rsid w:val="7BFF9B5C"/>
    <w:rsid w:val="7C3B673F"/>
    <w:rsid w:val="7C510ADB"/>
    <w:rsid w:val="7CED5089"/>
    <w:rsid w:val="7D8636B9"/>
    <w:rsid w:val="7DD96C0E"/>
    <w:rsid w:val="7DDE3C10"/>
    <w:rsid w:val="7E352599"/>
    <w:rsid w:val="7E474F7B"/>
    <w:rsid w:val="7E7F4A49"/>
    <w:rsid w:val="7E8F7AC1"/>
    <w:rsid w:val="7F2BE2DA"/>
    <w:rsid w:val="7F7F87CE"/>
    <w:rsid w:val="7FB79B09"/>
    <w:rsid w:val="7FE97AB9"/>
    <w:rsid w:val="7FF13FB3"/>
    <w:rsid w:val="7FF31D0E"/>
    <w:rsid w:val="7FFDD6B3"/>
    <w:rsid w:val="7FFFB476"/>
    <w:rsid w:val="8BDF47C4"/>
    <w:rsid w:val="97BCC380"/>
    <w:rsid w:val="9FFF52D8"/>
    <w:rsid w:val="AEB56B76"/>
    <w:rsid w:val="AF9DF110"/>
    <w:rsid w:val="AFABB544"/>
    <w:rsid w:val="B8EB831F"/>
    <w:rsid w:val="B97CA8A2"/>
    <w:rsid w:val="BDEC0853"/>
    <w:rsid w:val="BEDF2C93"/>
    <w:rsid w:val="BFCF8B12"/>
    <w:rsid w:val="BFDE3C5E"/>
    <w:rsid w:val="BFF98747"/>
    <w:rsid w:val="BFFBFE8B"/>
    <w:rsid w:val="CD1D59DB"/>
    <w:rsid w:val="D8BFEB7A"/>
    <w:rsid w:val="DA7C7C00"/>
    <w:rsid w:val="DBBAFFF2"/>
    <w:rsid w:val="DCEDDEBC"/>
    <w:rsid w:val="DD7F0B52"/>
    <w:rsid w:val="DF2D0D8F"/>
    <w:rsid w:val="DF5FFD2E"/>
    <w:rsid w:val="DF7CB467"/>
    <w:rsid w:val="DFD16BC5"/>
    <w:rsid w:val="E7C7ECFD"/>
    <w:rsid w:val="E993F613"/>
    <w:rsid w:val="EAF02C80"/>
    <w:rsid w:val="EAFDC676"/>
    <w:rsid w:val="EC7CC44F"/>
    <w:rsid w:val="EDFFCE85"/>
    <w:rsid w:val="EFFEB24D"/>
    <w:rsid w:val="EFFFEA89"/>
    <w:rsid w:val="F67CDAB7"/>
    <w:rsid w:val="F7FFE2AA"/>
    <w:rsid w:val="FA96002D"/>
    <w:rsid w:val="FAFB27C0"/>
    <w:rsid w:val="FAFD7633"/>
    <w:rsid w:val="FB1719BC"/>
    <w:rsid w:val="FB2CBFEE"/>
    <w:rsid w:val="FBF58250"/>
    <w:rsid w:val="FCABCEC9"/>
    <w:rsid w:val="FD2B24D7"/>
    <w:rsid w:val="FDB340CE"/>
    <w:rsid w:val="FDFF90A7"/>
    <w:rsid w:val="FECB43AA"/>
    <w:rsid w:val="FEF02C5D"/>
    <w:rsid w:val="FEF9D4A3"/>
    <w:rsid w:val="FF5F60DE"/>
    <w:rsid w:val="FF5FC66C"/>
    <w:rsid w:val="FF9F4BB4"/>
    <w:rsid w:val="FFBB7CF0"/>
    <w:rsid w:val="FFDD4AC6"/>
    <w:rsid w:val="FFDEE716"/>
    <w:rsid w:val="FFF927C6"/>
    <w:rsid w:val="FFFB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locked/>
    <w:uiPriority w:val="0"/>
    <w:pPr>
      <w:keepNext/>
      <w:keepLines/>
      <w:outlineLvl w:val="0"/>
    </w:pPr>
    <w:rPr>
      <w:rFonts w:eastAsia="黑体"/>
      <w:bCs/>
      <w:kern w:val="44"/>
      <w:szCs w:val="44"/>
    </w:rPr>
  </w:style>
  <w:style w:type="character" w:default="1" w:styleId="9">
    <w:name w:val="Default Paragraph Font"/>
    <w:semiHidden/>
    <w:qFormat/>
    <w:uiPriority w:val="99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1"/>
    <w:qFormat/>
    <w:uiPriority w:val="0"/>
    <w:pPr>
      <w:snapToGrid w:val="0"/>
      <w:jc w:val="left"/>
    </w:pPr>
    <w:rPr>
      <w:sz w:val="18"/>
      <w:szCs w:val="18"/>
    </w:r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99"/>
    <w:rPr>
      <w:rFonts w:cs="Times New Roman"/>
    </w:rPr>
  </w:style>
  <w:style w:type="character" w:customStyle="1" w:styleId="11">
    <w:name w:val="Footer Char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Header Char"/>
    <w:basedOn w:val="9"/>
    <w:link w:val="6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character" w:customStyle="1" w:styleId="16">
    <w:name w:val="font21"/>
    <w:basedOn w:val="9"/>
    <w:qFormat/>
    <w:uiPriority w:val="0"/>
    <w:rPr>
      <w:rFonts w:hint="default" w:ascii="思源黑体" w:hAnsi="思源黑体" w:eastAsia="思源黑体" w:cs="思源黑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3" Type="http://schemas.openxmlformats.org/officeDocument/2006/relationships/font" Target="fonts/font13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11</Pages>
  <Words>3697</Words>
  <Characters>3986</Characters>
  <Lines>0</Lines>
  <Paragraphs>0</Paragraphs>
  <TotalTime>4</TotalTime>
  <ScaleCrop>false</ScaleCrop>
  <LinksUpToDate>false</LinksUpToDate>
  <CharactersWithSpaces>4030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2020-06-06T01:07:00Z</dcterms:created>
  <dc:creator>Administrator</dc:creator>
  <cp:lastModifiedBy>胡</cp:lastModifiedBy>
  <cp:lastPrinted>2025-05-23T02:49:00Z</cp:lastPrinted>
  <dcterms:modified xsi:type="dcterms:W3CDTF">2026-06-04T02:48:06Z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386772509_embed</vt:lpwstr>
  </property>
  <property fmtid="{D5CDD505-2E9C-101B-9397-08002B2CF9AE}" pid="4" name="ICV">
    <vt:lpwstr>E0038402AC894627A55EEFF2CDEE68EF_13</vt:lpwstr>
  </property>
  <property fmtid="{D5CDD505-2E9C-101B-9397-08002B2CF9AE}" pid="5" name="KSOTemplateDocerSaveRecord">
    <vt:lpwstr>eyJoZGlkIjoiNjA1MWY3NDkyZmFiMGE3ZTNjZjlhMTljN2FkYmJmMjIiLCJ1c2VySWQiOiI0NzQ2MTQwODQifQ==</vt:lpwstr>
  </property>
</Properties>
</file>