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年度水旱灾害防御事务中心整体支出</w:t>
      </w:r>
    </w:p>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spacing w:line="610" w:lineRule="exact"/>
        <w:ind w:firstLine="640" w:firstLineChars="200"/>
        <w:rPr>
          <w:rFonts w:ascii="Times New Roman" w:hAnsi="Times New Roman" w:eastAsia="仿宋_GB2312" w:cs="Times New Roman"/>
          <w:sz w:val="32"/>
          <w:szCs w:val="32"/>
        </w:rPr>
      </w:pPr>
    </w:p>
    <w:p>
      <w:pPr>
        <w:widowControl w:val="0"/>
        <w:numPr>
          <w:ilvl w:val="0"/>
          <w:numId w:val="1"/>
        </w:numPr>
        <w:spacing w:line="560" w:lineRule="exact"/>
        <w:ind w:left="1360" w:hanging="720" w:firstLineChars="0"/>
        <w:jc w:val="both"/>
        <w:rPr>
          <w:rFonts w:ascii="Calibri" w:hAnsi="Calibri" w:eastAsia="黑体" w:cs="Times New Roman"/>
          <w:kern w:val="2"/>
          <w:sz w:val="32"/>
          <w:szCs w:val="32"/>
          <w:lang w:val="en-US" w:eastAsia="zh-CN" w:bidi="ar-SA"/>
        </w:rPr>
      </w:pPr>
      <w:r>
        <w:rPr>
          <w:rFonts w:ascii="Calibri" w:hAnsi="Calibri" w:eastAsia="黑体" w:cs="Times New Roman"/>
          <w:kern w:val="2"/>
          <w:sz w:val="32"/>
          <w:szCs w:val="32"/>
          <w:lang w:val="en-US" w:eastAsia="zh-CN" w:bidi="ar-SA"/>
        </w:rPr>
        <w:t>部门（单位）基本情况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根据编委核定，202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单位编制</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人，其中行政人员</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人。</w:t>
      </w:r>
    </w:p>
    <w:p>
      <w:pPr>
        <w:widowControl w:val="0"/>
        <w:numPr>
          <w:ilvl w:val="0"/>
          <w:numId w:val="1"/>
        </w:numPr>
        <w:spacing w:line="560" w:lineRule="exact"/>
        <w:ind w:left="1360" w:hanging="720" w:firstLineChars="0"/>
        <w:jc w:val="both"/>
        <w:rPr>
          <w:rFonts w:ascii="Calibri" w:hAnsi="Calibri" w:eastAsia="黑体" w:cs="Times New Roman"/>
          <w:kern w:val="2"/>
          <w:sz w:val="32"/>
          <w:szCs w:val="32"/>
          <w:lang w:val="en-US" w:eastAsia="zh-CN" w:bidi="ar-SA"/>
        </w:rPr>
      </w:pPr>
      <w:r>
        <w:rPr>
          <w:rFonts w:ascii="Calibri" w:hAnsi="Calibri" w:eastAsia="黑体" w:cs="Times New Roman"/>
          <w:kern w:val="2"/>
          <w:sz w:val="32"/>
          <w:szCs w:val="32"/>
          <w:lang w:val="en-US" w:eastAsia="zh-CN" w:bidi="ar-SA"/>
        </w:rPr>
        <w:t>基本支出情况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的主要用途是人员经费和日常公用经费，主要包括人员工资、津贴补贴、年终一次性奖金、社会保障缴费、办公费、印刷费、水费、电费、邮电费、差旅费、维修（护）费、会议费、培训费、“三公”经费、生活补助、住房公积金、其他对个人和家庭的补助支出；其资金的管理通过国库集中支付；对“三公”经费的使用和管理，严格按照“只减不增”的原则控制，本单位“三公”经费及公务接待费0.</w:t>
      </w:r>
      <w:r>
        <w:rPr>
          <w:rFonts w:hint="eastAsia" w:ascii="仿宋_GB2312" w:hAnsi="仿宋_GB2312" w:eastAsia="仿宋_GB2312" w:cs="仿宋_GB2312"/>
          <w:sz w:val="32"/>
          <w:szCs w:val="32"/>
          <w:lang w:val="en-US" w:eastAsia="zh-CN"/>
        </w:rPr>
        <w:t>084</w:t>
      </w:r>
      <w:r>
        <w:rPr>
          <w:rFonts w:hint="eastAsia" w:ascii="仿宋_GB2312" w:hAnsi="仿宋_GB2312" w:eastAsia="仿宋_GB2312" w:cs="仿宋_GB2312"/>
          <w:sz w:val="32"/>
          <w:szCs w:val="32"/>
        </w:rPr>
        <w:t>万元，公车运行及维护费为0万元。202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年本单位对财政拨入资金，首先严格按照财政“节约、低耗、高效”的原则开展工作，统筹安排，合理支出。</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三、项目支出情况</w:t>
      </w:r>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事业发展基金6.4万元妥善落实。</w:t>
      </w:r>
      <w:bookmarkStart w:id="0" w:name="_GoBack"/>
      <w:bookmarkEnd w:id="0"/>
    </w:p>
    <w:p>
      <w:pPr>
        <w:ind w:firstLine="627" w:firstLineChars="196"/>
        <w:rPr>
          <w:rFonts w:ascii="Times New Roman" w:hAnsi="Times New Roman" w:eastAsia="黑体" w:cs="Times New Roman"/>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、部门整体支出绩效情况</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县高度重视防汛抗灾工作，建立了县级防御管理机构，防御管理机构人员配备齐全，职责分工明确，相关经费纳入同级财政预算；在资金管理、项目管理、监督检查等方面均制定了相应的规章制度，后期防汛救灾各项工作基本做到有法可依、有章可循、有据可查、有人负责。</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认真开展内审工作，配合上级开展内审、审计、稽察，对存在的问题及时落实整改措施，整改到位。</w:t>
      </w:r>
    </w:p>
    <w:p>
      <w:pPr>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中心与财政部门结合实际，制定了绩效管理细则，根据年度财政指标下达和年度计划制定情况，科学设置年度绩效目标，由分管领导牵头、各股室支持配合，共同参与绩效管理和自评工作，准确填报绩效评价数据，在规定期限内完成了年度绩效自评工作，并上报了绩效自评材料。</w:t>
      </w:r>
    </w:p>
    <w:p>
      <w:pPr>
        <w:ind w:firstLine="627" w:firstLineChars="196"/>
        <w:rPr>
          <w:rFonts w:ascii="黑体" w:hAnsi="黑体" w:eastAsia="黑体" w:cs="黑体"/>
          <w:color w:val="000000"/>
          <w:sz w:val="32"/>
          <w:szCs w:val="32"/>
        </w:rPr>
      </w:pPr>
      <w:r>
        <w:rPr>
          <w:rFonts w:hint="eastAsia" w:ascii="黑体" w:hAnsi="黑体" w:eastAsia="黑体" w:cs="黑体"/>
          <w:sz w:val="32"/>
          <w:szCs w:val="32"/>
        </w:rPr>
        <w:t>五、存在的问题及原因分</w:t>
      </w:r>
      <w:r>
        <w:rPr>
          <w:rFonts w:hint="eastAsia" w:ascii="黑体" w:hAnsi="黑体" w:eastAsia="黑体" w:cs="黑体"/>
          <w:color w:val="000000"/>
          <w:sz w:val="32"/>
          <w:szCs w:val="32"/>
        </w:rPr>
        <w:t>析</w:t>
      </w:r>
    </w:p>
    <w:p>
      <w:pPr>
        <w:ind w:firstLine="627" w:firstLineChars="196"/>
        <w:rPr>
          <w:rFonts w:ascii="Times New Roman" w:hAnsi="Times New Roman" w:eastAsia="仿宋_GB2312" w:cs="Times New Roman"/>
          <w:sz w:val="32"/>
          <w:szCs w:val="32"/>
        </w:rPr>
      </w:pPr>
      <w:r>
        <w:rPr>
          <w:rFonts w:hint="eastAsia" w:ascii="仿宋_GB2312" w:hAnsi="仿宋_GB2312" w:eastAsia="仿宋_GB2312" w:cs="仿宋_GB2312"/>
          <w:sz w:val="32"/>
          <w:szCs w:val="32"/>
        </w:rPr>
        <w:t>我中心202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年未完成的绩效目标主要体现在项目管理，以及数量指标、质量指标和时效指标等产出指标方面。</w:t>
      </w:r>
    </w:p>
    <w:p>
      <w:pPr>
        <w:spacing w:line="56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、下一步改进措施</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color w:val="000000"/>
          <w:sz w:val="32"/>
          <w:szCs w:val="32"/>
        </w:rPr>
        <w:t>防御机构是各级政府防汛抗灾工作的主体责任单位，要积极争取各级各部门领导重视，强化防御机构的管理职能，优化防汛救灾资金财政拨付机制，并进一步加强项目实施管理：</w:t>
      </w:r>
      <w:r>
        <w:rPr>
          <w:rFonts w:hint="eastAsia" w:ascii="仿宋_GB2312" w:hAnsi="仿宋_GB2312" w:eastAsia="仿宋_GB2312" w:cs="仿宋_GB2312"/>
          <w:b/>
          <w:color w:val="000000"/>
          <w:sz w:val="32"/>
          <w:szCs w:val="32"/>
        </w:rPr>
        <w:t>一是</w:t>
      </w:r>
      <w:r>
        <w:rPr>
          <w:rFonts w:hint="eastAsia" w:ascii="仿宋_GB2312" w:hAnsi="仿宋_GB2312" w:eastAsia="仿宋_GB2312" w:cs="仿宋_GB2312"/>
          <w:color w:val="000000"/>
          <w:sz w:val="32"/>
          <w:szCs w:val="32"/>
        </w:rPr>
        <w:t>进一步完善项目储备库，加快项目前期工作进度，强化计划管理意识，加强工作衔接，按规定完成项目备案并及时下达项目计划；</w:t>
      </w:r>
      <w:r>
        <w:rPr>
          <w:rFonts w:hint="eastAsia" w:ascii="仿宋_GB2312" w:hAnsi="仿宋_GB2312" w:eastAsia="仿宋_GB2312" w:cs="仿宋_GB2312"/>
          <w:b/>
          <w:color w:val="000000"/>
          <w:sz w:val="32"/>
          <w:szCs w:val="32"/>
        </w:rPr>
        <w:t>二是</w:t>
      </w:r>
      <w:r>
        <w:rPr>
          <w:rFonts w:hint="eastAsia" w:ascii="仿宋_GB2312" w:hAnsi="仿宋_GB2312" w:eastAsia="仿宋_GB2312" w:cs="仿宋_GB2312"/>
          <w:color w:val="000000"/>
          <w:sz w:val="32"/>
          <w:szCs w:val="32"/>
        </w:rPr>
        <w:t>要加强与当地主要领导的请示汇报，督促项目单位加快项目验收和结算进度，协调财政支持配合，加大对防汛救灾专项资金的拨付力度，以减少资金结存，确保资金及时发挥效益；</w:t>
      </w:r>
      <w:r>
        <w:rPr>
          <w:rFonts w:hint="eastAsia" w:ascii="仿宋_GB2312" w:hAnsi="仿宋_GB2312" w:eastAsia="仿宋_GB2312" w:cs="仿宋_GB2312"/>
          <w:b/>
          <w:color w:val="000000"/>
          <w:sz w:val="32"/>
          <w:szCs w:val="32"/>
        </w:rPr>
        <w:t>三是</w:t>
      </w:r>
      <w:r>
        <w:rPr>
          <w:rFonts w:hint="eastAsia" w:ascii="仿宋_GB2312" w:hAnsi="仿宋_GB2312" w:eastAsia="仿宋_GB2312" w:cs="仿宋_GB2312"/>
          <w:color w:val="000000"/>
          <w:sz w:val="32"/>
          <w:szCs w:val="32"/>
        </w:rPr>
        <w:t>建议省、市防御主管部门根据当前防汛救灾工作实际修订完善现行项目与资金管理相关规定，明确和规范项目前期及实施管理相关费用列支，保障项目建设有序有力推进。</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2A4706"/>
    <w:multiLevelType w:val="multilevel"/>
    <w:tmpl w:val="702A4706"/>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MjhlMDExODRmY2E5MTdlMTkyMzU0ZjkwNTMwMTgifQ=="/>
  </w:docVars>
  <w:rsids>
    <w:rsidRoot w:val="267D3A94"/>
    <w:rsid w:val="267D3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2026-05-28T01:54:00Z</dcterms:created>
  <dc:creator>糖醋小排</dc:creator>
  <cp:lastModifiedBy>糖醋小排</cp:lastModifiedBy>
  <dcterms:modified xsi:type="dcterms:W3CDTF">2026-05-28T02:20:58Z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D93D10AE35C14FA68CBE22E27864F331_11</vt:lpwstr>
  </property>
</Properties>
</file>