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附件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2</w:t>
      </w: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before="223" w:line="600" w:lineRule="exact"/>
        <w:ind w:firstLine="520" w:firstLineChars="100"/>
        <w:jc w:val="center"/>
        <w:rPr>
          <w:rFonts w:hint="eastAsia" w:ascii="黑体" w:hAnsi="黑体" w:eastAsia="黑体" w:cs="黑体"/>
          <w:b/>
          <w:bCs/>
          <w:spacing w:val="-1"/>
          <w:sz w:val="52"/>
          <w:szCs w:val="52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before="223" w:line="600" w:lineRule="exact"/>
        <w:ind w:firstLine="520" w:firstLineChars="100"/>
        <w:jc w:val="center"/>
        <w:rPr>
          <w:rFonts w:hint="eastAsia" w:ascii="黑体" w:hAnsi="黑体" w:eastAsia="黑体" w:cs="黑体"/>
          <w:b/>
          <w:bCs/>
          <w:spacing w:val="-1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/>
          <w:bCs/>
          <w:spacing w:val="-1"/>
          <w:sz w:val="52"/>
          <w:szCs w:val="52"/>
        </w:rPr>
        <w:t>202</w:t>
      </w:r>
      <w:r>
        <w:rPr>
          <w:rFonts w:hint="eastAsia" w:ascii="黑体" w:hAnsi="黑体" w:eastAsia="黑体" w:cs="黑体"/>
          <w:b/>
          <w:bCs/>
          <w:spacing w:val="-1"/>
          <w:sz w:val="52"/>
          <w:szCs w:val="52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pacing w:val="-1"/>
          <w:sz w:val="52"/>
          <w:szCs w:val="52"/>
        </w:rPr>
        <w:t>年度</w:t>
      </w:r>
      <w:r>
        <w:rPr>
          <w:rFonts w:hint="eastAsia" w:ascii="黑体" w:hAnsi="黑体" w:eastAsia="黑体" w:cs="黑体"/>
          <w:b/>
          <w:bCs/>
          <w:spacing w:val="-1"/>
          <w:sz w:val="52"/>
          <w:szCs w:val="52"/>
          <w:lang w:eastAsia="zh-CN"/>
        </w:rPr>
        <w:t>华容县住房和城乡建设局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23" w:line="600" w:lineRule="exact"/>
        <w:ind w:firstLine="1560" w:firstLineChars="300"/>
        <w:jc w:val="both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-1"/>
          <w:sz w:val="52"/>
          <w:szCs w:val="52"/>
        </w:rPr>
        <w:t>部门整体支出</w:t>
      </w:r>
      <w:r>
        <w:rPr>
          <w:rFonts w:hint="eastAsia" w:ascii="黑体" w:hAnsi="黑体" w:eastAsia="黑体" w:cs="黑体"/>
          <w:b/>
          <w:bCs/>
          <w:spacing w:val="-3"/>
          <w:sz w:val="52"/>
          <w:szCs w:val="52"/>
        </w:rPr>
        <w:t>绩效自评报告</w:t>
      </w: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600" w:lineRule="exact"/>
        <w:textAlignment w:val="auto"/>
        <w:rPr>
          <w:rFonts w:hint="eastAsia" w:ascii="仿宋" w:hAnsi="仿宋" w:eastAsia="仿宋" w:cs="仿宋"/>
          <w:spacing w:val="-1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600" w:lineRule="exact"/>
        <w:textAlignment w:val="auto"/>
        <w:rPr>
          <w:rFonts w:hint="eastAsia" w:ascii="仿宋" w:hAnsi="仿宋" w:eastAsia="仿宋" w:cs="仿宋"/>
          <w:spacing w:val="-1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600" w:lineRule="exact"/>
        <w:textAlignment w:val="auto"/>
        <w:rPr>
          <w:rFonts w:hint="eastAsia" w:ascii="仿宋" w:hAnsi="仿宋" w:eastAsia="仿宋" w:cs="仿宋"/>
          <w:spacing w:val="-1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600" w:lineRule="exact"/>
        <w:textAlignment w:val="auto"/>
        <w:rPr>
          <w:rFonts w:hint="eastAsia" w:ascii="仿宋" w:hAnsi="仿宋" w:eastAsia="仿宋" w:cs="仿宋"/>
          <w:spacing w:val="-1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60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10"/>
          <w:sz w:val="30"/>
          <w:szCs w:val="30"/>
        </w:rPr>
        <w:t>部门（单位）名称</w:t>
      </w:r>
      <w:r>
        <w:rPr>
          <w:rFonts w:hint="eastAsia" w:ascii="仿宋" w:hAnsi="仿宋" w:eastAsia="仿宋" w:cs="仿宋"/>
          <w:spacing w:val="4"/>
          <w:sz w:val="30"/>
          <w:szCs w:val="30"/>
        </w:rPr>
        <w:t>：</w:t>
      </w:r>
      <w:r>
        <w:rPr>
          <w:rFonts w:hint="eastAsia" w:ascii="仿宋" w:hAnsi="仿宋" w:eastAsia="仿宋" w:cs="仿宋"/>
          <w:spacing w:val="4"/>
          <w:sz w:val="30"/>
          <w:szCs w:val="30"/>
          <w:u w:val="single" w:color="auto"/>
          <w:lang w:val="en-US" w:eastAsia="zh-CN"/>
        </w:rPr>
        <w:t>(</w:t>
      </w:r>
      <w:r>
        <w:rPr>
          <w:rFonts w:hint="eastAsia"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75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10"/>
          <w:sz w:val="30"/>
          <w:szCs w:val="30"/>
          <w:u w:val="single" w:color="auto"/>
        </w:rPr>
        <w:t>盖章）</w:t>
      </w:r>
      <w:r>
        <w:rPr>
          <w:rFonts w:hint="eastAsia" w:cs="仿宋"/>
          <w:spacing w:val="-10"/>
          <w:sz w:val="30"/>
          <w:szCs w:val="30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-10"/>
          <w:sz w:val="30"/>
          <w:szCs w:val="30"/>
          <w:u w:val="single" w:color="auto"/>
          <w:lang w:eastAsia="zh-CN"/>
        </w:rPr>
        <w:t>华容县住房和城乡建设局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      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28" w:line="600" w:lineRule="exact"/>
        <w:ind w:firstLine="5396" w:firstLineChars="19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8"/>
          <w:sz w:val="30"/>
          <w:szCs w:val="30"/>
          <w:lang w:val="en-US" w:eastAsia="zh-CN"/>
        </w:rPr>
        <w:t>2026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年</w:t>
      </w:r>
      <w:r>
        <w:rPr>
          <w:rFonts w:hint="eastAsia" w:ascii="仿宋" w:hAnsi="仿宋" w:eastAsia="仿宋" w:cs="仿宋"/>
          <w:spacing w:val="-8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月</w:t>
      </w:r>
      <w:r>
        <w:rPr>
          <w:rFonts w:hint="eastAsia" w:ascii="仿宋" w:hAnsi="仿宋" w:eastAsia="仿宋" w:cs="仿宋"/>
          <w:spacing w:val="-8"/>
          <w:sz w:val="30"/>
          <w:szCs w:val="30"/>
          <w:lang w:val="en-US" w:eastAsia="zh-CN"/>
        </w:rPr>
        <w:t>27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日</w:t>
      </w: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pStyle w:val="5"/>
        <w:keepNext w:val="0"/>
        <w:keepLines w:val="0"/>
        <w:pageBreakBefore w:val="0"/>
        <w:overflowPunct/>
        <w:topLinePunct w:val="0"/>
        <w:bidi w:val="0"/>
        <w:spacing w:before="102" w:line="600" w:lineRule="exact"/>
        <w:ind w:left="3216"/>
        <w:rPr>
          <w:rFonts w:hint="eastAsia" w:ascii="仿宋" w:hAnsi="仿宋" w:eastAsia="仿宋" w:cs="仿宋"/>
          <w:spacing w:val="8"/>
          <w:sz w:val="30"/>
          <w:szCs w:val="30"/>
        </w:rPr>
      </w:pPr>
    </w:p>
    <w:p>
      <w:pPr>
        <w:pStyle w:val="5"/>
        <w:keepNext w:val="0"/>
        <w:keepLines w:val="0"/>
        <w:pageBreakBefore w:val="0"/>
        <w:overflowPunct/>
        <w:topLinePunct w:val="0"/>
        <w:bidi w:val="0"/>
        <w:spacing w:before="102" w:line="600" w:lineRule="exact"/>
        <w:ind w:left="3216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8"/>
          <w:sz w:val="30"/>
          <w:szCs w:val="30"/>
        </w:rPr>
        <w:t>（此页为封面）</w:t>
      </w:r>
    </w:p>
    <w:p>
      <w:pPr>
        <w:pStyle w:val="2"/>
        <w:ind w:left="0" w:leftChars="0" w:firstLine="0" w:firstLineChars="0"/>
        <w:rPr>
          <w:rFonts w:hint="eastAsia"/>
        </w:rPr>
        <w:sectPr>
          <w:headerReference r:id="rId3" w:type="default"/>
          <w:footerReference r:id="rId4" w:type="default"/>
          <w:pgSz w:w="11905" w:h="16838"/>
          <w:pgMar w:top="1984" w:right="1701" w:bottom="1984" w:left="1701" w:header="850" w:footer="1587" w:gutter="0"/>
          <w:pgNumType w:fmt="numberInDash" w:start="7"/>
          <w:cols w:space="0" w:num="1"/>
          <w:rtlGutter w:val="0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/>
          <w:bCs/>
          <w:spacing w:val="6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6"/>
          <w:sz w:val="52"/>
          <w:szCs w:val="52"/>
        </w:rPr>
        <w:t>202</w:t>
      </w:r>
      <w:r>
        <w:rPr>
          <w:rFonts w:hint="eastAsia" w:ascii="黑体" w:hAnsi="黑体" w:eastAsia="黑体" w:cs="黑体"/>
          <w:b/>
          <w:bCs/>
          <w:spacing w:val="6"/>
          <w:sz w:val="52"/>
          <w:szCs w:val="52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pacing w:val="6"/>
          <w:sz w:val="52"/>
          <w:szCs w:val="52"/>
        </w:rPr>
        <w:t>年度</w:t>
      </w:r>
      <w:r>
        <w:rPr>
          <w:rFonts w:hint="eastAsia" w:ascii="黑体" w:hAnsi="黑体" w:eastAsia="黑体" w:cs="黑体"/>
          <w:b/>
          <w:bCs/>
          <w:spacing w:val="6"/>
          <w:sz w:val="52"/>
          <w:szCs w:val="52"/>
          <w:lang w:eastAsia="zh-CN"/>
        </w:rPr>
        <w:t>住房和城乡建设局</w:t>
      </w:r>
      <w:r>
        <w:rPr>
          <w:rFonts w:hint="eastAsia" w:ascii="黑体" w:hAnsi="黑体" w:eastAsia="黑体" w:cs="黑体"/>
          <w:b/>
          <w:bCs/>
          <w:spacing w:val="6"/>
          <w:sz w:val="52"/>
          <w:szCs w:val="52"/>
        </w:rPr>
        <w:t>部门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/>
          <w:bCs/>
          <w:spacing w:val="7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6"/>
          <w:sz w:val="52"/>
          <w:szCs w:val="52"/>
        </w:rPr>
        <w:t>整体支出</w:t>
      </w:r>
      <w:r>
        <w:rPr>
          <w:rFonts w:hint="eastAsia" w:ascii="黑体" w:hAnsi="黑体" w:eastAsia="黑体" w:cs="黑体"/>
          <w:b/>
          <w:bCs/>
          <w:spacing w:val="7"/>
          <w:sz w:val="52"/>
          <w:szCs w:val="52"/>
        </w:rPr>
        <w:t>绩效自评报告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600" w:lineRule="exact"/>
        <w:textAlignment w:val="baseline"/>
        <w:outlineLvl w:val="1"/>
        <w:rPr>
          <w:rFonts w:hint="eastAsia" w:ascii="仿宋" w:hAnsi="仿宋" w:eastAsia="仿宋" w:cs="仿宋"/>
          <w:b/>
          <w:bCs/>
          <w:spacing w:val="-17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pacing w:val="-17"/>
          <w:sz w:val="30"/>
          <w:szCs w:val="30"/>
          <w:lang w:eastAsia="zh-CN"/>
        </w:rPr>
        <w:t>一、部门(单位)基本情况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（一）基本情况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华容县住建局现设有办公室、财务室、人事股、行政审批股、信访室、法制股、消防股、住保股、建筑业股、党风廉政室、房地产市政管理股十一个股室。主要职能是贯彻执行有关建设法规；组织实施城市公用事业，建筑业，建设市场等方面的行政执法；负责全县建设行业的资质审核和管理；承办县委县政府交办的其他事项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直属单位：住建局下属有九个二级单位：城建办、住保中心、建工办、质监站、墙改办、村建办、污管办、征拆办、城区排涝泵站。</w:t>
      </w:r>
    </w:p>
    <w:p>
      <w:pPr>
        <w:keepNext w:val="0"/>
        <w:keepLines w:val="0"/>
        <w:pageBreakBefore w:val="0"/>
        <w:overflowPunct/>
        <w:topLinePunct w:val="0"/>
        <w:bidi w:val="0"/>
        <w:spacing w:line="600" w:lineRule="exact"/>
        <w:ind w:firstLine="600" w:firstLineChars="200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（二）部门（单位）整体支出规模、使用方向和主要内容、涉及范围等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  <w:t>2025年度财政拨款收入25518.58万元，其中：一般公共预算财政拨款收入10234.86万元，占本年收入合计的40.11%，政府性基金本年收入15283.72万元,占本年收入合计的59.89%。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  <w:t>2025年支出合计25518.58万元，其中：人员支出1697.23万元，占本年支出合计的6.65%，公用经费支出404.48万元，占本年支出合计的1.59%，项目支出23416.87万元，占本年支出合计的91.76%。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2" w:line="600" w:lineRule="exact"/>
        <w:textAlignment w:val="baseline"/>
        <w:outlineLvl w:val="1"/>
        <w:rPr>
          <w:rFonts w:hint="eastAsia" w:ascii="仿宋" w:hAnsi="仿宋" w:eastAsia="仿宋" w:cs="仿宋"/>
          <w:b/>
          <w:bCs/>
          <w:spacing w:val="-17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pacing w:val="-17"/>
          <w:sz w:val="30"/>
          <w:szCs w:val="30"/>
          <w:lang w:eastAsia="zh-CN"/>
        </w:rPr>
        <w:t>一般公共预算支出情况</w:t>
      </w:r>
    </w:p>
    <w:p>
      <w:pPr>
        <w:keepNext w:val="0"/>
        <w:keepLines w:val="0"/>
        <w:pageBreakBefore w:val="0"/>
        <w:widowControl/>
        <w:numPr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2" w:line="600" w:lineRule="exact"/>
        <w:ind w:firstLine="534" w:firstLineChars="200"/>
        <w:textAlignment w:val="baseline"/>
        <w:outlineLvl w:val="1"/>
        <w:rPr>
          <w:rFonts w:hint="eastAsia" w:ascii="仿宋" w:hAnsi="仿宋" w:eastAsia="仿宋" w:cs="仿宋"/>
          <w:b/>
          <w:bCs/>
          <w:spacing w:val="-17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pacing w:val="-17"/>
          <w:sz w:val="30"/>
          <w:szCs w:val="30"/>
          <w:lang w:eastAsia="zh-CN"/>
        </w:rPr>
        <w:t>（一）基本支出情况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基本支出2101.71万元，占8.24%，2025年度财政拨款基本支出2101.71万元，其中:人员经费1697.23万元，主要包括基本工资、津贴补贴、奖金、伙食补助费、绩效工资、机关事业单位基本养老保险缴费、职业年金缴费、职工基本医疗保险缴费、公务员医疗补助缴费、其他社会保障缴费、住房公积金、医疗费、其他工资福利支出、离休费、退休费、抚恤金、生活补助、医疗费补助、奖励金、其他对个人和家庭的补助；公用经费404.48万元，主要包括办公费、印刷费、咨询费、手续费、水费、电费、邮电费、取暖费、物业管理费、差旅费、因公出国（境）费用、维修（护）费、租赁费、会议费、培训费、公务接待费、专用材料费、劳务费、委托业务费、工会经费、福利费、公务用车运行维护费、其他交通费用、其他商品和服务支出、办公设备购置、专用设备购置、信息网络及软件购置更新、公务用车购置、无形资产购置、其他资本性支出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2" w:line="600" w:lineRule="exact"/>
        <w:ind w:leftChars="200"/>
        <w:textAlignment w:val="baseline"/>
        <w:outlineLvl w:val="1"/>
        <w:rPr>
          <w:rFonts w:hint="eastAsia" w:ascii="仿宋" w:hAnsi="仿宋" w:eastAsia="仿宋" w:cs="仿宋"/>
          <w:b/>
          <w:bCs/>
          <w:spacing w:val="-17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-17"/>
          <w:sz w:val="30"/>
          <w:szCs w:val="30"/>
        </w:rPr>
        <w:t>项目支出情况</w:t>
      </w:r>
    </w:p>
    <w:p>
      <w:pPr>
        <w:keepNext w:val="0"/>
        <w:keepLines w:val="0"/>
        <w:pageBreakBefore w:val="0"/>
        <w:widowControl/>
        <w:numPr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2" w:line="600" w:lineRule="exact"/>
        <w:ind w:firstLine="600" w:firstLineChars="200"/>
        <w:textAlignment w:val="baseline"/>
        <w:outlineLvl w:val="1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专项资金安排落实、总投入等情况分析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highlight w:val="none"/>
          <w:lang w:val="en-US" w:eastAsia="zh-CN" w:bidi="ar-SA"/>
        </w:rPr>
        <w:t>2025年度老旧小区改造年度计划投资5205万元，</w:t>
      </w:r>
      <w:r>
        <w:rPr>
          <w:rFonts w:hint="eastAsia" w:ascii="仿宋" w:hAnsi="仿宋" w:eastAsia="仿宋" w:cs="仿宋"/>
          <w:snapToGrid w:val="0"/>
          <w:color w:val="333333"/>
          <w:kern w:val="0"/>
          <w:sz w:val="30"/>
          <w:szCs w:val="30"/>
          <w:highlight w:val="none"/>
          <w:lang w:val="en-US" w:eastAsia="zh-CN" w:bidi="ar"/>
        </w:rPr>
        <w:t>老旧小区改造项目资金到位率为100%，其中中央补助资金3963万元，已全部到位。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（二）专项资金管理情况分析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老旧小区改造资金实行国库集中支付，实行专款专用，独立核算，专人管理，项目资金使用计划周密。同时严格按照项目批复、合同约定、工程进度等有关规定及时拨付专项资金。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（三）专项组织情况分析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为了使老旧小区改造项目顺利实施，华容县成立了老旧小区改造项目领导小组，该小组是项目的决策机构，负责按照统一要求编制了老旧小区改造中长期规划。领导小组下设办公室，办公室设在县住建局，负责制定和实施老旧小区改造项目年度计划，负责搞好城镇老旧小区改造管理相关政策，资金管理（分配）办法、绩效评价方法、年度计划、中长期规划、开工及基本建设情况。项目建设过程中，为确保工程质量、进度和安全文明施工，严格按照基本建设程序对工程的投资、质量、进度、安全和文明施工实现全过程、全方位的监督管理，努力化解工程风险，积极组织隐蔽性工程验收，项目从前期准备、施工，完成一系列过程都进展顺利，项目完成质量为优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（四）专项管理情况分析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1、项目预期目标完成程度。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2025年度，我局完成22个老旧小区改造，受益居民4553户，达到了预期目标。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2、项目实施对经济和社会的影响。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社会：老旧小区改造是落实中央提出的“六稳六保”重大举措。城镇老旧小区改造是对仍然居住在水电气供应管道老旧、公共服务缺位的老旧小区进行全面改造，变成水电气供应管道通畅、出行方便、公共服务设施完善、服务到位的新型社区。通过老旧小区改造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，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小区环境实现了由“脏、乱、差”到“亮、洁、美”的转变，基础设施显著改善、小区功能明显增强、居住环境全面提升。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经济：城镇老旧小区改造，是扩大内需、建立内循环的重要举措。改造投资具有投资周期短、边际效益高、资金周转快、消费潜力大等特点。同时，项目主要由本地建筑企业承建，保证了这些企业的持续经营，为其发展创造了有利条件，效益十分显著。老旧小区改造还能带动建材、适老适残设备、电梯、水电管线、社区服务等产业的发展，对经济增长的贡献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重大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。对构建经济循环具有重要的作用。</w:t>
      </w:r>
    </w:p>
    <w:p>
      <w:pPr>
        <w:pStyle w:val="9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Chars="0" w:right="0" w:rightChars="0" w:firstLine="558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-11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11"/>
          <w:kern w:val="2"/>
          <w:sz w:val="30"/>
          <w:szCs w:val="30"/>
          <w:lang w:val="en-US" w:eastAsia="zh-CN" w:bidi="ar-SA"/>
        </w:rPr>
        <w:t>三、政府性基金预算支出情况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  <w:t>政府性基金本年收入15283.72万元,本年支出15283.72万元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其中:</w:t>
      </w:r>
      <w:r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  <w:t>项目支出15283.72万元</w:t>
      </w: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万元，主要包括资本性支出。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558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-11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pacing w:val="-11"/>
          <w:sz w:val="30"/>
          <w:szCs w:val="30"/>
        </w:rPr>
        <w:t>四、</w:t>
      </w:r>
      <w:r>
        <w:rPr>
          <w:rFonts w:hint="eastAsia" w:ascii="仿宋" w:hAnsi="仿宋" w:eastAsia="仿宋" w:cs="仿宋"/>
          <w:b/>
          <w:bCs/>
          <w:spacing w:val="-11"/>
          <w:sz w:val="30"/>
          <w:szCs w:val="30"/>
          <w:lang w:eastAsia="zh-CN"/>
        </w:rPr>
        <w:t>国有资本经营预算支出情况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14" w:line="600" w:lineRule="exact"/>
        <w:ind w:left="644"/>
        <w:outlineLvl w:val="1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无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14" w:line="600" w:lineRule="exact"/>
        <w:ind w:left="644"/>
        <w:outlineLvl w:val="1"/>
        <w:rPr>
          <w:rFonts w:hint="eastAsia" w:ascii="仿宋" w:hAnsi="仿宋" w:eastAsia="仿宋" w:cs="仿宋"/>
          <w:b/>
          <w:bCs/>
          <w:spacing w:val="-11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11"/>
          <w:sz w:val="30"/>
          <w:szCs w:val="30"/>
          <w:lang w:val="en-US" w:eastAsia="zh-CN"/>
        </w:rPr>
        <w:t>五、社会保险基金预算支出情况</w:t>
      </w:r>
    </w:p>
    <w:p>
      <w:pPr>
        <w:pStyle w:val="2"/>
        <w:keepNext w:val="0"/>
        <w:keepLines w:val="0"/>
        <w:pageBreakBefore w:val="0"/>
        <w:numPr>
          <w:numId w:val="0"/>
        </w:numPr>
        <w:overflowPunct/>
        <w:topLinePunct w:val="0"/>
        <w:bidi w:val="0"/>
        <w:spacing w:line="600" w:lineRule="exact"/>
        <w:ind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无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14" w:line="600" w:lineRule="exact"/>
        <w:ind w:left="644"/>
        <w:outlineLvl w:val="1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77"/>
          <w:sz w:val="30"/>
          <w:szCs w:val="30"/>
          <w:lang w:eastAsia="zh-CN"/>
        </w:rPr>
        <w:t>六</w:t>
      </w:r>
      <w:r>
        <w:rPr>
          <w:rFonts w:hint="eastAsia" w:ascii="仿宋" w:hAnsi="仿宋" w:eastAsia="仿宋" w:cs="仿宋"/>
          <w:b/>
          <w:bCs/>
          <w:spacing w:val="-11"/>
          <w:sz w:val="30"/>
          <w:szCs w:val="30"/>
          <w:lang w:eastAsia="zh-CN"/>
        </w:rPr>
        <w:t>、、</w:t>
      </w:r>
      <w:r>
        <w:rPr>
          <w:rFonts w:hint="eastAsia" w:ascii="仿宋" w:hAnsi="仿宋" w:eastAsia="仿宋" w:cs="仿宋"/>
          <w:b/>
          <w:bCs/>
          <w:spacing w:val="-11"/>
          <w:sz w:val="30"/>
          <w:szCs w:val="30"/>
        </w:rPr>
        <w:t>部门</w:t>
      </w:r>
      <w:r>
        <w:rPr>
          <w:rFonts w:hint="eastAsia" w:ascii="仿宋" w:hAnsi="仿宋" w:eastAsia="仿宋" w:cs="仿宋"/>
          <w:b/>
          <w:bCs/>
          <w:spacing w:val="-11"/>
          <w:sz w:val="30"/>
          <w:szCs w:val="30"/>
        </w:rPr>
        <w:t>整体支出绩效情况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2025年，根据我局年初工作规划和重点工作，围绕县委、县政府的工作部署，积极履行职责，强化管理，较好地完成了年度工作目标，同时加强预算收支的管理，建立健全内部管理制度，严格内部管理流程，部门整体支出管理得到了提升。2025年度部门整体支出绩效情况如下：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1、本年预算配置控制较好，“三公”经费支出严格按预算执行。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2、预算执行方面，支出总额控制在预算总额以内，基本支出中财政政策性工资和对家属遗属的补助有所追加；本单位预算资金按规定管理使用，其他专项工程建设资金按进度拨付资金，较好的完成了当年任务目标，财政拨款支出总体控制较好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3、预算管理方面，制定了切实有效的内部财务、车辆、资产内部管理制度，执行总体较为有效。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66" w:line="600" w:lineRule="exact"/>
        <w:ind w:left="644"/>
        <w:outlineLvl w:val="1"/>
        <w:rPr>
          <w:rFonts w:hint="eastAsia" w:ascii="仿宋" w:hAnsi="仿宋" w:eastAsia="仿宋" w:cs="仿宋"/>
          <w:b/>
          <w:bCs/>
          <w:spacing w:val="-1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-11"/>
          <w:sz w:val="30"/>
          <w:szCs w:val="30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spacing w:val="-11"/>
          <w:sz w:val="30"/>
          <w:szCs w:val="30"/>
        </w:rPr>
        <w:t>、</w:t>
      </w:r>
      <w:r>
        <w:rPr>
          <w:rFonts w:hint="eastAsia"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b/>
          <w:bCs/>
          <w:spacing w:val="-11"/>
          <w:sz w:val="30"/>
          <w:szCs w:val="30"/>
        </w:rPr>
        <w:t>存在的问题及原因分析</w:t>
      </w:r>
    </w:p>
    <w:p>
      <w:pPr>
        <w:keepNext w:val="0"/>
        <w:keepLines w:val="0"/>
        <w:pageBreakBefore w:val="0"/>
        <w:overflowPunct/>
        <w:topLinePunct w:val="0"/>
        <w:bidi w:val="0"/>
        <w:spacing w:before="266" w:line="600" w:lineRule="exact"/>
        <w:ind w:left="644"/>
        <w:outlineLvl w:val="1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1、“三公经费”有待更严格控制。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2、预算编制有待更严格执行。预算编制与实际支出项目有的存在差异。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3、有的项目经费未及时足额拨付到位</w:t>
      </w:r>
    </w:p>
    <w:p>
      <w:pPr>
        <w:keepNext w:val="0"/>
        <w:keepLines w:val="0"/>
        <w:pageBreakBefore w:val="0"/>
        <w:numPr>
          <w:numId w:val="0"/>
        </w:numPr>
        <w:overflowPunct/>
        <w:topLinePunct w:val="0"/>
        <w:bidi w:val="0"/>
        <w:spacing w:before="228" w:line="600" w:lineRule="exact"/>
        <w:ind w:left="630" w:leftChars="0"/>
        <w:outlineLvl w:val="1"/>
        <w:rPr>
          <w:rFonts w:hint="eastAsia" w:ascii="仿宋" w:hAnsi="仿宋" w:eastAsia="仿宋" w:cs="仿宋"/>
          <w:b/>
          <w:bCs/>
          <w:spacing w:val="-16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-16"/>
          <w:sz w:val="30"/>
          <w:szCs w:val="30"/>
          <w:lang w:eastAsia="zh-CN"/>
        </w:rPr>
        <w:t>八、</w:t>
      </w:r>
      <w:r>
        <w:rPr>
          <w:rFonts w:hint="eastAsia" w:ascii="仿宋" w:hAnsi="仿宋" w:eastAsia="仿宋" w:cs="仿宋"/>
          <w:b/>
          <w:bCs/>
          <w:spacing w:val="-16"/>
          <w:sz w:val="30"/>
          <w:szCs w:val="30"/>
        </w:rPr>
        <w:t>下一步改进措施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1、按照预算规定的项目和用途严格财务审核，经费支出严格按预算规定项目的财务支出内容进行财务核算，在预算金额内严格控制费用的支出。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2、严格控制“三公经费”支出，杜绝挪用和挤占其他预算资金；进一步细化“三公经费”管理，压缩“三公经费”支出。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00" w:firstLineChars="200"/>
        <w:jc w:val="both"/>
        <w:textAlignment w:val="baseline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3、预算财务分析常态化，定期做好预算支出财务分析，做好部门整体支出预算评价工作。</w:t>
      </w:r>
    </w:p>
    <w:p>
      <w:pPr>
        <w:keepNext w:val="0"/>
        <w:keepLines w:val="0"/>
        <w:pageBreakBefore w:val="0"/>
        <w:overflowPunct/>
        <w:topLinePunct w:val="0"/>
        <w:bidi w:val="0"/>
        <w:spacing w:before="195" w:line="600" w:lineRule="exact"/>
        <w:ind w:left="644"/>
        <w:outlineLvl w:val="1"/>
        <w:rPr>
          <w:rFonts w:hint="eastAsia" w:ascii="仿宋" w:hAnsi="仿宋" w:eastAsia="仿宋" w:cs="仿宋"/>
          <w:b/>
          <w:bCs/>
          <w:spacing w:val="-5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pacing w:val="-5"/>
          <w:sz w:val="30"/>
          <w:szCs w:val="30"/>
          <w:lang w:eastAsia="zh-CN"/>
        </w:rPr>
        <w:t>九、部门整体支出绩效自评结果拟应用和公开情况</w:t>
      </w:r>
    </w:p>
    <w:p>
      <w:pPr>
        <w:keepNext w:val="0"/>
        <w:keepLines w:val="0"/>
        <w:pageBreakBefore w:val="0"/>
        <w:overflowPunct/>
        <w:topLinePunct w:val="0"/>
        <w:bidi w:val="0"/>
        <w:spacing w:before="195" w:line="600" w:lineRule="exact"/>
        <w:ind w:left="644"/>
        <w:outlineLvl w:val="1"/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按要求及时公开</w:t>
      </w:r>
    </w:p>
    <w:p>
      <w:pPr>
        <w:keepNext w:val="0"/>
        <w:keepLines w:val="0"/>
        <w:pageBreakBefore w:val="0"/>
        <w:overflowPunct/>
        <w:topLinePunct w:val="0"/>
        <w:bidi w:val="0"/>
        <w:spacing w:before="195" w:line="600" w:lineRule="exact"/>
        <w:ind w:left="644"/>
        <w:outlineLvl w:val="1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-5"/>
          <w:sz w:val="30"/>
          <w:szCs w:val="30"/>
          <w:lang w:eastAsia="zh-CN"/>
        </w:rPr>
        <w:t>十</w:t>
      </w:r>
      <w:r>
        <w:rPr>
          <w:rFonts w:hint="eastAsia" w:ascii="仿宋" w:hAnsi="仿宋" w:eastAsia="仿宋" w:cs="仿宋"/>
          <w:b/>
          <w:bCs/>
          <w:spacing w:val="-5"/>
          <w:sz w:val="30"/>
          <w:szCs w:val="30"/>
        </w:rPr>
        <w:t>、其他需要说明的情况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right="0" w:firstLine="600" w:firstLineChars="200"/>
        <w:jc w:val="both"/>
        <w:textAlignment w:val="baseline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30"/>
          <w:szCs w:val="30"/>
          <w:lang w:val="en-US" w:eastAsia="zh-CN" w:bidi="ar-SA"/>
        </w:rPr>
        <w:t>无</w:t>
      </w:r>
    </w:p>
    <w:sectPr>
      <w:footerReference r:id="rId5" w:type="default"/>
      <w:pgSz w:w="11905" w:h="16838"/>
      <w:pgMar w:top="1984" w:right="1701" w:bottom="1984" w:left="1701" w:header="850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913061B-6953-48A1-ABF1-D567BD788B9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5462BB7A-A775-4EEB-B1CC-23B50EB11E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05E0C2B-EA43-44F4-9C60-6B746E005D2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BBCD4317-027E-4C56-8079-1605E7AC2D2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C61B2BB-D4D6-4599-803A-C74A9ACF662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5D60D982-A65C-40AC-B7E7-E86100159C0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D119BDF6-318A-4267-9909-9F8ED8869A2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  <w:embedRegular r:id="rId8" w:fontKey="{1117831F-7254-4B47-AB3F-6DDD55E14C4F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="1" w:line="174" w:lineRule="auto"/>
      <w:jc w:val="cen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="1" w:line="174" w:lineRule="auto"/>
      <w:ind w:left="574"/>
      <w:rPr>
        <w:sz w:val="28"/>
        <w:szCs w:val="28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BE2509"/>
    <w:multiLevelType w:val="singleLevel"/>
    <w:tmpl w:val="85BE250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4973C2C"/>
    <w:multiLevelType w:val="singleLevel"/>
    <w:tmpl w:val="44973C2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HorizontalSpacing w:val="210"/>
  <w:drawingGridVerticalSpacing w:val="157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2ZDMyNzBkMjNjYTFiMTVhZjI5MGJlYmVkMTkxMjIifQ=="/>
    <w:docVar w:name="KSO_WPS_MARK_KEY" w:val="d39e5970-c69a-44af-9781-58516c249071"/>
  </w:docVars>
  <w:rsids>
    <w:rsidRoot w:val="0CCB7736"/>
    <w:rsid w:val="00047FEF"/>
    <w:rsid w:val="000A3906"/>
    <w:rsid w:val="001776F1"/>
    <w:rsid w:val="006F0A16"/>
    <w:rsid w:val="00773328"/>
    <w:rsid w:val="00821883"/>
    <w:rsid w:val="00917857"/>
    <w:rsid w:val="00951882"/>
    <w:rsid w:val="00A755C2"/>
    <w:rsid w:val="00D06DD6"/>
    <w:rsid w:val="00D21546"/>
    <w:rsid w:val="011D2710"/>
    <w:rsid w:val="016A347B"/>
    <w:rsid w:val="01B42948"/>
    <w:rsid w:val="01BF20E7"/>
    <w:rsid w:val="01E4322D"/>
    <w:rsid w:val="021138F7"/>
    <w:rsid w:val="02B50488"/>
    <w:rsid w:val="031F7C60"/>
    <w:rsid w:val="0338470A"/>
    <w:rsid w:val="034822A9"/>
    <w:rsid w:val="03D86621"/>
    <w:rsid w:val="04EE6171"/>
    <w:rsid w:val="05315F6B"/>
    <w:rsid w:val="05395EA9"/>
    <w:rsid w:val="0616597F"/>
    <w:rsid w:val="06426ACC"/>
    <w:rsid w:val="07A62D33"/>
    <w:rsid w:val="086B5F82"/>
    <w:rsid w:val="09E6794E"/>
    <w:rsid w:val="0A067AB9"/>
    <w:rsid w:val="0ABD557B"/>
    <w:rsid w:val="0BBB5A8D"/>
    <w:rsid w:val="0C104906"/>
    <w:rsid w:val="0C607C21"/>
    <w:rsid w:val="0CCB7736"/>
    <w:rsid w:val="0D9E0E8D"/>
    <w:rsid w:val="0E1F65D3"/>
    <w:rsid w:val="0E2B5D40"/>
    <w:rsid w:val="0E3E5716"/>
    <w:rsid w:val="0E6B257C"/>
    <w:rsid w:val="0EAB7397"/>
    <w:rsid w:val="0EF755B3"/>
    <w:rsid w:val="0F17035E"/>
    <w:rsid w:val="0F4E168D"/>
    <w:rsid w:val="0F7A0392"/>
    <w:rsid w:val="0FAF3959"/>
    <w:rsid w:val="0FD26E31"/>
    <w:rsid w:val="1020625B"/>
    <w:rsid w:val="11404466"/>
    <w:rsid w:val="11837AA9"/>
    <w:rsid w:val="11963ADD"/>
    <w:rsid w:val="11EB0F5C"/>
    <w:rsid w:val="11F20483"/>
    <w:rsid w:val="12123C76"/>
    <w:rsid w:val="12831010"/>
    <w:rsid w:val="129038DB"/>
    <w:rsid w:val="13441D7E"/>
    <w:rsid w:val="136F31F8"/>
    <w:rsid w:val="138750E0"/>
    <w:rsid w:val="1396506E"/>
    <w:rsid w:val="13D82A59"/>
    <w:rsid w:val="140E6961"/>
    <w:rsid w:val="15604228"/>
    <w:rsid w:val="15A620D3"/>
    <w:rsid w:val="16A3369E"/>
    <w:rsid w:val="17114A8B"/>
    <w:rsid w:val="176B77A7"/>
    <w:rsid w:val="178536BD"/>
    <w:rsid w:val="19516372"/>
    <w:rsid w:val="19575CC2"/>
    <w:rsid w:val="19A80228"/>
    <w:rsid w:val="19AF68C7"/>
    <w:rsid w:val="19E85A53"/>
    <w:rsid w:val="1A101464"/>
    <w:rsid w:val="1A4C1518"/>
    <w:rsid w:val="1AB71087"/>
    <w:rsid w:val="1AB74849"/>
    <w:rsid w:val="1AC52FF2"/>
    <w:rsid w:val="1AE6175D"/>
    <w:rsid w:val="1B742AA7"/>
    <w:rsid w:val="1BD5498B"/>
    <w:rsid w:val="1BF15B4E"/>
    <w:rsid w:val="1CA34935"/>
    <w:rsid w:val="1D5A640E"/>
    <w:rsid w:val="1E9351E5"/>
    <w:rsid w:val="1F7640EC"/>
    <w:rsid w:val="20176B8B"/>
    <w:rsid w:val="20B16832"/>
    <w:rsid w:val="20D30097"/>
    <w:rsid w:val="20D76C5F"/>
    <w:rsid w:val="20E55C2B"/>
    <w:rsid w:val="21057490"/>
    <w:rsid w:val="214A230E"/>
    <w:rsid w:val="21B052C4"/>
    <w:rsid w:val="22A209E2"/>
    <w:rsid w:val="22B43877"/>
    <w:rsid w:val="22CA430C"/>
    <w:rsid w:val="22DF2F05"/>
    <w:rsid w:val="22FF5445"/>
    <w:rsid w:val="23201E3D"/>
    <w:rsid w:val="2342170A"/>
    <w:rsid w:val="238D0E57"/>
    <w:rsid w:val="24256710"/>
    <w:rsid w:val="251E7983"/>
    <w:rsid w:val="25982875"/>
    <w:rsid w:val="25FE2B31"/>
    <w:rsid w:val="260D5D83"/>
    <w:rsid w:val="260E1D77"/>
    <w:rsid w:val="277A77CA"/>
    <w:rsid w:val="28043432"/>
    <w:rsid w:val="284A2254"/>
    <w:rsid w:val="29165294"/>
    <w:rsid w:val="292F1467"/>
    <w:rsid w:val="29786927"/>
    <w:rsid w:val="297B51B4"/>
    <w:rsid w:val="29E40467"/>
    <w:rsid w:val="29F527E2"/>
    <w:rsid w:val="2A9A1E2C"/>
    <w:rsid w:val="2BC24224"/>
    <w:rsid w:val="2BF35971"/>
    <w:rsid w:val="2C487650"/>
    <w:rsid w:val="2C5A7AC4"/>
    <w:rsid w:val="2C772686"/>
    <w:rsid w:val="2E4F43C0"/>
    <w:rsid w:val="2EC7368E"/>
    <w:rsid w:val="2EDC05D9"/>
    <w:rsid w:val="2F240CAA"/>
    <w:rsid w:val="2F5137B6"/>
    <w:rsid w:val="2FF62815"/>
    <w:rsid w:val="30FB4B41"/>
    <w:rsid w:val="31621165"/>
    <w:rsid w:val="322E1E8E"/>
    <w:rsid w:val="323C5548"/>
    <w:rsid w:val="326804EE"/>
    <w:rsid w:val="33235CE2"/>
    <w:rsid w:val="33F22F3B"/>
    <w:rsid w:val="359F2200"/>
    <w:rsid w:val="35A42962"/>
    <w:rsid w:val="36AD0EA9"/>
    <w:rsid w:val="36FF783F"/>
    <w:rsid w:val="37450F88"/>
    <w:rsid w:val="375F1A7E"/>
    <w:rsid w:val="376D0FF4"/>
    <w:rsid w:val="378B026E"/>
    <w:rsid w:val="37B47BE4"/>
    <w:rsid w:val="37D6106F"/>
    <w:rsid w:val="37F52D97"/>
    <w:rsid w:val="38241593"/>
    <w:rsid w:val="38856E40"/>
    <w:rsid w:val="38BE1DF3"/>
    <w:rsid w:val="38F862EB"/>
    <w:rsid w:val="39343807"/>
    <w:rsid w:val="39845F3A"/>
    <w:rsid w:val="39887BBC"/>
    <w:rsid w:val="3A0F7AD4"/>
    <w:rsid w:val="3A53023B"/>
    <w:rsid w:val="3AF42D2D"/>
    <w:rsid w:val="3B062751"/>
    <w:rsid w:val="3B3A041F"/>
    <w:rsid w:val="3BAE6BF9"/>
    <w:rsid w:val="3BEE0229"/>
    <w:rsid w:val="3C3568D7"/>
    <w:rsid w:val="3CCA47F2"/>
    <w:rsid w:val="3CDE0708"/>
    <w:rsid w:val="3D33006A"/>
    <w:rsid w:val="3D3954D4"/>
    <w:rsid w:val="3D5877DF"/>
    <w:rsid w:val="3DAE53BC"/>
    <w:rsid w:val="3DC55CAA"/>
    <w:rsid w:val="3DD556CA"/>
    <w:rsid w:val="3DFE271A"/>
    <w:rsid w:val="3E5F4AE1"/>
    <w:rsid w:val="3F450429"/>
    <w:rsid w:val="3FB6105E"/>
    <w:rsid w:val="3FBF3F86"/>
    <w:rsid w:val="3FF70715"/>
    <w:rsid w:val="3FFD550C"/>
    <w:rsid w:val="4021030A"/>
    <w:rsid w:val="40226C80"/>
    <w:rsid w:val="406B1CD9"/>
    <w:rsid w:val="40C451A5"/>
    <w:rsid w:val="40C671E5"/>
    <w:rsid w:val="41051ABE"/>
    <w:rsid w:val="4156470B"/>
    <w:rsid w:val="41943ACE"/>
    <w:rsid w:val="42521D88"/>
    <w:rsid w:val="425D4066"/>
    <w:rsid w:val="430118BA"/>
    <w:rsid w:val="43173FD4"/>
    <w:rsid w:val="43B27D8E"/>
    <w:rsid w:val="44143822"/>
    <w:rsid w:val="44654A12"/>
    <w:rsid w:val="44E421C9"/>
    <w:rsid w:val="45320384"/>
    <w:rsid w:val="457C5F26"/>
    <w:rsid w:val="4716830A"/>
    <w:rsid w:val="47BF53CA"/>
    <w:rsid w:val="48B126BB"/>
    <w:rsid w:val="49CF255F"/>
    <w:rsid w:val="4A3239D7"/>
    <w:rsid w:val="4B2C5DCD"/>
    <w:rsid w:val="4B46D032"/>
    <w:rsid w:val="4B7D1173"/>
    <w:rsid w:val="4BBDFBDE"/>
    <w:rsid w:val="4BCF5C41"/>
    <w:rsid w:val="4C150E22"/>
    <w:rsid w:val="4C6A38FC"/>
    <w:rsid w:val="4CD520DA"/>
    <w:rsid w:val="4CE74BC3"/>
    <w:rsid w:val="4CEEB85C"/>
    <w:rsid w:val="4CF5000E"/>
    <w:rsid w:val="4D6D6EEB"/>
    <w:rsid w:val="4DB17672"/>
    <w:rsid w:val="4DB27F04"/>
    <w:rsid w:val="4F4E1C81"/>
    <w:rsid w:val="4F5D15A2"/>
    <w:rsid w:val="4FCB46B2"/>
    <w:rsid w:val="4FFE57BD"/>
    <w:rsid w:val="50AC44C4"/>
    <w:rsid w:val="50EA6DB9"/>
    <w:rsid w:val="51453FF0"/>
    <w:rsid w:val="515661FD"/>
    <w:rsid w:val="51714DE5"/>
    <w:rsid w:val="51CA7471"/>
    <w:rsid w:val="521C2FA3"/>
    <w:rsid w:val="522529B2"/>
    <w:rsid w:val="524806C4"/>
    <w:rsid w:val="5301082D"/>
    <w:rsid w:val="5387476B"/>
    <w:rsid w:val="53910AF4"/>
    <w:rsid w:val="53FBDA3F"/>
    <w:rsid w:val="54F63F7F"/>
    <w:rsid w:val="555952B3"/>
    <w:rsid w:val="555E65E4"/>
    <w:rsid w:val="556B5A36"/>
    <w:rsid w:val="5599697B"/>
    <w:rsid w:val="55AF40BB"/>
    <w:rsid w:val="55E65FDC"/>
    <w:rsid w:val="5613734A"/>
    <w:rsid w:val="562D7E5B"/>
    <w:rsid w:val="564F3D12"/>
    <w:rsid w:val="56F72F7C"/>
    <w:rsid w:val="5717642E"/>
    <w:rsid w:val="57946554"/>
    <w:rsid w:val="57D80A00"/>
    <w:rsid w:val="586243BF"/>
    <w:rsid w:val="58FD3402"/>
    <w:rsid w:val="5968027A"/>
    <w:rsid w:val="5AAF7799"/>
    <w:rsid w:val="5AB04BD0"/>
    <w:rsid w:val="5B0D75A1"/>
    <w:rsid w:val="5B5C1753"/>
    <w:rsid w:val="5BE211F7"/>
    <w:rsid w:val="5BF510BE"/>
    <w:rsid w:val="5C6C4B26"/>
    <w:rsid w:val="5D03DFF6"/>
    <w:rsid w:val="5D9C3D56"/>
    <w:rsid w:val="5DD775C7"/>
    <w:rsid w:val="5E134100"/>
    <w:rsid w:val="5F7A1C50"/>
    <w:rsid w:val="5FC69000"/>
    <w:rsid w:val="601C4AB5"/>
    <w:rsid w:val="604F2F3E"/>
    <w:rsid w:val="60BE691E"/>
    <w:rsid w:val="60F838FC"/>
    <w:rsid w:val="61444403"/>
    <w:rsid w:val="62265BDF"/>
    <w:rsid w:val="62E1699A"/>
    <w:rsid w:val="62FBC294"/>
    <w:rsid w:val="63123C13"/>
    <w:rsid w:val="637D5875"/>
    <w:rsid w:val="64147F0D"/>
    <w:rsid w:val="64B713E7"/>
    <w:rsid w:val="64D66362"/>
    <w:rsid w:val="65860217"/>
    <w:rsid w:val="659D5052"/>
    <w:rsid w:val="667E0AA1"/>
    <w:rsid w:val="66AE5CE5"/>
    <w:rsid w:val="66D4191C"/>
    <w:rsid w:val="677027A4"/>
    <w:rsid w:val="67B37C7A"/>
    <w:rsid w:val="67F20A94"/>
    <w:rsid w:val="68FB17C3"/>
    <w:rsid w:val="695F12F9"/>
    <w:rsid w:val="69636C3A"/>
    <w:rsid w:val="696D83E8"/>
    <w:rsid w:val="69C60A20"/>
    <w:rsid w:val="69CF7B2C"/>
    <w:rsid w:val="69EE4FDB"/>
    <w:rsid w:val="69FEC155"/>
    <w:rsid w:val="6A0B0004"/>
    <w:rsid w:val="6A3273AF"/>
    <w:rsid w:val="6AC56475"/>
    <w:rsid w:val="6AD35263"/>
    <w:rsid w:val="6B8D38AE"/>
    <w:rsid w:val="6BA1010E"/>
    <w:rsid w:val="6BC80F42"/>
    <w:rsid w:val="6CE47E41"/>
    <w:rsid w:val="6CED5810"/>
    <w:rsid w:val="6CF92413"/>
    <w:rsid w:val="6DFE5E04"/>
    <w:rsid w:val="6E0D1F7B"/>
    <w:rsid w:val="6E796921"/>
    <w:rsid w:val="6E87203D"/>
    <w:rsid w:val="6F9278BB"/>
    <w:rsid w:val="6FB7D4E3"/>
    <w:rsid w:val="6FBE0EF0"/>
    <w:rsid w:val="6FFF1C22"/>
    <w:rsid w:val="70EC5DDE"/>
    <w:rsid w:val="71572F19"/>
    <w:rsid w:val="719B7427"/>
    <w:rsid w:val="71E33685"/>
    <w:rsid w:val="71F326B3"/>
    <w:rsid w:val="724A6793"/>
    <w:rsid w:val="72647B59"/>
    <w:rsid w:val="7372FC32"/>
    <w:rsid w:val="73A56E44"/>
    <w:rsid w:val="73B12A87"/>
    <w:rsid w:val="741F26FA"/>
    <w:rsid w:val="74470DF8"/>
    <w:rsid w:val="744E1D52"/>
    <w:rsid w:val="74BD60BB"/>
    <w:rsid w:val="74CF0052"/>
    <w:rsid w:val="74FA3C0D"/>
    <w:rsid w:val="751D6EAE"/>
    <w:rsid w:val="75FD1676"/>
    <w:rsid w:val="7687113B"/>
    <w:rsid w:val="76C3247D"/>
    <w:rsid w:val="76EFC8B0"/>
    <w:rsid w:val="776ACBF9"/>
    <w:rsid w:val="77FF7A21"/>
    <w:rsid w:val="78F85B3E"/>
    <w:rsid w:val="7951325E"/>
    <w:rsid w:val="799536BA"/>
    <w:rsid w:val="7AD472FD"/>
    <w:rsid w:val="7B170752"/>
    <w:rsid w:val="7B382425"/>
    <w:rsid w:val="7B8F681B"/>
    <w:rsid w:val="7BC55225"/>
    <w:rsid w:val="7BFF9B5C"/>
    <w:rsid w:val="7C3B673F"/>
    <w:rsid w:val="7CED5089"/>
    <w:rsid w:val="7D8636B9"/>
    <w:rsid w:val="7DD96C0E"/>
    <w:rsid w:val="7E352599"/>
    <w:rsid w:val="7E474F7B"/>
    <w:rsid w:val="7E7F4A49"/>
    <w:rsid w:val="7E8F7AC1"/>
    <w:rsid w:val="7F2BE2DA"/>
    <w:rsid w:val="7F7F87CE"/>
    <w:rsid w:val="7FB79B09"/>
    <w:rsid w:val="7FE97AB9"/>
    <w:rsid w:val="7FF13FB3"/>
    <w:rsid w:val="7FF31D0E"/>
    <w:rsid w:val="7FFDD6B3"/>
    <w:rsid w:val="7FFFB476"/>
    <w:rsid w:val="8BDF47C4"/>
    <w:rsid w:val="97BCC380"/>
    <w:rsid w:val="9FFF52D8"/>
    <w:rsid w:val="AEB56B76"/>
    <w:rsid w:val="AF9DF110"/>
    <w:rsid w:val="AFABB544"/>
    <w:rsid w:val="B8EB831F"/>
    <w:rsid w:val="B97CA8A2"/>
    <w:rsid w:val="BDEC0853"/>
    <w:rsid w:val="BEDF2C93"/>
    <w:rsid w:val="BFCF8B12"/>
    <w:rsid w:val="BFDE3C5E"/>
    <w:rsid w:val="BFF98747"/>
    <w:rsid w:val="BFFBFE8B"/>
    <w:rsid w:val="CD1D59DB"/>
    <w:rsid w:val="D8BFEB7A"/>
    <w:rsid w:val="DA7C7C00"/>
    <w:rsid w:val="DBBAFFF2"/>
    <w:rsid w:val="DCEDDEBC"/>
    <w:rsid w:val="DD7F0B52"/>
    <w:rsid w:val="DF2D0D8F"/>
    <w:rsid w:val="DF5FFD2E"/>
    <w:rsid w:val="DF7CB467"/>
    <w:rsid w:val="DFD16BC5"/>
    <w:rsid w:val="E7C7ECFD"/>
    <w:rsid w:val="E993F613"/>
    <w:rsid w:val="EAF02C80"/>
    <w:rsid w:val="EAFDC676"/>
    <w:rsid w:val="EC7CC44F"/>
    <w:rsid w:val="EDFFCE85"/>
    <w:rsid w:val="EFFEB24D"/>
    <w:rsid w:val="EFFFEA89"/>
    <w:rsid w:val="F67CDAB7"/>
    <w:rsid w:val="F7FFE2AA"/>
    <w:rsid w:val="FA96002D"/>
    <w:rsid w:val="FAFB27C0"/>
    <w:rsid w:val="FAFD7633"/>
    <w:rsid w:val="FB1719BC"/>
    <w:rsid w:val="FB2CBFEE"/>
    <w:rsid w:val="FBF58250"/>
    <w:rsid w:val="FCABCEC9"/>
    <w:rsid w:val="FD2B24D7"/>
    <w:rsid w:val="FDB340CE"/>
    <w:rsid w:val="FDFF90A7"/>
    <w:rsid w:val="FECB43AA"/>
    <w:rsid w:val="FEF02C5D"/>
    <w:rsid w:val="FEF9D4A3"/>
    <w:rsid w:val="FF5F60DE"/>
    <w:rsid w:val="FF5FC66C"/>
    <w:rsid w:val="FF9F4BB4"/>
    <w:rsid w:val="FFBB7CF0"/>
    <w:rsid w:val="FFDD4AC6"/>
    <w:rsid w:val="FFDEE716"/>
    <w:rsid w:val="FFF927C6"/>
    <w:rsid w:val="FFFB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locked/>
    <w:uiPriority w:val="0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12">
    <w:name w:val="Default Paragraph Font"/>
    <w:semiHidden/>
    <w:qFormat/>
    <w:uiPriority w:val="99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qFormat/>
    <w:uiPriority w:val="0"/>
    <w:pPr>
      <w:spacing w:after="120"/>
      <w:ind w:left="283" w:leftChars="0" w:firstLine="210"/>
    </w:pPr>
    <w:rPr>
      <w:rFonts w:ascii="Times New Roman" w:eastAsia="宋体"/>
      <w:sz w:val="21"/>
    </w:rPr>
  </w:style>
  <w:style w:type="paragraph" w:styleId="3">
    <w:name w:val="Body Text Indent"/>
    <w:basedOn w:val="1"/>
    <w:semiHidden/>
    <w:qFormat/>
    <w:uiPriority w:val="0"/>
    <w:pPr>
      <w:ind w:left="659" w:leftChars="314"/>
    </w:pPr>
    <w:rPr>
      <w:rFonts w:ascii="仿宋_GB2312" w:eastAsia="仿宋_GB2312"/>
      <w:sz w:val="24"/>
    </w:r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footnote text"/>
    <w:basedOn w:val="1"/>
    <w:next w:val="1"/>
    <w:qFormat/>
    <w:uiPriority w:val="0"/>
    <w:pPr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99"/>
    <w:rPr>
      <w:rFonts w:cs="Times New Roman"/>
    </w:rPr>
  </w:style>
  <w:style w:type="character" w:customStyle="1" w:styleId="14">
    <w:name w:val="Footer Char"/>
    <w:basedOn w:val="12"/>
    <w:link w:val="6"/>
    <w:semiHidden/>
    <w:qFormat/>
    <w:uiPriority w:val="99"/>
    <w:rPr>
      <w:sz w:val="18"/>
      <w:szCs w:val="18"/>
    </w:rPr>
  </w:style>
  <w:style w:type="character" w:customStyle="1" w:styleId="15">
    <w:name w:val="Header Char"/>
    <w:basedOn w:val="12"/>
    <w:link w:val="7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10</Pages>
  <Words>3479</Words>
  <Characters>3812</Characters>
  <Lines>0</Lines>
  <Paragraphs>0</Paragraphs>
  <TotalTime>29</TotalTime>
  <ScaleCrop>false</ScaleCrop>
  <LinksUpToDate>false</LinksUpToDate>
  <CharactersWithSpaces>3888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2020-06-06T01:07:00Z</dcterms:created>
  <dc:creator>Administrator</dc:creator>
  <cp:lastModifiedBy>Administrator</cp:lastModifiedBy>
  <cp:lastPrinted>2025-05-27T01:45:00Z</cp:lastPrinted>
  <dcterms:modified xsi:type="dcterms:W3CDTF">2026-05-27T03:37:00Z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SaveFontToCloudKey">
    <vt:lpwstr>386772509_embed</vt:lpwstr>
  </property>
  <property fmtid="{D5CDD505-2E9C-101B-9397-08002B2CF9AE}" pid="4" name="ICV">
    <vt:lpwstr>313E63C45D494991B9EF023FEC9BEAF6</vt:lpwstr>
  </property>
</Properties>
</file>