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附件3</w:t>
      </w:r>
    </w:p>
    <w:p/>
    <w:p/>
    <w:p/>
    <w:p>
      <w:pPr>
        <w:pStyle w:val="2"/>
      </w:pPr>
    </w:p>
    <w:p/>
    <w:p>
      <w:pPr>
        <w:rPr>
          <w:rFonts w:hint="eastAsia" w:eastAsia="宋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/>
          <w:sz w:val="44"/>
          <w:szCs w:val="44"/>
        </w:rPr>
        <w:t>华容县</w:t>
      </w:r>
      <w:r>
        <w:rPr>
          <w:rFonts w:hint="eastAsia"/>
          <w:sz w:val="44"/>
          <w:szCs w:val="44"/>
          <w:lang w:eastAsia="zh-CN"/>
        </w:rPr>
        <w:t>鲇鱼须镇鲇市中学</w:t>
      </w:r>
    </w:p>
    <w:p>
      <w:pPr>
        <w:rPr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部门整体支出</w:t>
      </w:r>
      <w:r>
        <w:rPr>
          <w:rFonts w:hint="eastAsia"/>
          <w:spacing w:val="-3"/>
          <w:sz w:val="44"/>
          <w:szCs w:val="44"/>
        </w:rPr>
        <w:t>绩效自评报告</w:t>
      </w:r>
    </w:p>
    <w:p/>
    <w:p/>
    <w:p/>
    <w:p/>
    <w:p/>
    <w:p/>
    <w:p>
      <w:pPr>
        <w:pStyle w:val="2"/>
      </w:pPr>
    </w:p>
    <w:p/>
    <w:p/>
    <w:p/>
    <w:p/>
    <w:p/>
    <w:p/>
    <w:p/>
    <w:p/>
    <w:p>
      <w:pPr>
        <w:pStyle w:val="4"/>
        <w:rPr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部门（单位）名称</w:t>
      </w:r>
      <w:r>
        <w:rPr>
          <w:rFonts w:hint="eastAsia"/>
          <w:spacing w:val="4"/>
          <w:sz w:val="36"/>
          <w:szCs w:val="36"/>
          <w:lang w:eastAsia="zh-CN"/>
        </w:rPr>
        <w:t>：</w:t>
      </w:r>
      <w:r>
        <w:rPr>
          <w:rFonts w:hint="eastAsia"/>
          <w:spacing w:val="4"/>
          <w:sz w:val="36"/>
          <w:szCs w:val="36"/>
          <w:u w:val="single"/>
          <w:lang w:eastAsia="zh-CN"/>
        </w:rPr>
        <w:t>(</w:t>
      </w:r>
      <w:r>
        <w:rPr>
          <w:rFonts w:hint="eastAsia"/>
          <w:sz w:val="36"/>
          <w:szCs w:val="36"/>
          <w:u w:val="single"/>
          <w:lang w:eastAsia="zh-CN"/>
        </w:rPr>
        <w:t>盖章）</w:t>
      </w:r>
    </w:p>
    <w:p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2</w:t>
      </w:r>
      <w:r>
        <w:rPr>
          <w:rFonts w:hint="eastAsia" w:ascii="宋体" w:hAnsi="宋体" w:cs="宋体"/>
          <w:sz w:val="36"/>
          <w:szCs w:val="36"/>
        </w:rPr>
        <w:t>0</w:t>
      </w:r>
      <w:r>
        <w:rPr>
          <w:rFonts w:hint="eastAsia"/>
          <w:sz w:val="36"/>
          <w:szCs w:val="36"/>
        </w:rPr>
        <w:t>2</w:t>
      </w:r>
      <w:r>
        <w:rPr>
          <w:rFonts w:hint="eastAsia"/>
          <w:sz w:val="36"/>
          <w:szCs w:val="36"/>
          <w:lang w:val="en-US" w:eastAsia="zh-CN"/>
        </w:rPr>
        <w:t>6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pacing w:val="21"/>
          <w:sz w:val="36"/>
          <w:szCs w:val="36"/>
        </w:rPr>
        <w:t>5</w:t>
      </w:r>
      <w:r>
        <w:rPr>
          <w:rFonts w:hint="eastAsia"/>
          <w:sz w:val="36"/>
          <w:szCs w:val="36"/>
        </w:rPr>
        <w:t>月</w:t>
      </w:r>
      <w:r>
        <w:rPr>
          <w:rFonts w:hint="eastAsia"/>
          <w:spacing w:val="43"/>
          <w:sz w:val="36"/>
          <w:szCs w:val="36"/>
        </w:rPr>
        <w:t>22</w:t>
      </w:r>
      <w:r>
        <w:rPr>
          <w:rFonts w:hint="eastAsia"/>
          <w:sz w:val="36"/>
          <w:szCs w:val="36"/>
        </w:rPr>
        <w:t>日</w:t>
      </w:r>
    </w:p>
    <w:p>
      <w:pPr>
        <w:rPr>
          <w:sz w:val="36"/>
          <w:szCs w:val="36"/>
        </w:rPr>
      </w:pPr>
    </w:p>
    <w:p>
      <w:pPr>
        <w:pStyle w:val="4"/>
        <w:rPr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（此页为封面）</w:t>
      </w:r>
    </w:p>
    <w:p>
      <w:r>
        <w:br w:type="page"/>
      </w:r>
    </w:p>
    <w:p>
      <w:pPr>
        <w:pStyle w:val="2"/>
        <w:sectPr>
          <w:footerReference r:id="rId3" w:type="default"/>
          <w:pgSz w:w="11905" w:h="16838"/>
          <w:pgMar w:top="1984" w:right="1701" w:bottom="1984" w:left="1701" w:header="850" w:footer="1587" w:gutter="0"/>
          <w:pgNumType w:fmt="numberInDash" w:start="7"/>
          <w:cols w:space="0" w:num="1"/>
          <w:docGrid w:type="lines" w:linePitch="314" w:charSpace="0"/>
        </w:sectPr>
      </w:pPr>
    </w:p>
    <w:p/>
    <w:p>
      <w:pPr>
        <w:pStyle w:val="2"/>
      </w:pPr>
    </w:p>
    <w:p>
      <w:pPr>
        <w:rPr>
          <w:rFonts w:hint="eastAsia" w:eastAsia="宋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/>
          <w:sz w:val="44"/>
          <w:szCs w:val="44"/>
        </w:rPr>
        <w:t>华容县</w:t>
      </w:r>
      <w:r>
        <w:rPr>
          <w:rFonts w:hint="eastAsia"/>
          <w:sz w:val="44"/>
          <w:szCs w:val="44"/>
          <w:lang w:eastAsia="zh-CN"/>
        </w:rPr>
        <w:t>鲇鱼须镇鲇市中学</w:t>
      </w:r>
    </w:p>
    <w:p>
      <w:pPr>
        <w:rPr>
          <w:sz w:val="44"/>
          <w:szCs w:val="44"/>
        </w:rPr>
      </w:pPr>
      <w:r>
        <w:rPr>
          <w:rFonts w:hint="eastAsia"/>
          <w:sz w:val="44"/>
          <w:szCs w:val="44"/>
        </w:rPr>
        <w:t>部门整体支出</w:t>
      </w:r>
      <w:r>
        <w:rPr>
          <w:rFonts w:hint="eastAsia"/>
          <w:spacing w:val="7"/>
          <w:sz w:val="44"/>
          <w:szCs w:val="44"/>
        </w:rPr>
        <w:t>绩效自评报告</w:t>
      </w:r>
    </w:p>
    <w:p/>
    <w:p/>
    <w:p>
      <w:pPr>
        <w:pStyle w:val="2"/>
        <w:ind w:firstLine="567"/>
        <w:rPr>
          <w:sz w:val="28"/>
          <w:szCs w:val="28"/>
        </w:rPr>
      </w:pP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一、部门基本情况</w:t>
      </w:r>
    </w:p>
    <w:p>
      <w:pPr>
        <w:pStyle w:val="2"/>
        <w:ind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1.宣传贯彻执行党和国家的教育方针、教育政策、教育法律和法规，贯彻执行上级教育行政部门的各项规章制度。</w:t>
      </w:r>
    </w:p>
    <w:p>
      <w:pPr>
        <w:pStyle w:val="2"/>
        <w:ind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2.在政府和上级教育主管部门的领导下，争取资金改善办学条件，为师生的学习和工作提供优美和谐的环境。</w:t>
      </w:r>
    </w:p>
    <w:p>
      <w:pPr>
        <w:pStyle w:val="2"/>
        <w:ind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3.根据县级人民政府制定的教育事业发展规划，结合实际制定并组织实施本校的教育事业发展规划。按照干部和教师的职数、编制和管理权限，负责对本校的干部和教师进行管理，制定切实可行的学校工作规章制度，提高教育教学质量为目的，对干部职工的工作开展客观、公正的评价和考核。</w:t>
      </w:r>
    </w:p>
    <w:p>
      <w:pPr>
        <w:pStyle w:val="2"/>
        <w:ind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4.按照九年义务教育课程计划，开齐课程，开足课时，认真实施中小学的教育教学管理，全面推进素质教育，全面提高教育教学质量。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二、一般公共预算支出情况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（一）基本支出情况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2025</w:t>
      </w:r>
      <w:r>
        <w:rPr>
          <w:rFonts w:hint="eastAsia"/>
          <w:sz w:val="28"/>
          <w:szCs w:val="28"/>
        </w:rPr>
        <w:t>年度财政拨款基本支出</w:t>
      </w:r>
      <w:r>
        <w:rPr>
          <w:rFonts w:hint="eastAsia"/>
          <w:color w:val="FF0000"/>
          <w:sz w:val="28"/>
          <w:szCs w:val="28"/>
          <w:lang w:val="en-US" w:eastAsia="zh-CN"/>
        </w:rPr>
        <w:t>2798.69</w:t>
      </w:r>
      <w:r>
        <w:rPr>
          <w:rFonts w:hint="eastAsia"/>
          <w:sz w:val="28"/>
          <w:szCs w:val="28"/>
        </w:rPr>
        <w:t>万元，其中：人员经费</w:t>
      </w:r>
      <w:r>
        <w:rPr>
          <w:rFonts w:hint="eastAsia"/>
          <w:color w:val="FF0000"/>
          <w:sz w:val="28"/>
          <w:szCs w:val="28"/>
          <w:lang w:val="en-US" w:eastAsia="zh-CN"/>
        </w:rPr>
        <w:t>2375.40</w:t>
      </w:r>
      <w:r>
        <w:rPr>
          <w:rFonts w:hint="eastAsia"/>
          <w:sz w:val="28"/>
          <w:szCs w:val="28"/>
        </w:rPr>
        <w:t>万元，主要包括：（基本工资、津贴补贴、奖金、社会保障缴费、伙食补助费、其他工资福利支出、离休费、退休费、生活补助</w:t>
      </w:r>
      <w:bookmarkStart w:id="0" w:name="_GoBack"/>
      <w:bookmarkEnd w:id="0"/>
      <w:r>
        <w:rPr>
          <w:rFonts w:hint="eastAsia"/>
          <w:sz w:val="28"/>
          <w:szCs w:val="28"/>
        </w:rPr>
        <w:t>、医疗费、住房公积金、其他对个人和家庭的补助支出等）；公用经费</w:t>
      </w:r>
      <w:r>
        <w:rPr>
          <w:rFonts w:hint="eastAsia"/>
          <w:color w:val="FF0000"/>
          <w:sz w:val="28"/>
          <w:szCs w:val="28"/>
          <w:lang w:val="en-US" w:eastAsia="zh-CN"/>
        </w:rPr>
        <w:t>423.29</w:t>
      </w:r>
      <w:r>
        <w:rPr>
          <w:rFonts w:hint="eastAsia"/>
          <w:sz w:val="28"/>
          <w:szCs w:val="28"/>
        </w:rPr>
        <w:t>万元，主要包括：（办公费、印刷费、咨询费、电费、邮电费、差旅费、因公出国（境）费、维修（护）费、租赁费、会议费、培训费、公务接待费、劳务费、其他交通费用、其他商品和服务支出、办公设备购置、其他支出等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“三公”经费支出情况：严格按照财政局下发文件标准执行，严格控制支出，</w:t>
      </w:r>
      <w:r>
        <w:rPr>
          <w:rFonts w:hint="eastAsia"/>
          <w:sz w:val="28"/>
          <w:szCs w:val="28"/>
          <w:lang w:eastAsia="zh-CN"/>
        </w:rPr>
        <w:t>2025</w:t>
      </w:r>
      <w:r>
        <w:rPr>
          <w:rFonts w:hint="eastAsia"/>
          <w:sz w:val="28"/>
          <w:szCs w:val="28"/>
        </w:rPr>
        <w:t>年，“三公”经费支出为</w:t>
      </w:r>
      <w:r>
        <w:rPr>
          <w:rFonts w:hint="eastAsia"/>
          <w:color w:val="FF0000"/>
          <w:sz w:val="28"/>
          <w:szCs w:val="28"/>
        </w:rPr>
        <w:t>0.</w:t>
      </w:r>
      <w:r>
        <w:rPr>
          <w:rFonts w:hint="eastAsia"/>
          <w:color w:val="FF0000"/>
          <w:sz w:val="28"/>
          <w:szCs w:val="28"/>
          <w:lang w:val="en-US" w:eastAsia="zh-CN"/>
        </w:rPr>
        <w:t>45</w:t>
      </w:r>
      <w:r>
        <w:rPr>
          <w:rFonts w:hint="eastAsia"/>
          <w:sz w:val="28"/>
          <w:szCs w:val="28"/>
        </w:rPr>
        <w:t>万元，比上年减少</w:t>
      </w:r>
      <w:r>
        <w:rPr>
          <w:rFonts w:hint="eastAsia"/>
          <w:color w:val="FF0000"/>
          <w:sz w:val="28"/>
          <w:szCs w:val="28"/>
        </w:rPr>
        <w:t>0</w:t>
      </w:r>
      <w:r>
        <w:rPr>
          <w:rFonts w:hint="eastAsia"/>
          <w:color w:val="FF0000"/>
          <w:sz w:val="28"/>
          <w:szCs w:val="28"/>
          <w:lang w:val="en-US" w:eastAsia="zh-CN"/>
        </w:rPr>
        <w:t>.03</w:t>
      </w:r>
      <w:r>
        <w:rPr>
          <w:rFonts w:hint="eastAsia"/>
          <w:sz w:val="28"/>
          <w:szCs w:val="28"/>
        </w:rPr>
        <w:t>万元，下降</w:t>
      </w:r>
      <w:r>
        <w:rPr>
          <w:rFonts w:hint="eastAsia"/>
          <w:color w:val="FF0000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%，增减变化的主要原因是：厉行节约，严格管控。公务用车购置及运行维护费完成0元，与上年无变化，原因是公车无。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（二）项目支出情况</w:t>
      </w:r>
    </w:p>
    <w:p>
      <w:pPr>
        <w:pStyle w:val="14"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1、专项资金安排落实、总投入等情况分析</w:t>
      </w:r>
    </w:p>
    <w:p>
      <w:pPr>
        <w:pStyle w:val="14"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2025</w:t>
      </w:r>
      <w:r>
        <w:rPr>
          <w:rFonts w:hint="eastAsia"/>
          <w:sz w:val="28"/>
          <w:szCs w:val="28"/>
        </w:rPr>
        <w:t>年度项目支出</w:t>
      </w:r>
      <w:r>
        <w:rPr>
          <w:rFonts w:hint="eastAsia"/>
          <w:color w:val="FF0000"/>
          <w:sz w:val="28"/>
          <w:szCs w:val="28"/>
          <w:lang w:val="en-US" w:eastAsia="zh-CN"/>
        </w:rPr>
        <w:t>90.89</w:t>
      </w:r>
      <w:r>
        <w:rPr>
          <w:rFonts w:hint="eastAsia"/>
          <w:sz w:val="28"/>
          <w:szCs w:val="28"/>
        </w:rPr>
        <w:t>万元，主要包括：学校校舍维修改造专项等，以上经费全部落实到位，保证了相关专项工作实施。</w:t>
      </w:r>
    </w:p>
    <w:p>
      <w:pPr>
        <w:pStyle w:val="14"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2、专项资金实际使用情况分析</w:t>
      </w:r>
    </w:p>
    <w:p>
      <w:pPr>
        <w:pStyle w:val="14"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按照财务管理及专项使用有关规定，相关专项资金按照专项的使用范围，做到了不挪项、不挪用、不超预算使用专项经费，并按照“量入为出、量体裁衣、节约使用”的原则，做到有计划地使用专项资金。</w:t>
      </w:r>
    </w:p>
    <w:p>
      <w:pPr>
        <w:pStyle w:val="14"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3、专项资金管理情况分析</w:t>
      </w:r>
    </w:p>
    <w:p>
      <w:pPr>
        <w:pStyle w:val="14"/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我校财政专项资金逐年增加，为规避财政风险，提高财政专项资金使用效益，确保财政专项资金安全运行，对财政专项资金管理做法如下：一是做到“四个坚持”即:坚持专项资金实行开票、经办、审核、审批、记账等职责严格分离；坚持支出先报批、后经办，经严格审核后，再审批付款，最后交会计人员制单、记账；坚持专项资金凭用款计划、项目进度及专户存款情况，审核拨付资金；坚持把好票据签章关，严格票据销号，对已开完的票据及时销号，防止票据丢失、挪用公款，严禁一人保管支付款项所需要的全部印章。二是专项资金实行使用公示制，资金使用明细全部上网公开，提高了财政专项资金使用的透明度，有力保证了专款专用。三是规范了财政专项资金会计基础工作，提高了会计信息质量，为政府决策提供了参考依据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三、政府性基金预算支出情况</w:t>
      </w:r>
    </w:p>
    <w:p>
      <w:pPr>
        <w:pStyle w:val="2"/>
        <w:ind w:firstLine="567"/>
        <w:rPr>
          <w:rFonts w:eastAsia="新宋体"/>
          <w:sz w:val="28"/>
          <w:szCs w:val="28"/>
        </w:rPr>
      </w:pPr>
      <w:r>
        <w:rPr>
          <w:rFonts w:hint="eastAsia"/>
          <w:sz w:val="28"/>
          <w:szCs w:val="28"/>
        </w:rPr>
        <w:t>政府性基金拨款0万元</w:t>
      </w:r>
      <w:r>
        <w:rPr>
          <w:rFonts w:hint="eastAsia" w:ascii="新宋体" w:hAnsi="新宋体" w:eastAsia="新宋体" w:cs="新宋体"/>
          <w:bCs/>
          <w:sz w:val="28"/>
          <w:szCs w:val="28"/>
        </w:rPr>
        <w:t>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四、国有资本经营预算支出情况</w:t>
      </w:r>
    </w:p>
    <w:p>
      <w:pPr>
        <w:pStyle w:val="2"/>
        <w:ind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国有资本经营预算支出0万元。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五、社会保险基金预算支出情况</w:t>
      </w:r>
    </w:p>
    <w:p>
      <w:pPr>
        <w:pStyle w:val="2"/>
        <w:ind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社会保险基金预算支出0万元。</w:t>
      </w:r>
    </w:p>
    <w:p>
      <w:pPr>
        <w:pStyle w:val="2"/>
        <w:ind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六、部门整体支出绩效情况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2025</w:t>
      </w:r>
      <w:r>
        <w:rPr>
          <w:rFonts w:hint="eastAsia"/>
          <w:sz w:val="28"/>
          <w:szCs w:val="28"/>
        </w:rPr>
        <w:t>年，我校在县委、县政府的坚强领导和县教体局的正确指导下，坚持安全和质量“两条主线”，我校教育教学各项工作持续、稳步发展。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我校坚决执行经费预算管理，确保预算不增长，支出不超预算。在厉行节约、反对铺张浪费等方面，采取了有力措施，并取得了明显成效。校长室成员率先垂范、高度重视下，全体教职工积极配合，三公经费得到了很好的控制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我校严格执行经费年初预算，按照上级的要求，强化制度建设，完善预算分配机制，进一步加强经费预算的执行管理，不断提高支出的经济性、效率性、有效性和可持续性。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根据定量分析及定性分析，综合考评得分为</w:t>
      </w:r>
      <w:r>
        <w:rPr>
          <w:rFonts w:hint="eastAsia"/>
          <w:color w:val="FF0000"/>
          <w:sz w:val="28"/>
          <w:szCs w:val="28"/>
          <w:lang w:val="en-US" w:eastAsia="zh-CN"/>
        </w:rPr>
        <w:t>96.67</w:t>
      </w:r>
      <w:r>
        <w:rPr>
          <w:rFonts w:hint="eastAsia"/>
          <w:sz w:val="28"/>
          <w:szCs w:val="28"/>
        </w:rPr>
        <w:t>分，评价等次确定为优。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七、存在的问题及原因分析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对项目资金开支分类需要进一步科学化、规范化，费用开支和绩效产出测得结果不够准确，需要进一步量化。预算管理、绩效管理、资金管理需要加强。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八、下一步改进措施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加强预算管理、绩效管理、资金管理等的制度建设与执行措施的改进，确保我单位绩效评价工作顺利进行。</w:t>
      </w:r>
    </w:p>
    <w:p>
      <w:pPr>
        <w:ind w:firstLine="567"/>
        <w:jc w:val="left"/>
        <w:rPr>
          <w:spacing w:val="8"/>
          <w:sz w:val="28"/>
          <w:szCs w:val="28"/>
        </w:rPr>
      </w:pPr>
      <w:r>
        <w:rPr>
          <w:rFonts w:hint="eastAsia"/>
          <w:sz w:val="28"/>
          <w:szCs w:val="28"/>
        </w:rPr>
        <w:t>九、部门整体支出绩效自评结果拟应用和公开</w:t>
      </w:r>
      <w:r>
        <w:rPr>
          <w:rFonts w:hint="eastAsia"/>
          <w:spacing w:val="8"/>
          <w:sz w:val="28"/>
          <w:szCs w:val="28"/>
        </w:rPr>
        <w:t>情况</w:t>
      </w:r>
    </w:p>
    <w:p>
      <w:pPr>
        <w:pStyle w:val="2"/>
        <w:ind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1.通过对部门整体支出绩效自评结果的分析和应用，了解部门工作完成情况，针对发现的问题和瓶颈，适时地调整工作方向，提高整个部门的绩效水平。另外，借助绩效自评结果，进行绩效考核和激励，创造更好的工作氛围和激励机制。</w:t>
      </w:r>
    </w:p>
    <w:p>
      <w:pPr>
        <w:pStyle w:val="2"/>
        <w:ind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2.适时公开部门整体支出绩效自评结果，让教职工了解我部门的绩效评价标准和结果，有利于建立公平公正的绩效考核制度，激发教职工的工作热情和积极性，提高整体绩效水平。</w:t>
      </w:r>
    </w:p>
    <w:p>
      <w:pPr>
        <w:ind w:firstLine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十、其他需要说明的情况</w:t>
      </w:r>
    </w:p>
    <w:p>
      <w:pPr>
        <w:pStyle w:val="2"/>
        <w:ind w:firstLine="567"/>
        <w:rPr>
          <w:sz w:val="28"/>
          <w:szCs w:val="28"/>
        </w:rPr>
      </w:pPr>
      <w:r>
        <w:rPr>
          <w:rFonts w:hint="eastAsia"/>
          <w:sz w:val="28"/>
          <w:szCs w:val="28"/>
        </w:rPr>
        <w:t>其他需要说明的情况无。</w:t>
      </w:r>
    </w:p>
    <w:p>
      <w:pPr>
        <w:pStyle w:val="2"/>
        <w:ind w:firstLine="567"/>
        <w:rPr>
          <w:sz w:val="28"/>
          <w:szCs w:val="28"/>
        </w:rPr>
      </w:pPr>
    </w:p>
    <w:p>
      <w:r>
        <w:br w:type="page"/>
      </w:r>
    </w:p>
    <w:p>
      <w:pPr>
        <w:sectPr>
          <w:footerReference r:id="rId4" w:type="default"/>
          <w:pgSz w:w="11905" w:h="16838"/>
          <w:pgMar w:top="1984" w:right="1701" w:bottom="1984" w:left="1701" w:header="850" w:footer="992" w:gutter="0"/>
          <w:pgNumType w:fmt="numberInDash"/>
          <w:cols w:space="0" w:num="1"/>
          <w:docGrid w:type="lines" w:linePitch="314" w:charSpace="0"/>
        </w:sectPr>
      </w:pPr>
    </w:p>
    <w:p>
      <w:pPr>
        <w:jc w:val="left"/>
        <w:rPr>
          <w:sz w:val="44"/>
          <w:szCs w:val="44"/>
        </w:rPr>
      </w:pPr>
      <w:r>
        <w:rPr>
          <w:rFonts w:hint="eastAsia"/>
          <w:sz w:val="44"/>
          <w:szCs w:val="44"/>
        </w:rPr>
        <w:t>附件4</w:t>
      </w:r>
    </w:p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  <w:lang w:eastAsia="zh-CN"/>
        </w:rPr>
        <w:t>2025</w:t>
      </w:r>
      <w:r>
        <w:rPr>
          <w:rFonts w:hint="eastAsia"/>
          <w:sz w:val="44"/>
          <w:szCs w:val="44"/>
        </w:rPr>
        <w:t>年度部门整体支出绩效自评表</w:t>
      </w:r>
    </w:p>
    <w:tbl>
      <w:tblPr>
        <w:tblW w:w="95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511"/>
        <w:gridCol w:w="1791"/>
        <w:gridCol w:w="831"/>
        <w:gridCol w:w="861"/>
        <w:gridCol w:w="867"/>
        <w:gridCol w:w="662"/>
        <w:gridCol w:w="598"/>
        <w:gridCol w:w="597"/>
        <w:gridCol w:w="606"/>
        <w:gridCol w:w="760"/>
        <w:gridCol w:w="8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" w:hRule="atLeast"/>
        </w:trPr>
        <w:tc>
          <w:tcPr>
            <w:tcW w:w="29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预算部门名称</w:t>
            </w:r>
          </w:p>
        </w:tc>
        <w:tc>
          <w:tcPr>
            <w:tcW w:w="658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华容县鲇鱼须镇鲇市中学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295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Microsoft YaHei UI" w:hAnsi="Microsoft YaHei UI" w:eastAsia="Microsoft YaHei UI" w:cs="Microsoft YaHei UI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年度预算申请</w:t>
            </w:r>
            <w:r>
              <w:rPr>
                <w:rFonts w:hint="eastAsia" w:ascii="Microsoft YaHei UI" w:hAnsi="Microsoft YaHei UI" w:eastAsia="Microsoft YaHei UI" w:cs="Microsoft YaHei U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Microsoft YaHei UI" w:hAnsi="Microsoft YaHei UI" w:eastAsia="Microsoft YaHei UI" w:cs="Microsoft YaHei UI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(万元)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年初预算数</w:t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(万元)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全年预算数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全年执行数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295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年度资金总额：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2103.55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2989.58</w:t>
            </w:r>
          </w:p>
        </w:tc>
        <w:tc>
          <w:tcPr>
            <w:tcW w:w="18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2889.58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96.65%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" w:hRule="atLeast"/>
        </w:trPr>
        <w:tc>
          <w:tcPr>
            <w:tcW w:w="295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按收入性质分：</w:t>
            </w:r>
          </w:p>
        </w:tc>
        <w:tc>
          <w:tcPr>
            <w:tcW w:w="21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按支出性质分：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295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一般公共预算：</w:t>
            </w:r>
          </w:p>
        </w:tc>
        <w:tc>
          <w:tcPr>
            <w:tcW w:w="35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2766.77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其中:基本支出：</w:t>
            </w:r>
          </w:p>
        </w:tc>
        <w:tc>
          <w:tcPr>
            <w:tcW w:w="156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2798.69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295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政府性基金拨款：</w:t>
            </w:r>
          </w:p>
        </w:tc>
        <w:tc>
          <w:tcPr>
            <w:tcW w:w="35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295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纳入专户管理的非税收入拨款：</w:t>
            </w:r>
          </w:p>
        </w:tc>
        <w:tc>
          <w:tcPr>
            <w:tcW w:w="35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122.81</w:t>
            </w:r>
          </w:p>
        </w:tc>
        <w:tc>
          <w:tcPr>
            <w:tcW w:w="6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项目支出：</w:t>
            </w:r>
          </w:p>
        </w:tc>
        <w:tc>
          <w:tcPr>
            <w:tcW w:w="156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90.89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295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Microsoft YaHei UI" w:hAnsi="Microsoft YaHei UI" w:eastAsia="Microsoft YaHei UI" w:cs="Microsoft YaHei UI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其他资金</w:t>
            </w:r>
          </w:p>
        </w:tc>
        <w:tc>
          <w:tcPr>
            <w:tcW w:w="35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</w:t>
            </w:r>
          </w:p>
        </w:tc>
        <w:tc>
          <w:tcPr>
            <w:tcW w:w="6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6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" w:hRule="atLeast"/>
        </w:trPr>
        <w:tc>
          <w:tcPr>
            <w:tcW w:w="295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44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21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95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1.教育质量全面提升。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2.安全管理全面强化。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3.队伍建设全面加强。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4.教育管理全面规范。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5.发展保障全面深化</w:t>
            </w:r>
          </w:p>
        </w:tc>
        <w:tc>
          <w:tcPr>
            <w:tcW w:w="21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全部达成预期目标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6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8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8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8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评扣分标准</w:t>
            </w:r>
          </w:p>
        </w:tc>
        <w:tc>
          <w:tcPr>
            <w:tcW w:w="5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5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6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1.老师工资福利发放率 2.“五险一金”缴纳率 3.足额投入日常公用经费 4.足额发放退休人员待遇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达到计划值得满分，未达到计划值按比例扣分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1.初中入学率 2.初中毕业生率 初中教学质量综合评价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达到计划值得满分，未达到计划值按比例扣分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在学年度内完成教育教学任务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达到计划值得满分，未达到计划值按比例扣分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1.学校正常开展各项业务 2.退休教师福利待遇正常发放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达到计划值得满分，未达到计划值按比例扣分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让群众满意，让家长放心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达到计划值得满分，未达到计划值按比例扣分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1.学校安全率 2.学校校园环境优化率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达到计划值得满分，未达到计划值按比例扣分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坚持可持续发展目标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达到计划值得满分，未达到计划值按比例扣分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服务对象满意度指标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1.家长对学校满意度 2.教师对学校管理满意度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达到计划值得满分，未达到计划值按比例扣分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教育投入全部用于教育发展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达到计划值得满分，未达到计划值按比例扣分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社会成本指标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全体教育工作者全身心投入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达到计划值得满分，未达到计划值按比例扣分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6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生态环境成本指标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促进教育服务于社会，促进和谐社会发展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达到计划值得满分，未达到计划值按比例扣分</w:t>
            </w:r>
          </w:p>
        </w:tc>
        <w:tc>
          <w:tcPr>
            <w:tcW w:w="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0" w:type="auto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96.67</w:t>
            </w:r>
          </w:p>
        </w:tc>
      </w:tr>
    </w:tbl>
    <w:p>
      <w:pPr>
        <w:pStyle w:val="2"/>
        <w:rPr>
          <w:rFonts w:hint="eastAsia"/>
        </w:rPr>
      </w:pPr>
    </w:p>
    <w:p/>
    <w:p>
      <w:pPr>
        <w:pStyle w:val="2"/>
      </w:pPr>
    </w:p>
    <w:p/>
    <w:p>
      <w:pPr>
        <w:ind w:left="0" w:leftChars="0" w:firstLine="0" w:firstLineChars="0"/>
        <w:jc w:val="both"/>
      </w:pPr>
      <w:r>
        <w:rPr>
          <w:rFonts w:hint="eastAsia"/>
        </w:rPr>
        <w:t>填表人：</w:t>
      </w:r>
      <w:r>
        <w:rPr>
          <w:rFonts w:hint="eastAsia"/>
          <w:lang w:eastAsia="zh-CN"/>
        </w:rPr>
        <w:t>李陆龙</w:t>
      </w:r>
      <w:r>
        <w:rPr>
          <w:rFonts w:hint="eastAsia"/>
        </w:rPr>
        <w:t xml:space="preserve">  填报日期：202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-05-22 联系电话：</w:t>
      </w:r>
      <w:r>
        <w:rPr>
          <w:rFonts w:hint="eastAsia"/>
          <w:lang w:val="en-US" w:eastAsia="zh-CN"/>
        </w:rPr>
        <w:t>13517307260</w:t>
      </w:r>
      <w:r>
        <w:rPr>
          <w:rFonts w:hint="eastAsia"/>
        </w:rPr>
        <w:t xml:space="preserve">  单位负责人签字：</w:t>
      </w:r>
    </w:p>
    <w:p>
      <w:pPr>
        <w:jc w:val="left"/>
        <w:rPr>
          <w:sz w:val="22"/>
          <w:szCs w:val="22"/>
        </w:rPr>
      </w:pPr>
    </w:p>
    <w:sectPr>
      <w:footerReference r:id="rId5" w:type="default"/>
      <w:pgSz w:w="11905" w:h="16838"/>
      <w:pgMar w:top="1984" w:right="1701" w:bottom="1984" w:left="1701" w:header="850" w:footer="1587" w:gutter="0"/>
      <w:pgNumType w:fmt="numberInDash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B27284E-CE45-42BA-9A43-7B605C1E9D5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24DA858-BFD5-4B82-BE9C-50960F5E44E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07E009C6-89AB-4D6B-B170-017D2E46E5B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F9E2B063-2122-4BF7-A08D-5E2AA5FC5D8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BAE135D6-08F6-4717-8BBE-506133AE955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CE7B70AE-D18E-4C0E-856C-EEAFED5AA4A5}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7" w:fontKey="{7CEDA4D5-4464-4C58-85B2-1B6FA07436DD}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  <w:embedRegular r:id="rId8" w:fontKey="{C2B63189-5F88-41DF-B9F8-4BC055127839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9" w:fontKey="{951EFBCD-06FF-4819-8B21-9DB37C619E70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Cs w:val="2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- 7 -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Mh2d9gbAgAAIwQAAA4A&#10;AAAAAAAAAQAgAAAAHwEAAGRycy9lMm9Eb2MueG1sUEsFBgAAAAAGAAYAWQEAAK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- 7 -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Cs w:val="28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nEPZ0ZAgAAIw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DpxD2dGQIAACMEAAAOAAAA&#10;AAAAAAEAIAAAAB8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szCs w:val="28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A24LBYbAgAAIwQAAA4A&#10;AAAAAAAAAQAgAAAAHwEAAGRycy9lMm9Eb2MueG1sUEsFBgAAAAAGAAYAWQEAAK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 w:val="0"/>
  <w:bordersDoNotSurroundFooter w:val="0"/>
  <w:documentProtection w:enforcement="0"/>
  <w:defaultTabStop w:val="420"/>
  <w:drawingGridHorizontalSpacing w:val="210"/>
  <w:drawingGridVerticalSpacing w:val="157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0NmU4ODg5NWMxZmRlODk5ZDFhOTFjNjBjZmU3ODAifQ=="/>
  </w:docVars>
  <w:rsids>
    <w:rsidRoot w:val="0CCB7736"/>
    <w:rsid w:val="00047FEF"/>
    <w:rsid w:val="00072EEA"/>
    <w:rsid w:val="00094179"/>
    <w:rsid w:val="000A3906"/>
    <w:rsid w:val="000D453B"/>
    <w:rsid w:val="001776F1"/>
    <w:rsid w:val="001A551C"/>
    <w:rsid w:val="001D08E2"/>
    <w:rsid w:val="002535B5"/>
    <w:rsid w:val="002B31A6"/>
    <w:rsid w:val="002B7A8D"/>
    <w:rsid w:val="00343B5F"/>
    <w:rsid w:val="00485C7A"/>
    <w:rsid w:val="004F5D3B"/>
    <w:rsid w:val="005C7B0B"/>
    <w:rsid w:val="00600EB4"/>
    <w:rsid w:val="006330B8"/>
    <w:rsid w:val="0064211D"/>
    <w:rsid w:val="0066176F"/>
    <w:rsid w:val="006F0A16"/>
    <w:rsid w:val="00723F51"/>
    <w:rsid w:val="00736106"/>
    <w:rsid w:val="00773328"/>
    <w:rsid w:val="00796B00"/>
    <w:rsid w:val="00821883"/>
    <w:rsid w:val="00882B98"/>
    <w:rsid w:val="00896F29"/>
    <w:rsid w:val="008E2EBA"/>
    <w:rsid w:val="0090143D"/>
    <w:rsid w:val="00917857"/>
    <w:rsid w:val="00951882"/>
    <w:rsid w:val="00971745"/>
    <w:rsid w:val="00A755C2"/>
    <w:rsid w:val="00AC5C6A"/>
    <w:rsid w:val="00B366F5"/>
    <w:rsid w:val="00B87DFD"/>
    <w:rsid w:val="00BD26A4"/>
    <w:rsid w:val="00C67BCC"/>
    <w:rsid w:val="00C83DB2"/>
    <w:rsid w:val="00D06DD6"/>
    <w:rsid w:val="00D52BC4"/>
    <w:rsid w:val="00D934C5"/>
    <w:rsid w:val="00DB64F1"/>
    <w:rsid w:val="00E57FD8"/>
    <w:rsid w:val="00F27402"/>
    <w:rsid w:val="011D2710"/>
    <w:rsid w:val="016A347B"/>
    <w:rsid w:val="01B42948"/>
    <w:rsid w:val="01BF20E7"/>
    <w:rsid w:val="01E4322D"/>
    <w:rsid w:val="021138F7"/>
    <w:rsid w:val="02B50488"/>
    <w:rsid w:val="03331DD0"/>
    <w:rsid w:val="0338470A"/>
    <w:rsid w:val="034822A9"/>
    <w:rsid w:val="03D86621"/>
    <w:rsid w:val="04E85283"/>
    <w:rsid w:val="04EE6171"/>
    <w:rsid w:val="05315F6B"/>
    <w:rsid w:val="05395EA9"/>
    <w:rsid w:val="0616597F"/>
    <w:rsid w:val="06426ACC"/>
    <w:rsid w:val="06C2792F"/>
    <w:rsid w:val="07A62D33"/>
    <w:rsid w:val="086B5F82"/>
    <w:rsid w:val="09201D8C"/>
    <w:rsid w:val="09E6794E"/>
    <w:rsid w:val="0A067AB9"/>
    <w:rsid w:val="0ABD557B"/>
    <w:rsid w:val="0BBB5A8D"/>
    <w:rsid w:val="0C104906"/>
    <w:rsid w:val="0C607C21"/>
    <w:rsid w:val="0CCB7736"/>
    <w:rsid w:val="0D9E0E8D"/>
    <w:rsid w:val="0E1F65D3"/>
    <w:rsid w:val="0E3E5716"/>
    <w:rsid w:val="0E524A5A"/>
    <w:rsid w:val="0E6B257C"/>
    <w:rsid w:val="0E992415"/>
    <w:rsid w:val="0EAB7397"/>
    <w:rsid w:val="0EF755B3"/>
    <w:rsid w:val="0F17035E"/>
    <w:rsid w:val="0F4E168D"/>
    <w:rsid w:val="0F7A0392"/>
    <w:rsid w:val="0FAF3959"/>
    <w:rsid w:val="0FD26E31"/>
    <w:rsid w:val="1020625B"/>
    <w:rsid w:val="11404466"/>
    <w:rsid w:val="116C2770"/>
    <w:rsid w:val="11837AA9"/>
    <w:rsid w:val="11963ADD"/>
    <w:rsid w:val="11EB0F5C"/>
    <w:rsid w:val="11F20483"/>
    <w:rsid w:val="12123C76"/>
    <w:rsid w:val="124D6E82"/>
    <w:rsid w:val="12831010"/>
    <w:rsid w:val="128B3251"/>
    <w:rsid w:val="129038DB"/>
    <w:rsid w:val="13285633"/>
    <w:rsid w:val="13441D7E"/>
    <w:rsid w:val="136F31F8"/>
    <w:rsid w:val="138750E0"/>
    <w:rsid w:val="1396506E"/>
    <w:rsid w:val="13D82A59"/>
    <w:rsid w:val="13E675EB"/>
    <w:rsid w:val="140E6961"/>
    <w:rsid w:val="141D6D3A"/>
    <w:rsid w:val="145F795E"/>
    <w:rsid w:val="15604228"/>
    <w:rsid w:val="15695ACC"/>
    <w:rsid w:val="15A620D3"/>
    <w:rsid w:val="15C66D44"/>
    <w:rsid w:val="16801E3F"/>
    <w:rsid w:val="16A3369E"/>
    <w:rsid w:val="17114A8B"/>
    <w:rsid w:val="176B77A7"/>
    <w:rsid w:val="178536BD"/>
    <w:rsid w:val="19516372"/>
    <w:rsid w:val="19575CC2"/>
    <w:rsid w:val="19A80228"/>
    <w:rsid w:val="19AF68C7"/>
    <w:rsid w:val="19E85A53"/>
    <w:rsid w:val="1A101464"/>
    <w:rsid w:val="1A4C1518"/>
    <w:rsid w:val="1AB71087"/>
    <w:rsid w:val="1AB74849"/>
    <w:rsid w:val="1AC52FF2"/>
    <w:rsid w:val="1AE6175D"/>
    <w:rsid w:val="1B742AA7"/>
    <w:rsid w:val="1BD5498B"/>
    <w:rsid w:val="1BF15B4E"/>
    <w:rsid w:val="1C34578A"/>
    <w:rsid w:val="1CA34935"/>
    <w:rsid w:val="1CC311E2"/>
    <w:rsid w:val="1D4B5AB7"/>
    <w:rsid w:val="1D5A640E"/>
    <w:rsid w:val="1E9351E5"/>
    <w:rsid w:val="1F391B38"/>
    <w:rsid w:val="1F7640EC"/>
    <w:rsid w:val="20176B8B"/>
    <w:rsid w:val="20D30097"/>
    <w:rsid w:val="20D76C5F"/>
    <w:rsid w:val="20E55C2B"/>
    <w:rsid w:val="21057490"/>
    <w:rsid w:val="214A230E"/>
    <w:rsid w:val="21B052C4"/>
    <w:rsid w:val="22B43877"/>
    <w:rsid w:val="22C85FA2"/>
    <w:rsid w:val="22CA430C"/>
    <w:rsid w:val="22DF2F05"/>
    <w:rsid w:val="22FF5445"/>
    <w:rsid w:val="23201E3D"/>
    <w:rsid w:val="2342170A"/>
    <w:rsid w:val="238D0E57"/>
    <w:rsid w:val="24256710"/>
    <w:rsid w:val="251E7983"/>
    <w:rsid w:val="25FE2B31"/>
    <w:rsid w:val="260D5D83"/>
    <w:rsid w:val="260E1D77"/>
    <w:rsid w:val="277A77CA"/>
    <w:rsid w:val="27D31FAF"/>
    <w:rsid w:val="28043432"/>
    <w:rsid w:val="284A2254"/>
    <w:rsid w:val="28D948BF"/>
    <w:rsid w:val="29165294"/>
    <w:rsid w:val="292F1467"/>
    <w:rsid w:val="29786927"/>
    <w:rsid w:val="297B51B4"/>
    <w:rsid w:val="29E40467"/>
    <w:rsid w:val="29F527E2"/>
    <w:rsid w:val="2A9A1E2C"/>
    <w:rsid w:val="2BF35971"/>
    <w:rsid w:val="2C487650"/>
    <w:rsid w:val="2C5A7AC4"/>
    <w:rsid w:val="2E061CB6"/>
    <w:rsid w:val="2E4F43C0"/>
    <w:rsid w:val="2EC7368E"/>
    <w:rsid w:val="2EDC05D9"/>
    <w:rsid w:val="2F240CAA"/>
    <w:rsid w:val="2F5137B6"/>
    <w:rsid w:val="2FF62815"/>
    <w:rsid w:val="304D5781"/>
    <w:rsid w:val="30FB4B41"/>
    <w:rsid w:val="310556EF"/>
    <w:rsid w:val="31621165"/>
    <w:rsid w:val="319D35B5"/>
    <w:rsid w:val="322E1E8E"/>
    <w:rsid w:val="323C5548"/>
    <w:rsid w:val="32A13DCA"/>
    <w:rsid w:val="33235CE2"/>
    <w:rsid w:val="33F22F3B"/>
    <w:rsid w:val="359F2200"/>
    <w:rsid w:val="35A42962"/>
    <w:rsid w:val="35B80496"/>
    <w:rsid w:val="36106E83"/>
    <w:rsid w:val="36AD0EA9"/>
    <w:rsid w:val="36FF783F"/>
    <w:rsid w:val="37450F88"/>
    <w:rsid w:val="375F1A7E"/>
    <w:rsid w:val="378219F7"/>
    <w:rsid w:val="378B026E"/>
    <w:rsid w:val="37B47BE4"/>
    <w:rsid w:val="37D6106F"/>
    <w:rsid w:val="37F52D97"/>
    <w:rsid w:val="38241593"/>
    <w:rsid w:val="38856E40"/>
    <w:rsid w:val="38BE1DF3"/>
    <w:rsid w:val="38F862EB"/>
    <w:rsid w:val="39343807"/>
    <w:rsid w:val="39887BBC"/>
    <w:rsid w:val="3A0F7AD4"/>
    <w:rsid w:val="3A53023B"/>
    <w:rsid w:val="3AEF0C7A"/>
    <w:rsid w:val="3AF42D2D"/>
    <w:rsid w:val="3B062751"/>
    <w:rsid w:val="3B3A041F"/>
    <w:rsid w:val="3BAE6BF9"/>
    <w:rsid w:val="3BEE0229"/>
    <w:rsid w:val="3C3568D7"/>
    <w:rsid w:val="3CB65A21"/>
    <w:rsid w:val="3CCA47F2"/>
    <w:rsid w:val="3CDE0708"/>
    <w:rsid w:val="3D33006A"/>
    <w:rsid w:val="3D3954D4"/>
    <w:rsid w:val="3D545E58"/>
    <w:rsid w:val="3D5877DF"/>
    <w:rsid w:val="3DAE53BC"/>
    <w:rsid w:val="3DC55CAA"/>
    <w:rsid w:val="3DD556CA"/>
    <w:rsid w:val="3DFE271A"/>
    <w:rsid w:val="3E5F4AE1"/>
    <w:rsid w:val="3E8E0DB5"/>
    <w:rsid w:val="3F450429"/>
    <w:rsid w:val="3FB6105E"/>
    <w:rsid w:val="3FBF3F86"/>
    <w:rsid w:val="3FF70715"/>
    <w:rsid w:val="3FFD550C"/>
    <w:rsid w:val="4021030A"/>
    <w:rsid w:val="40226C80"/>
    <w:rsid w:val="409741F1"/>
    <w:rsid w:val="40C451A5"/>
    <w:rsid w:val="40C671E5"/>
    <w:rsid w:val="41051ABE"/>
    <w:rsid w:val="4156470B"/>
    <w:rsid w:val="41943ACE"/>
    <w:rsid w:val="42521D88"/>
    <w:rsid w:val="425D4066"/>
    <w:rsid w:val="430118BA"/>
    <w:rsid w:val="43173FD4"/>
    <w:rsid w:val="43B27D8E"/>
    <w:rsid w:val="43DC7B84"/>
    <w:rsid w:val="44143822"/>
    <w:rsid w:val="44654A12"/>
    <w:rsid w:val="44E421C9"/>
    <w:rsid w:val="45320384"/>
    <w:rsid w:val="457C5F26"/>
    <w:rsid w:val="46963997"/>
    <w:rsid w:val="4716830A"/>
    <w:rsid w:val="47BF53CA"/>
    <w:rsid w:val="48B126BB"/>
    <w:rsid w:val="49CF255F"/>
    <w:rsid w:val="4A3239D7"/>
    <w:rsid w:val="4B2C5DCD"/>
    <w:rsid w:val="4B46D032"/>
    <w:rsid w:val="4B7D1173"/>
    <w:rsid w:val="4B917335"/>
    <w:rsid w:val="4BBDFBDE"/>
    <w:rsid w:val="4BCF5C41"/>
    <w:rsid w:val="4C150E22"/>
    <w:rsid w:val="4C6A38FC"/>
    <w:rsid w:val="4CD520DA"/>
    <w:rsid w:val="4CE74BC3"/>
    <w:rsid w:val="4CEEB85C"/>
    <w:rsid w:val="4CF5000E"/>
    <w:rsid w:val="4D6D6EEB"/>
    <w:rsid w:val="4D87403A"/>
    <w:rsid w:val="4DB17672"/>
    <w:rsid w:val="4DB27F04"/>
    <w:rsid w:val="4E992277"/>
    <w:rsid w:val="4F5D15A2"/>
    <w:rsid w:val="4FCB46B2"/>
    <w:rsid w:val="4FFE57BD"/>
    <w:rsid w:val="50605A69"/>
    <w:rsid w:val="50AC44C4"/>
    <w:rsid w:val="50EA6DB9"/>
    <w:rsid w:val="51453FF0"/>
    <w:rsid w:val="515661FD"/>
    <w:rsid w:val="51714DE5"/>
    <w:rsid w:val="51CA7471"/>
    <w:rsid w:val="521C2FA3"/>
    <w:rsid w:val="522529B2"/>
    <w:rsid w:val="524806C4"/>
    <w:rsid w:val="5301082D"/>
    <w:rsid w:val="53283BC9"/>
    <w:rsid w:val="536E566D"/>
    <w:rsid w:val="5387476B"/>
    <w:rsid w:val="53910AF4"/>
    <w:rsid w:val="53DB2E1F"/>
    <w:rsid w:val="53FBDA3F"/>
    <w:rsid w:val="54101315"/>
    <w:rsid w:val="54152739"/>
    <w:rsid w:val="54F63F7F"/>
    <w:rsid w:val="555952B3"/>
    <w:rsid w:val="555E65E4"/>
    <w:rsid w:val="556B5A36"/>
    <w:rsid w:val="5599697B"/>
    <w:rsid w:val="55AF40BB"/>
    <w:rsid w:val="55E65FDC"/>
    <w:rsid w:val="5613734A"/>
    <w:rsid w:val="562D7E5B"/>
    <w:rsid w:val="564F3D12"/>
    <w:rsid w:val="566435EF"/>
    <w:rsid w:val="56F72F7C"/>
    <w:rsid w:val="5717642E"/>
    <w:rsid w:val="57946554"/>
    <w:rsid w:val="57D80A00"/>
    <w:rsid w:val="586243BF"/>
    <w:rsid w:val="58FD3402"/>
    <w:rsid w:val="5968027A"/>
    <w:rsid w:val="5AAF7799"/>
    <w:rsid w:val="5AB04BD0"/>
    <w:rsid w:val="5B5C1753"/>
    <w:rsid w:val="5BE211F7"/>
    <w:rsid w:val="5BF510BE"/>
    <w:rsid w:val="5C6C4B26"/>
    <w:rsid w:val="5D03DFF6"/>
    <w:rsid w:val="5D9C3D56"/>
    <w:rsid w:val="5DD775C7"/>
    <w:rsid w:val="5E134100"/>
    <w:rsid w:val="5ED14285"/>
    <w:rsid w:val="5F7A1C50"/>
    <w:rsid w:val="5FC69000"/>
    <w:rsid w:val="601C4AB5"/>
    <w:rsid w:val="604F2F3E"/>
    <w:rsid w:val="60BE5A58"/>
    <w:rsid w:val="60BE691E"/>
    <w:rsid w:val="60E24467"/>
    <w:rsid w:val="60F74DC8"/>
    <w:rsid w:val="60F838FC"/>
    <w:rsid w:val="61444403"/>
    <w:rsid w:val="62265BDF"/>
    <w:rsid w:val="62BD30CC"/>
    <w:rsid w:val="62E1699A"/>
    <w:rsid w:val="62FBC294"/>
    <w:rsid w:val="63123C13"/>
    <w:rsid w:val="637D5875"/>
    <w:rsid w:val="64147F0D"/>
    <w:rsid w:val="64B713E7"/>
    <w:rsid w:val="64D66362"/>
    <w:rsid w:val="65860217"/>
    <w:rsid w:val="65931E5B"/>
    <w:rsid w:val="659D5052"/>
    <w:rsid w:val="659F0492"/>
    <w:rsid w:val="65F4116A"/>
    <w:rsid w:val="66415276"/>
    <w:rsid w:val="667E0AA1"/>
    <w:rsid w:val="66AE5CE5"/>
    <w:rsid w:val="66D4191C"/>
    <w:rsid w:val="66D47E98"/>
    <w:rsid w:val="677027A4"/>
    <w:rsid w:val="67B37C7A"/>
    <w:rsid w:val="67F20A94"/>
    <w:rsid w:val="68A02500"/>
    <w:rsid w:val="68FB17C3"/>
    <w:rsid w:val="695F12F9"/>
    <w:rsid w:val="69636C3A"/>
    <w:rsid w:val="696D83E8"/>
    <w:rsid w:val="69C60A20"/>
    <w:rsid w:val="69CF7B2C"/>
    <w:rsid w:val="69EE4FDB"/>
    <w:rsid w:val="69FEC155"/>
    <w:rsid w:val="6A0B0004"/>
    <w:rsid w:val="6A3273AF"/>
    <w:rsid w:val="6AC56475"/>
    <w:rsid w:val="6AD35263"/>
    <w:rsid w:val="6B4E7016"/>
    <w:rsid w:val="6B8D38AE"/>
    <w:rsid w:val="6BA1010E"/>
    <w:rsid w:val="6BC80F42"/>
    <w:rsid w:val="6CB744E6"/>
    <w:rsid w:val="6CE47E41"/>
    <w:rsid w:val="6CED5810"/>
    <w:rsid w:val="6CF92413"/>
    <w:rsid w:val="6DFE5E04"/>
    <w:rsid w:val="6E0D1F7B"/>
    <w:rsid w:val="6E4E6782"/>
    <w:rsid w:val="6E796921"/>
    <w:rsid w:val="6E87203D"/>
    <w:rsid w:val="6F9278BB"/>
    <w:rsid w:val="6FB7D4E3"/>
    <w:rsid w:val="6FBE0EF0"/>
    <w:rsid w:val="6FFF1C22"/>
    <w:rsid w:val="70696811"/>
    <w:rsid w:val="70EC5DDE"/>
    <w:rsid w:val="71572F19"/>
    <w:rsid w:val="719B7427"/>
    <w:rsid w:val="71E33685"/>
    <w:rsid w:val="71F326B3"/>
    <w:rsid w:val="724A6793"/>
    <w:rsid w:val="72647B59"/>
    <w:rsid w:val="7372FC32"/>
    <w:rsid w:val="739A288B"/>
    <w:rsid w:val="73A56E44"/>
    <w:rsid w:val="73B12A87"/>
    <w:rsid w:val="73EF00BF"/>
    <w:rsid w:val="741F26FA"/>
    <w:rsid w:val="74470DF8"/>
    <w:rsid w:val="744E1D52"/>
    <w:rsid w:val="74B86703"/>
    <w:rsid w:val="74BD60BB"/>
    <w:rsid w:val="74CF0052"/>
    <w:rsid w:val="74D56CA4"/>
    <w:rsid w:val="74FA3C0D"/>
    <w:rsid w:val="751D6EAE"/>
    <w:rsid w:val="75FD1676"/>
    <w:rsid w:val="7687113B"/>
    <w:rsid w:val="76C3247D"/>
    <w:rsid w:val="76EFC8B0"/>
    <w:rsid w:val="776ACBF9"/>
    <w:rsid w:val="77A01238"/>
    <w:rsid w:val="77B8776B"/>
    <w:rsid w:val="77FF7A21"/>
    <w:rsid w:val="7951325E"/>
    <w:rsid w:val="799536BA"/>
    <w:rsid w:val="7AC34054"/>
    <w:rsid w:val="7B170752"/>
    <w:rsid w:val="7B382425"/>
    <w:rsid w:val="7B8F681B"/>
    <w:rsid w:val="7BC55225"/>
    <w:rsid w:val="7BFF9B5C"/>
    <w:rsid w:val="7C3B673F"/>
    <w:rsid w:val="7CED5089"/>
    <w:rsid w:val="7D8636B9"/>
    <w:rsid w:val="7DD96C0E"/>
    <w:rsid w:val="7E1A215C"/>
    <w:rsid w:val="7E352599"/>
    <w:rsid w:val="7E474F7B"/>
    <w:rsid w:val="7E7F4A49"/>
    <w:rsid w:val="7E8F7AC1"/>
    <w:rsid w:val="7F0A2F09"/>
    <w:rsid w:val="7F2BE2DA"/>
    <w:rsid w:val="7F363D1E"/>
    <w:rsid w:val="7F7F87CE"/>
    <w:rsid w:val="7FB79B09"/>
    <w:rsid w:val="7FE97AB9"/>
    <w:rsid w:val="7FF13FB3"/>
    <w:rsid w:val="7FF31D0E"/>
    <w:rsid w:val="7FFDD6B3"/>
    <w:rsid w:val="7FFFB476"/>
    <w:rsid w:val="8BDF47C4"/>
    <w:rsid w:val="97BCC380"/>
    <w:rsid w:val="9FFF52D8"/>
    <w:rsid w:val="AEB56B76"/>
    <w:rsid w:val="AF9DF110"/>
    <w:rsid w:val="AFABB544"/>
    <w:rsid w:val="B8EB831F"/>
    <w:rsid w:val="B97CA8A2"/>
    <w:rsid w:val="BDEC0853"/>
    <w:rsid w:val="BEDF2C93"/>
    <w:rsid w:val="BFCF8B12"/>
    <w:rsid w:val="BFDE3C5E"/>
    <w:rsid w:val="BFF98747"/>
    <w:rsid w:val="BFFBFE8B"/>
    <w:rsid w:val="CD1D59DB"/>
    <w:rsid w:val="D8BFEB7A"/>
    <w:rsid w:val="DA7C7C00"/>
    <w:rsid w:val="DBBAFFF2"/>
    <w:rsid w:val="DCEDDEBC"/>
    <w:rsid w:val="DD7F0B52"/>
    <w:rsid w:val="DF2D0D8F"/>
    <w:rsid w:val="DF5FFD2E"/>
    <w:rsid w:val="DF7CB467"/>
    <w:rsid w:val="DFD16BC5"/>
    <w:rsid w:val="E7C7ECFD"/>
    <w:rsid w:val="E993F613"/>
    <w:rsid w:val="EAF02C80"/>
    <w:rsid w:val="EAFDC676"/>
    <w:rsid w:val="EC7CC44F"/>
    <w:rsid w:val="EDFFCE85"/>
    <w:rsid w:val="EFFEB24D"/>
    <w:rsid w:val="EFFFEA89"/>
    <w:rsid w:val="F67CDAB7"/>
    <w:rsid w:val="F7FFE2AA"/>
    <w:rsid w:val="FA96002D"/>
    <w:rsid w:val="FAFB27C0"/>
    <w:rsid w:val="FAFD7633"/>
    <w:rsid w:val="FB1719BC"/>
    <w:rsid w:val="FB2CBFEE"/>
    <w:rsid w:val="FBF58250"/>
    <w:rsid w:val="FCABCEC9"/>
    <w:rsid w:val="FD2B24D7"/>
    <w:rsid w:val="FDB340CE"/>
    <w:rsid w:val="FDFF90A7"/>
    <w:rsid w:val="FECB43AA"/>
    <w:rsid w:val="FEF02C5D"/>
    <w:rsid w:val="FEF9D4A3"/>
    <w:rsid w:val="FF5F60DE"/>
    <w:rsid w:val="FF5FC66C"/>
    <w:rsid w:val="FF9F4BB4"/>
    <w:rsid w:val="FFBB7CF0"/>
    <w:rsid w:val="FFDD4AC6"/>
    <w:rsid w:val="FFDEE716"/>
    <w:rsid w:val="FFF927C6"/>
    <w:rsid w:val="FFFB44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106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locked/>
    <w:uiPriority w:val="0"/>
    <w:pPr>
      <w:keepNext/>
      <w:keepLines/>
      <w:outlineLvl w:val="0"/>
    </w:pPr>
    <w:rPr>
      <w:rFonts w:eastAsia="黑体"/>
      <w:bCs/>
      <w:kern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1"/>
    <w:qFormat/>
    <w:uiPriority w:val="0"/>
    <w:pPr>
      <w:snapToGrid w:val="0"/>
      <w:jc w:val="left"/>
    </w:pPr>
    <w:rPr>
      <w:sz w:val="18"/>
      <w:szCs w:val="18"/>
    </w:r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5">
    <w:name w:val="Balloon Text"/>
    <w:basedOn w:val="1"/>
    <w:link w:val="17"/>
    <w:semiHidden/>
    <w:unhideWhenUsed/>
    <w:uiPriority w:val="99"/>
    <w:rPr>
      <w:sz w:val="18"/>
      <w:szCs w:val="18"/>
    </w:rPr>
  </w:style>
  <w:style w:type="paragraph" w:styleId="6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99"/>
    <w:rPr>
      <w:rFonts w:cs="Times New Roman"/>
    </w:rPr>
  </w:style>
  <w:style w:type="character" w:customStyle="1" w:styleId="12">
    <w:name w:val="页脚 Char"/>
    <w:basedOn w:val="10"/>
    <w:link w:val="6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10"/>
    <w:link w:val="7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17">
    <w:name w:val="批注框文本 Char"/>
    <w:basedOn w:val="10"/>
    <w:link w:val="5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19FE18-D486-4467-96A8-988C24ACF1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474</Words>
  <Characters>2706</Characters>
  <Lines>22</Lines>
  <Paragraphs>6</Paragraphs>
  <TotalTime>12</TotalTime>
  <ScaleCrop>false</ScaleCrop>
  <LinksUpToDate>false</LinksUpToDate>
  <CharactersWithSpaces>3174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2024-05-25T08:19:00Z</dcterms:created>
  <dc:creator>Administrator</dc:creator>
  <cp:lastModifiedBy>Administrator</cp:lastModifiedBy>
  <cp:lastPrinted>2026-05-25T03:17:00Z</cp:lastPrinted>
  <dcterms:modified xsi:type="dcterms:W3CDTF">2026-05-27T09:23:21Z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SaveFontToCloudKey">
    <vt:lpwstr>386772509_embed</vt:lpwstr>
  </property>
  <property fmtid="{D5CDD505-2E9C-101B-9397-08002B2CF9AE}" pid="4" name="ICV">
    <vt:lpwstr>F96CC6F13C934D6E834055B675BCA8AB_13</vt:lpwstr>
  </property>
</Properties>
</file>