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1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1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1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15</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年产8000吨铝铸件建设项目生态环境</w:t>
      </w:r>
    </w:p>
    <w:p>
      <w:pPr>
        <w:keepNext w:val="0"/>
        <w:keepLines w:val="0"/>
        <w:pageBreakBefore w:val="0"/>
        <w:widowControl/>
        <w:shd w:val="clear" w:color="auto" w:fill="FFFFFF"/>
        <w:kinsoku/>
        <w:wordWrap/>
        <w:overflowPunct/>
        <w:topLinePunct w:val="0"/>
        <w:autoSpaceDE/>
        <w:autoSpaceDN/>
        <w:bidi w:val="0"/>
        <w:adjustRightInd/>
        <w:snapToGrid/>
        <w:spacing w:line="51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1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岳阳聚达科技有限公司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年产8000吨铝铸件建设项目生态</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岳阳聚达科技有限公司位于华容高新技术产业开发区三封工业园汇川配套产业园A2栋(6370m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)、A14栋(2343m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)，投资7000万元建设“年产8000吨铝铸件建设项目”。厂房总占地面积8713m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，项目总投资7000万元，环保投资115万元，建设内容主要为主体工程、仓储工程、辅助工程、公用工程及环保工程。根据</w:t>
      </w:r>
      <w:bookmarkStart w:id="2" w:name="OLE_LINK16"/>
      <w:r>
        <w:rPr>
          <w:rFonts w:hint="eastAsia" w:ascii="仿宋" w:hAnsi="仿宋" w:eastAsia="仿宋" w:cs="宋体"/>
          <w:sz w:val="32"/>
          <w:szCs w:val="32"/>
          <w:lang w:val="en-US" w:eastAsia="zh-CN"/>
        </w:rPr>
        <w:t>湖南森铭环境工程有限公司</w:t>
      </w:r>
      <w:r>
        <w:rPr>
          <w:rFonts w:hint="eastAsia" w:ascii="仿宋" w:hAnsi="仿宋" w:eastAsia="仿宋"/>
          <w:sz w:val="32"/>
          <w:szCs w:val="32"/>
          <w:lang w:val="en-US" w:eastAsia="zh-CN"/>
        </w:rPr>
        <w:t>编制的《年产8000吨铝铸件建设项目生态环境影响报告表》</w:t>
      </w:r>
      <w:bookmarkEnd w:id="2"/>
      <w:r>
        <w:rPr>
          <w:rFonts w:hint="eastAsia" w:ascii="仿宋" w:hAnsi="仿宋" w:eastAsia="仿宋"/>
          <w:sz w:val="32"/>
          <w:szCs w:val="32"/>
          <w:lang w:val="en-US" w:eastAsia="zh-CN"/>
        </w:rPr>
        <w:t>基本内容、结论、专家评审意见，</w:t>
      </w:r>
      <w:r>
        <w:rPr>
          <w:rFonts w:hint="eastAsia" w:ascii="仿宋" w:hAnsi="仿宋" w:eastAsia="仿宋" w:cs="宋体"/>
          <w:sz w:val="32"/>
          <w:szCs w:val="32"/>
          <w:lang w:val="en-US" w:eastAsia="zh-CN"/>
        </w:rPr>
        <w:t>项目符合国家产业政策、符合华容县生态环境分区管控要求，</w:t>
      </w:r>
      <w:r>
        <w:rPr>
          <w:rFonts w:hint="eastAsia" w:ascii="仿宋" w:hAnsi="仿宋" w:eastAsia="仿宋"/>
          <w:sz w:val="32"/>
          <w:szCs w:val="32"/>
          <w:lang w:val="en-US" w:eastAsia="zh-CN"/>
        </w:rPr>
        <w:t>在建设单位严格落实《报告表》及本批复提出的各项污染治理措施和风险防范要求，污染物稳定达标排放的前提下，从环境保护的角度，我局原则同意项目实施建设。</w:t>
      </w:r>
    </w:p>
    <w:p>
      <w:pPr>
        <w:keepNext w:val="0"/>
        <w:keepLines w:val="0"/>
        <w:pageBreakBefore w:val="0"/>
        <w:widowControl w:val="0"/>
        <w:numPr>
          <w:ilvl w:val="0"/>
          <w:numId w:val="2"/>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在工程建设和运营过程中，你公司须认真落实《报告表》中提出的各项生态环境保护</w:t>
      </w:r>
      <w:r>
        <w:rPr>
          <w:rFonts w:hint="eastAsia" w:ascii="仿宋" w:hAnsi="仿宋" w:eastAsia="仿宋"/>
          <w:sz w:val="32"/>
          <w:szCs w:val="32"/>
          <w:lang w:val="en-US" w:eastAsia="zh-CN"/>
        </w:rPr>
        <w:t>措施，并在项目运营中重点落实以下要求：</w:t>
      </w:r>
    </w:p>
    <w:p>
      <w:pPr>
        <w:keepNext w:val="0"/>
        <w:keepLines w:val="0"/>
        <w:pageBreakBefore w:val="0"/>
        <w:widowControl w:val="0"/>
        <w:numPr>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严格落实水污染防治措施。严格按照“雨污分流、清污分流”的原则规范建设厂区雨水及污水管网。项目采取雨污分流，雨水通过园区厂房屋顶和汇川配套产业园配套建设的雨水管渠收集后排入到园区雨水管网。生产过程中产生的清洗废水经隔油池+沉淀池处理后经园区污水管网进入三封工业园污水处理厂处理，喷淋塔废水、循环冷却水经园区污水管网进入三封工业园污水处理厂处理；生活污水依托汇川配套产业园配套建设的化粪池处理后排入园区污水管网。废水执行《污水综合排放标准》（GB8978-1996）表4中三级标准和三封工业园污水处理厂接纳标准中的从严值。</w:t>
      </w:r>
    </w:p>
    <w:p>
      <w:pPr>
        <w:keepNext w:val="0"/>
        <w:keepLines w:val="0"/>
        <w:pageBreakBefore w:val="0"/>
        <w:widowControl w:val="0"/>
        <w:numPr>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3、严格落实大气污染防治措施。严格落实报告表中提出的各项废气污染防治措施，加强车间废气收集和处理。天然气燃烧废气经低氮燃烧技术、负压管道收集处理后通过15m高排气筒（DA001）达标排放；铝锭熔化废气、压铸脱模废气经集气罩收集+喷淋塔降温+干式除雾箱+高温布袋除尘器+二级活性炭吸附装置处理后通过15m高排气筒（DA001）达标排放；抛丸粉尘经负压管道收集+防爆型布袋除尘器处理后通过15m高排气筒（DA002）达标排放；打磨粉尘经负压管道收集+防爆型布袋除尘器处理后通过15m高排气筒（DA003）达标排放；危废暂存间挥发性废气经负压抽风系统+活性炭吸附装置处理后通过15m高排气筒（DA003）达标排放。本项目天然气烧然废气中颗粒物、氮氧化物、二氧化硫执行执行《铸造工业大气污染物排放标准》（GB39726-2020）中表1金属熔炼（化）—燃气炉的排放浓度限值。压铸脱模废气中颗粒物执行《铸造工业大气污染物排放标准》（GB39726-2020）浇注的的排放浓度限值，非甲烷总烃执行湖南省地方标准《工业企业挥发性有机物排放标准》(DB43/3550-2026)表1中其</w:t>
      </w:r>
      <w:r>
        <w:rPr>
          <w:rFonts w:hint="eastAsia" w:ascii="仿宋" w:hAnsi="仿宋" w:eastAsia="仿宋" w:cs="宋体"/>
          <w:sz w:val="32"/>
          <w:szCs w:val="32"/>
          <w:lang w:val="en-US" w:eastAsia="zh-CN"/>
        </w:rPr>
        <w:t>他行业的限值要求。打磨、抛丸颗粒物执行《铸造工业大气污染物排放标准》（GB39726-2020）中表1落砂、清理—落砂机、抛（喷）丸机等清理设备排放浓度限值。危废暂存间挥发性废气（以非甲烷总烃计）执行湖南省地方标准《工业企业挥发性有机物排放标准》(DB43/3550-2026)表1中其他行业的限值要求。</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通过加强废气的收集及有效处理、非正常工况污染控制、装置管理和日常监管，定期对设备、管道、阀门等进行维护和管理，最大限度减少生产过程中的废气无组织排放。厂区内颗粒物执行《铸造工业大气污染物排放标准》（GB39726-2020）中表A.1排放浓度限值，非甲烷总烃执行《工业企业挥发性有机物排放标准》(DB43/3550-2026)表2厂区内无组织排放监控点浓度限值；厂界无组织颗粒物、非甲烷总烃执行《大气污染物综合排放标准》（GB16297-1996）表2标准限值。</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4、严格落实环境噪声污染防治措施。通过优选低噪声设备，对主要高噪声设备采取厂房隔声、基础减振、加强维护、合理布局等措施进行降噪处理，确保项目运营期厂界噪声满足《工业企业厂界环境噪声排放标准》（GB12348-2008）中的3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5、严格落实固体废物的收集、处置措施。根据国家和地方有关规定，按照“减量化、资源化、无害化”原则，对固体废物进行分类收集、处理和处置，并建立固体废物产生、储存、处置管理台账，落实危险废物转移联单制度。一般工业固体废物和危险废物在厂内的堆放、贮存、转移应分别符合《一般工业固体废物贮存和填埋污染控制标准》(GB18599-2020)和《危险废物贮存污染控制标准》（GB18597-2023）、《危险废物收集贮存运输技术规范》（HJ2025-2012）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6、加强环境风险防范。严格落实报告表提出的各项环境风险防范措施，进一步强化风险管理和事故的预防，做好环境风险的巡查、监控等管理，杜绝环境风险事故发生。按相关要求进行企业突发环境事件应急预案的编制和备案，实现企业和园区的联动机制，确保环境风险得到有效控制。项目各项环保设施的设计、建设、运行、管理应符合安全生产要求。</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7、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四、本项目污染物排放总量控制指标为：VOCs≤2.679t/a、SO</w:t>
      </w:r>
      <w:r>
        <w:rPr>
          <w:rFonts w:hint="default" w:ascii="仿宋" w:hAnsi="仿宋" w:eastAsia="仿宋" w:cs="宋体"/>
          <w:sz w:val="32"/>
          <w:szCs w:val="32"/>
          <w:vertAlign w:val="subscript"/>
          <w:lang w:val="en-US" w:eastAsia="zh-CN"/>
        </w:rPr>
        <w:t>2</w:t>
      </w:r>
      <w:r>
        <w:rPr>
          <w:rFonts w:hint="default" w:ascii="仿宋" w:hAnsi="仿宋" w:eastAsia="仿宋" w:cs="宋体"/>
          <w:sz w:val="32"/>
          <w:szCs w:val="32"/>
          <w:lang w:val="en-US" w:eastAsia="zh-CN"/>
        </w:rPr>
        <w:t>≤</w:t>
      </w:r>
      <w:r>
        <w:rPr>
          <w:rFonts w:hint="eastAsia" w:ascii="仿宋" w:hAnsi="仿宋" w:eastAsia="仿宋" w:cs="宋体"/>
          <w:sz w:val="32"/>
          <w:szCs w:val="32"/>
          <w:lang w:val="en-US" w:eastAsia="zh-CN"/>
        </w:rPr>
        <w:t>0.09</w:t>
      </w:r>
      <w:r>
        <w:rPr>
          <w:rFonts w:hint="default" w:ascii="仿宋" w:hAnsi="仿宋" w:eastAsia="仿宋" w:cs="宋体"/>
          <w:sz w:val="32"/>
          <w:szCs w:val="32"/>
          <w:lang w:val="en-US" w:eastAsia="zh-CN"/>
        </w:rPr>
        <w:t>t/a、NO</w:t>
      </w:r>
      <w:r>
        <w:rPr>
          <w:rFonts w:hint="default" w:ascii="仿宋" w:hAnsi="仿宋" w:eastAsia="仿宋" w:cs="宋体"/>
          <w:sz w:val="32"/>
          <w:szCs w:val="32"/>
          <w:vertAlign w:val="subscript"/>
          <w:lang w:val="en-US" w:eastAsia="zh-CN"/>
        </w:rPr>
        <w:t>X</w:t>
      </w:r>
      <w:r>
        <w:rPr>
          <w:rFonts w:hint="default" w:ascii="仿宋" w:hAnsi="仿宋" w:eastAsia="仿宋" w:cs="宋体"/>
          <w:sz w:val="32"/>
          <w:szCs w:val="32"/>
          <w:lang w:val="en-US" w:eastAsia="zh-CN"/>
        </w:rPr>
        <w:t>≤</w:t>
      </w:r>
      <w:r>
        <w:rPr>
          <w:rFonts w:hint="eastAsia" w:ascii="仿宋" w:hAnsi="仿宋" w:eastAsia="仿宋" w:cs="宋体"/>
          <w:sz w:val="32"/>
          <w:szCs w:val="32"/>
          <w:lang w:val="en-US" w:eastAsia="zh-CN"/>
        </w:rPr>
        <w:t>0.421</w:t>
      </w:r>
      <w:r>
        <w:rPr>
          <w:rFonts w:hint="default" w:ascii="仿宋" w:hAnsi="仿宋" w:eastAsia="仿宋" w:cs="宋体"/>
          <w:sz w:val="32"/>
          <w:szCs w:val="32"/>
          <w:lang w:val="en-US" w:eastAsia="zh-CN"/>
        </w:rPr>
        <w:t>t/a、</w:t>
      </w:r>
      <w:r>
        <w:rPr>
          <w:rFonts w:hint="eastAsia" w:ascii="仿宋" w:hAnsi="仿宋" w:eastAsia="仿宋" w:cs="宋体"/>
          <w:sz w:val="32"/>
          <w:szCs w:val="32"/>
          <w:lang w:val="en-US" w:eastAsia="zh-CN"/>
        </w:rPr>
        <w:t>COD≤0.002t/a、NH</w:t>
      </w:r>
      <w:r>
        <w:rPr>
          <w:rFonts w:hint="eastAsia" w:ascii="仿宋" w:hAnsi="仿宋" w:eastAsia="仿宋" w:cs="宋体"/>
          <w:sz w:val="32"/>
          <w:szCs w:val="32"/>
          <w:vertAlign w:val="subscript"/>
          <w:lang w:val="en-US" w:eastAsia="zh-CN"/>
        </w:rPr>
        <w:t>3</w:t>
      </w:r>
      <w:r>
        <w:rPr>
          <w:rFonts w:hint="eastAsia" w:ascii="仿宋" w:hAnsi="仿宋" w:eastAsia="仿宋" w:cs="宋体"/>
          <w:sz w:val="32"/>
          <w:szCs w:val="32"/>
          <w:lang w:val="en-US" w:eastAsia="zh-CN"/>
        </w:rPr>
        <w:t>-N≤0.0002t/a。</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五、</w:t>
      </w:r>
      <w:r>
        <w:rPr>
          <w:rFonts w:hint="eastAsia" w:ascii="仿宋" w:hAnsi="仿宋" w:eastAsia="仿宋"/>
          <w:sz w:val="32"/>
          <w:szCs w:val="32"/>
          <w:lang w:val="en-US" w:eastAsia="zh-CN"/>
        </w:rPr>
        <w:t>建设单位应在项目实际排污行为发生前，依法取得排污许可证。</w:t>
      </w:r>
      <w:r>
        <w:rPr>
          <w:rFonts w:hint="eastAsia" w:ascii="仿宋" w:hAnsi="仿宋" w:eastAsia="仿宋" w:cs="宋体"/>
          <w:sz w:val="32"/>
          <w:szCs w:val="32"/>
          <w:lang w:val="en-US" w:eastAsia="zh-CN"/>
        </w:rPr>
        <w:t>报告表经批准后，项目的性质、规模、地点、采用的生产工艺或者防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治污染、防止生态破坏的措施发生重大变动的，应当重新报批项目生态环境影响评价文件。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六、建设项目的日常环境监管工作由岳阳市华容生态环境保护综合行政执法大队负责。</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bookmarkStart w:id="3" w:name="_GoBack"/>
      <w:bookmarkEnd w:id="3"/>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640" w:firstLineChars="200"/>
        <w:jc w:val="both"/>
        <w:textAlignment w:val="auto"/>
        <w:rPr>
          <w:rFonts w:hint="eastAsia" w:ascii="仿宋" w:hAnsi="仿宋" w:eastAsia="仿宋" w:cs="宋体"/>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5440" w:firstLineChars="1700"/>
        <w:jc w:val="both"/>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10" w:lineRule="exact"/>
        <w:ind w:firstLine="5440" w:firstLineChars="17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2026年9月10日</w:t>
      </w:r>
    </w:p>
    <w:sectPr>
      <w:headerReference r:id="rId4" w:type="first"/>
      <w:headerReference r:id="rId3" w:type="default"/>
      <w:footerReference r:id="rId5" w:type="default"/>
      <w:pgSz w:w="11906" w:h="16838"/>
      <w:pgMar w:top="1587" w:right="1587" w:bottom="1474"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B768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4F5654"/>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2D7C7B"/>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9EE5149"/>
    <w:rsid w:val="0A030EBA"/>
    <w:rsid w:val="0A0C05C5"/>
    <w:rsid w:val="0A1070D1"/>
    <w:rsid w:val="0A180865"/>
    <w:rsid w:val="0A1C6260"/>
    <w:rsid w:val="0A3A2564"/>
    <w:rsid w:val="0A4070D7"/>
    <w:rsid w:val="0A4557C6"/>
    <w:rsid w:val="0A4B48E7"/>
    <w:rsid w:val="0A6023BC"/>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8E5754"/>
    <w:rsid w:val="0B917A7F"/>
    <w:rsid w:val="0B952311"/>
    <w:rsid w:val="0B9F2E6E"/>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21AFE"/>
    <w:rsid w:val="0C88100A"/>
    <w:rsid w:val="0C8D7E25"/>
    <w:rsid w:val="0CAA2321"/>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9D092B"/>
    <w:rsid w:val="0DBA4468"/>
    <w:rsid w:val="0DCC56DF"/>
    <w:rsid w:val="0DD35C20"/>
    <w:rsid w:val="0E2C57E3"/>
    <w:rsid w:val="0E3F3F9B"/>
    <w:rsid w:val="0E400DF5"/>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05898"/>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D06AA9"/>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480B81"/>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C5457F"/>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753A4"/>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545091"/>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D71889"/>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344EE"/>
    <w:rsid w:val="1D057E36"/>
    <w:rsid w:val="1D307C2E"/>
    <w:rsid w:val="1D3F233A"/>
    <w:rsid w:val="1D5E3BAA"/>
    <w:rsid w:val="1D683567"/>
    <w:rsid w:val="1D7E4E9E"/>
    <w:rsid w:val="1D8222D8"/>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9C6E69"/>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96B80"/>
    <w:rsid w:val="237D0115"/>
    <w:rsid w:val="2389055A"/>
    <w:rsid w:val="23961356"/>
    <w:rsid w:val="23961A7A"/>
    <w:rsid w:val="23AE0B4E"/>
    <w:rsid w:val="23BC757C"/>
    <w:rsid w:val="23CF4309"/>
    <w:rsid w:val="23D15CF4"/>
    <w:rsid w:val="23D73C4E"/>
    <w:rsid w:val="23E26A49"/>
    <w:rsid w:val="23E60C58"/>
    <w:rsid w:val="23FD34F5"/>
    <w:rsid w:val="240C1AD8"/>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55E87"/>
    <w:rsid w:val="268A76AC"/>
    <w:rsid w:val="268C13DA"/>
    <w:rsid w:val="26920266"/>
    <w:rsid w:val="26B52F73"/>
    <w:rsid w:val="26BA6BB6"/>
    <w:rsid w:val="26C04EA2"/>
    <w:rsid w:val="26D25126"/>
    <w:rsid w:val="26D507E7"/>
    <w:rsid w:val="26D93B30"/>
    <w:rsid w:val="26FD3CAD"/>
    <w:rsid w:val="27142DCA"/>
    <w:rsid w:val="271A41FA"/>
    <w:rsid w:val="272900E8"/>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BB7B1B"/>
    <w:rsid w:val="27CE7A10"/>
    <w:rsid w:val="27E05C5A"/>
    <w:rsid w:val="27EC3DA6"/>
    <w:rsid w:val="27EC5F10"/>
    <w:rsid w:val="280909AA"/>
    <w:rsid w:val="281734BC"/>
    <w:rsid w:val="283F0C28"/>
    <w:rsid w:val="284F18EF"/>
    <w:rsid w:val="2858552C"/>
    <w:rsid w:val="285B0824"/>
    <w:rsid w:val="28694D0F"/>
    <w:rsid w:val="287F2E4D"/>
    <w:rsid w:val="289B3E73"/>
    <w:rsid w:val="289C2EE2"/>
    <w:rsid w:val="289E187E"/>
    <w:rsid w:val="28AC09D1"/>
    <w:rsid w:val="28E75980"/>
    <w:rsid w:val="29117312"/>
    <w:rsid w:val="29390D4A"/>
    <w:rsid w:val="293C7D51"/>
    <w:rsid w:val="294F7149"/>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3B7235"/>
    <w:rsid w:val="2B51724F"/>
    <w:rsid w:val="2B5369D9"/>
    <w:rsid w:val="2B64178A"/>
    <w:rsid w:val="2B6B293E"/>
    <w:rsid w:val="2B6D7B3D"/>
    <w:rsid w:val="2B7C05C0"/>
    <w:rsid w:val="2B7C7E9A"/>
    <w:rsid w:val="2B940961"/>
    <w:rsid w:val="2B9724CB"/>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DEC327C"/>
    <w:rsid w:val="2E091795"/>
    <w:rsid w:val="2E1154CE"/>
    <w:rsid w:val="2E1C63FF"/>
    <w:rsid w:val="2E2E6D92"/>
    <w:rsid w:val="2E3343F6"/>
    <w:rsid w:val="2E396433"/>
    <w:rsid w:val="2E5372AA"/>
    <w:rsid w:val="2E674C2B"/>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C7CE1"/>
    <w:rsid w:val="300E734E"/>
    <w:rsid w:val="301407F8"/>
    <w:rsid w:val="30155DB7"/>
    <w:rsid w:val="301D03B3"/>
    <w:rsid w:val="3029606D"/>
    <w:rsid w:val="303554BB"/>
    <w:rsid w:val="303B19BB"/>
    <w:rsid w:val="30401E32"/>
    <w:rsid w:val="30450C47"/>
    <w:rsid w:val="305446D2"/>
    <w:rsid w:val="305B37B1"/>
    <w:rsid w:val="306526E0"/>
    <w:rsid w:val="306C05CA"/>
    <w:rsid w:val="306D6264"/>
    <w:rsid w:val="307238C5"/>
    <w:rsid w:val="307A6987"/>
    <w:rsid w:val="307E2BB1"/>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F0269"/>
    <w:rsid w:val="3238650E"/>
    <w:rsid w:val="32462143"/>
    <w:rsid w:val="3258066D"/>
    <w:rsid w:val="325E65E9"/>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90904"/>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243329"/>
    <w:rsid w:val="363A099D"/>
    <w:rsid w:val="363E47D2"/>
    <w:rsid w:val="364039E4"/>
    <w:rsid w:val="36425656"/>
    <w:rsid w:val="3645474C"/>
    <w:rsid w:val="364A7E38"/>
    <w:rsid w:val="364D4A74"/>
    <w:rsid w:val="365C2AE4"/>
    <w:rsid w:val="36744299"/>
    <w:rsid w:val="3689190A"/>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7E54B7"/>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A6915"/>
    <w:rsid w:val="3ABD6639"/>
    <w:rsid w:val="3ABE56C2"/>
    <w:rsid w:val="3ACD3B57"/>
    <w:rsid w:val="3ADB3370"/>
    <w:rsid w:val="3AE33AB5"/>
    <w:rsid w:val="3B027642"/>
    <w:rsid w:val="3B0642DF"/>
    <w:rsid w:val="3B1A7659"/>
    <w:rsid w:val="3B2218C7"/>
    <w:rsid w:val="3B225C51"/>
    <w:rsid w:val="3B342E13"/>
    <w:rsid w:val="3B3A2907"/>
    <w:rsid w:val="3B3A53EB"/>
    <w:rsid w:val="3B4E6221"/>
    <w:rsid w:val="3B505821"/>
    <w:rsid w:val="3B6C2FD1"/>
    <w:rsid w:val="3B7522A4"/>
    <w:rsid w:val="3B860852"/>
    <w:rsid w:val="3B9B2027"/>
    <w:rsid w:val="3BBE60B3"/>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CA73A7"/>
    <w:rsid w:val="3DDB5015"/>
    <w:rsid w:val="3DE62253"/>
    <w:rsid w:val="3DE94AD9"/>
    <w:rsid w:val="3DF40024"/>
    <w:rsid w:val="3E0C3864"/>
    <w:rsid w:val="3E18019F"/>
    <w:rsid w:val="3E1E44AC"/>
    <w:rsid w:val="3E2234DA"/>
    <w:rsid w:val="3E2C4FDD"/>
    <w:rsid w:val="3E3C326A"/>
    <w:rsid w:val="3E430CF6"/>
    <w:rsid w:val="3E4A2449"/>
    <w:rsid w:val="3E663960"/>
    <w:rsid w:val="3E88418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8455FD"/>
    <w:rsid w:val="418F0E33"/>
    <w:rsid w:val="41944D29"/>
    <w:rsid w:val="4197230D"/>
    <w:rsid w:val="41A0400B"/>
    <w:rsid w:val="41A62016"/>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0E75D7"/>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D00E8"/>
    <w:rsid w:val="44EE16FB"/>
    <w:rsid w:val="453039BE"/>
    <w:rsid w:val="45413ED9"/>
    <w:rsid w:val="45420654"/>
    <w:rsid w:val="454B262D"/>
    <w:rsid w:val="45565E73"/>
    <w:rsid w:val="45713F9A"/>
    <w:rsid w:val="457F4012"/>
    <w:rsid w:val="459B1C8D"/>
    <w:rsid w:val="45B56B44"/>
    <w:rsid w:val="45D06EF6"/>
    <w:rsid w:val="45EC4C72"/>
    <w:rsid w:val="45F807D9"/>
    <w:rsid w:val="45F97411"/>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9FD5742"/>
    <w:rsid w:val="4A080708"/>
    <w:rsid w:val="4A132C22"/>
    <w:rsid w:val="4A1359DE"/>
    <w:rsid w:val="4A18467E"/>
    <w:rsid w:val="4A216BBC"/>
    <w:rsid w:val="4A440CA7"/>
    <w:rsid w:val="4A4771EA"/>
    <w:rsid w:val="4A494221"/>
    <w:rsid w:val="4A5974CE"/>
    <w:rsid w:val="4A5B10ED"/>
    <w:rsid w:val="4A667D85"/>
    <w:rsid w:val="4A76274F"/>
    <w:rsid w:val="4A7B7AD3"/>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32094"/>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2F107C"/>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B64A90"/>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C86767"/>
    <w:rsid w:val="50CD15B0"/>
    <w:rsid w:val="50D35B43"/>
    <w:rsid w:val="50E05E52"/>
    <w:rsid w:val="50EB2C6C"/>
    <w:rsid w:val="50F00D37"/>
    <w:rsid w:val="50F435A5"/>
    <w:rsid w:val="50F44903"/>
    <w:rsid w:val="50F640E4"/>
    <w:rsid w:val="50FC621C"/>
    <w:rsid w:val="50FF5AF7"/>
    <w:rsid w:val="510C3350"/>
    <w:rsid w:val="51201168"/>
    <w:rsid w:val="51222D7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1D33E2"/>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61A85"/>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E4250E"/>
    <w:rsid w:val="5DF11754"/>
    <w:rsid w:val="5E1C028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0297E"/>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EB04B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873BA7"/>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912AB1"/>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45C18"/>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2F501C"/>
    <w:rsid w:val="695425FF"/>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33285A"/>
    <w:rsid w:val="6A580988"/>
    <w:rsid w:val="6A5D7D71"/>
    <w:rsid w:val="6A5F3985"/>
    <w:rsid w:val="6A62621E"/>
    <w:rsid w:val="6A797552"/>
    <w:rsid w:val="6A7A3331"/>
    <w:rsid w:val="6A8E79D8"/>
    <w:rsid w:val="6A924032"/>
    <w:rsid w:val="6A996E65"/>
    <w:rsid w:val="6AAA0A31"/>
    <w:rsid w:val="6AB64EDE"/>
    <w:rsid w:val="6AC5479A"/>
    <w:rsid w:val="6AC93D2F"/>
    <w:rsid w:val="6AD15FC8"/>
    <w:rsid w:val="6AD64B98"/>
    <w:rsid w:val="6ADB6BE1"/>
    <w:rsid w:val="6ADD3DAB"/>
    <w:rsid w:val="6AE01D49"/>
    <w:rsid w:val="6AE277BB"/>
    <w:rsid w:val="6B0D7DC6"/>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187388"/>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0C19CB"/>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54291F"/>
    <w:rsid w:val="74735E05"/>
    <w:rsid w:val="7477257B"/>
    <w:rsid w:val="748962C4"/>
    <w:rsid w:val="74A22B9B"/>
    <w:rsid w:val="74AC04AF"/>
    <w:rsid w:val="74B20BF3"/>
    <w:rsid w:val="74C259E2"/>
    <w:rsid w:val="74E05C5A"/>
    <w:rsid w:val="74E36624"/>
    <w:rsid w:val="74FA5C57"/>
    <w:rsid w:val="74FB1F55"/>
    <w:rsid w:val="750467A1"/>
    <w:rsid w:val="75102ED6"/>
    <w:rsid w:val="753663BF"/>
    <w:rsid w:val="753D4A16"/>
    <w:rsid w:val="75467C43"/>
    <w:rsid w:val="754C268F"/>
    <w:rsid w:val="7555661D"/>
    <w:rsid w:val="755B52EF"/>
    <w:rsid w:val="75626282"/>
    <w:rsid w:val="75647ED4"/>
    <w:rsid w:val="75816632"/>
    <w:rsid w:val="75AC66BD"/>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601CBA"/>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7E074B6"/>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54DD8"/>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6C7995"/>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8">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9">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10">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1">
    <w:name w:val="heading 4"/>
    <w:basedOn w:val="1"/>
    <w:next w:val="12"/>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3">
    <w:name w:val="heading 5"/>
    <w:basedOn w:val="1"/>
    <w:next w:val="1"/>
    <w:link w:val="48"/>
    <w:qFormat/>
    <w:uiPriority w:val="9"/>
    <w:pPr>
      <w:spacing w:before="200" w:after="80"/>
      <w:ind w:firstLine="0"/>
      <w:outlineLvl w:val="4"/>
    </w:pPr>
    <w:rPr>
      <w:rFonts w:ascii="Cambria" w:hAnsi="Cambria"/>
      <w:color w:val="4F81BD"/>
    </w:rPr>
  </w:style>
  <w:style w:type="paragraph" w:styleId="14">
    <w:name w:val="heading 6"/>
    <w:basedOn w:val="1"/>
    <w:next w:val="1"/>
    <w:link w:val="49"/>
    <w:qFormat/>
    <w:uiPriority w:val="9"/>
    <w:pPr>
      <w:spacing w:before="280" w:after="100"/>
      <w:ind w:firstLine="0"/>
      <w:outlineLvl w:val="5"/>
    </w:pPr>
    <w:rPr>
      <w:rFonts w:ascii="Cambria" w:hAnsi="Cambria"/>
      <w:i/>
      <w:iCs/>
      <w:color w:val="4F81BD"/>
    </w:rPr>
  </w:style>
  <w:style w:type="paragraph" w:styleId="15">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6">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7">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9">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5"/>
    <w:qFormat/>
    <w:uiPriority w:val="99"/>
    <w:pPr>
      <w:ind w:firstLine="420"/>
    </w:pPr>
  </w:style>
  <w:style w:type="paragraph" w:styleId="3">
    <w:name w:val="Body Text Indent"/>
    <w:basedOn w:val="1"/>
    <w:next w:val="4"/>
    <w:qFormat/>
    <w:uiPriority w:val="99"/>
    <w:pPr>
      <w:ind w:left="420" w:leftChars="200"/>
    </w:pPr>
  </w:style>
  <w:style w:type="paragraph" w:customStyle="1" w:styleId="4">
    <w:name w:val="样式 正文文本缩进 + 行距: 1.5 倍行距"/>
    <w:basedOn w:val="3"/>
    <w:qFormat/>
    <w:uiPriority w:val="0"/>
    <w:pPr>
      <w:spacing w:before="0" w:after="120"/>
      <w:ind w:left="90" w:leftChars="32" w:firstLine="560" w:firstLineChars="200"/>
    </w:pPr>
    <w:rPr>
      <w:rFonts w:ascii="Times New Roman" w:cs="宋体"/>
    </w:rPr>
  </w:style>
  <w:style w:type="paragraph" w:styleId="5">
    <w:name w:val="Body Text First Indent"/>
    <w:basedOn w:val="6"/>
    <w:next w:val="2"/>
    <w:qFormat/>
    <w:uiPriority w:val="99"/>
    <w:pPr>
      <w:spacing w:line="240" w:lineRule="auto"/>
      <w:ind w:firstLine="420" w:firstLineChars="100"/>
    </w:pPr>
    <w:rPr>
      <w:sz w:val="21"/>
    </w:rPr>
  </w:style>
  <w:style w:type="paragraph" w:styleId="6">
    <w:name w:val="Body Text"/>
    <w:basedOn w:val="1"/>
    <w:next w:val="7"/>
    <w:qFormat/>
    <w:uiPriority w:val="99"/>
    <w:pPr>
      <w:spacing w:line="400" w:lineRule="atLeast"/>
    </w:pPr>
    <w:rPr>
      <w:sz w:val="30"/>
    </w:rPr>
  </w:style>
  <w:style w:type="paragraph" w:customStyle="1" w:styleId="7">
    <w:name w:val="Date1"/>
    <w:basedOn w:val="1"/>
    <w:next w:val="1"/>
    <w:qFormat/>
    <w:uiPriority w:val="0"/>
    <w:pPr>
      <w:adjustRightInd w:val="0"/>
      <w:snapToGrid/>
      <w:spacing w:line="240" w:lineRule="auto"/>
      <w:jc w:val="both"/>
      <w:textAlignment w:val="baseline"/>
    </w:pPr>
    <w:rPr>
      <w:sz w:val="21"/>
      <w:szCs w:val="21"/>
    </w:rPr>
  </w:style>
  <w:style w:type="paragraph" w:styleId="12">
    <w:name w:val="Normal Indent"/>
    <w:basedOn w:val="1"/>
    <w:next w:val="1"/>
    <w:qFormat/>
    <w:uiPriority w:val="0"/>
    <w:pPr>
      <w:ind w:firstLine="420" w:firstLineChars="200"/>
    </w:pPr>
    <w:rPr>
      <w:sz w:val="32"/>
    </w:rPr>
  </w:style>
  <w:style w:type="paragraph" w:styleId="18">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9">
    <w:name w:val="caption"/>
    <w:basedOn w:val="1"/>
    <w:next w:val="1"/>
    <w:qFormat/>
    <w:uiPriority w:val="35"/>
    <w:rPr>
      <w:b/>
      <w:bCs/>
      <w:sz w:val="18"/>
      <w:szCs w:val="18"/>
    </w:r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2"/>
    <w:qFormat/>
    <w:uiPriority w:val="99"/>
    <w:rPr>
      <w:sz w:val="18"/>
      <w:szCs w:val="18"/>
    </w:rPr>
  </w:style>
  <w:style w:type="paragraph" w:styleId="22">
    <w:name w:val="footer"/>
    <w:basedOn w:val="1"/>
    <w:link w:val="71"/>
    <w:qFormat/>
    <w:uiPriority w:val="99"/>
    <w:pPr>
      <w:tabs>
        <w:tab w:val="center" w:pos="4153"/>
        <w:tab w:val="right" w:pos="8306"/>
      </w:tabs>
      <w:snapToGrid w:val="0"/>
    </w:pPr>
    <w:rPr>
      <w:sz w:val="18"/>
      <w:szCs w:val="18"/>
    </w:rPr>
  </w:style>
  <w:style w:type="paragraph" w:styleId="23">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4"/>
    <w:qFormat/>
    <w:uiPriority w:val="11"/>
    <w:pPr>
      <w:spacing w:before="200" w:after="900"/>
      <w:ind w:firstLine="0"/>
      <w:jc w:val="right"/>
    </w:pPr>
    <w:rPr>
      <w:i/>
      <w:iCs/>
      <w:sz w:val="24"/>
      <w:szCs w:val="24"/>
    </w:rPr>
  </w:style>
  <w:style w:type="paragraph" w:styleId="25">
    <w:name w:val="table of figures"/>
    <w:basedOn w:val="1"/>
    <w:next w:val="1"/>
    <w:unhideWhenUsed/>
    <w:qFormat/>
    <w:uiPriority w:val="99"/>
  </w:style>
  <w:style w:type="paragraph" w:styleId="26">
    <w:name w:val="toc 2"/>
    <w:basedOn w:val="1"/>
    <w:next w:val="1"/>
    <w:qFormat/>
    <w:uiPriority w:val="0"/>
    <w:pPr>
      <w:ind w:left="420" w:leftChars="200"/>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0">
    <w:name w:val="Strong"/>
    <w:basedOn w:val="29"/>
    <w:qFormat/>
    <w:uiPriority w:val="22"/>
    <w:rPr>
      <w:b/>
      <w:bCs/>
      <w:spacing w:val="0"/>
    </w:rPr>
  </w:style>
  <w:style w:type="character" w:styleId="31">
    <w:name w:val="Emphasis"/>
    <w:qFormat/>
    <w:uiPriority w:val="20"/>
    <w:rPr>
      <w:b/>
      <w:bCs/>
      <w:i/>
      <w:iCs/>
      <w:color w:val="595959"/>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9"/>
    <w:link w:val="8"/>
    <w:qFormat/>
    <w:uiPriority w:val="9"/>
    <w:rPr>
      <w:rFonts w:ascii="Cambria" w:hAnsi="Cambria" w:eastAsia="宋体" w:cs="宋体"/>
      <w:b/>
      <w:bCs/>
      <w:color w:val="376092"/>
      <w:sz w:val="24"/>
      <w:szCs w:val="24"/>
    </w:rPr>
  </w:style>
  <w:style w:type="character" w:customStyle="1" w:styleId="45">
    <w:name w:val="标题 2 Char"/>
    <w:basedOn w:val="29"/>
    <w:link w:val="9"/>
    <w:qFormat/>
    <w:uiPriority w:val="9"/>
    <w:rPr>
      <w:rFonts w:ascii="Cambria" w:hAnsi="Cambria" w:eastAsia="宋体" w:cs="宋体"/>
      <w:color w:val="376092"/>
      <w:sz w:val="24"/>
      <w:szCs w:val="24"/>
    </w:rPr>
  </w:style>
  <w:style w:type="character" w:customStyle="1" w:styleId="46">
    <w:name w:val="标题 3 Char"/>
    <w:basedOn w:val="29"/>
    <w:link w:val="10"/>
    <w:qFormat/>
    <w:uiPriority w:val="9"/>
    <w:rPr>
      <w:rFonts w:ascii="Cambria" w:hAnsi="Cambria" w:eastAsia="宋体" w:cs="宋体"/>
      <w:color w:val="4F81BD"/>
      <w:sz w:val="24"/>
      <w:szCs w:val="24"/>
    </w:rPr>
  </w:style>
  <w:style w:type="character" w:customStyle="1" w:styleId="47">
    <w:name w:val="标题 4 Char"/>
    <w:basedOn w:val="29"/>
    <w:link w:val="11"/>
    <w:qFormat/>
    <w:uiPriority w:val="9"/>
    <w:rPr>
      <w:rFonts w:ascii="Cambria" w:hAnsi="Cambria" w:eastAsia="宋体" w:cs="宋体"/>
      <w:i/>
      <w:iCs/>
      <w:color w:val="4F81BD"/>
      <w:sz w:val="24"/>
      <w:szCs w:val="24"/>
    </w:rPr>
  </w:style>
  <w:style w:type="character" w:customStyle="1" w:styleId="48">
    <w:name w:val="标题 5 Char"/>
    <w:basedOn w:val="29"/>
    <w:link w:val="13"/>
    <w:qFormat/>
    <w:uiPriority w:val="9"/>
    <w:rPr>
      <w:rFonts w:ascii="Cambria" w:hAnsi="Cambria" w:eastAsia="宋体" w:cs="宋体"/>
      <w:color w:val="4F81BD"/>
    </w:rPr>
  </w:style>
  <w:style w:type="character" w:customStyle="1" w:styleId="49">
    <w:name w:val="标题 6 Char"/>
    <w:basedOn w:val="29"/>
    <w:link w:val="14"/>
    <w:qFormat/>
    <w:uiPriority w:val="9"/>
    <w:rPr>
      <w:rFonts w:ascii="Cambria" w:hAnsi="Cambria" w:eastAsia="宋体" w:cs="宋体"/>
      <w:i/>
      <w:iCs/>
      <w:color w:val="4F81BD"/>
    </w:rPr>
  </w:style>
  <w:style w:type="character" w:customStyle="1" w:styleId="50">
    <w:name w:val="标题 7 Char"/>
    <w:basedOn w:val="29"/>
    <w:link w:val="15"/>
    <w:qFormat/>
    <w:uiPriority w:val="9"/>
    <w:rPr>
      <w:rFonts w:ascii="Cambria" w:hAnsi="Cambria" w:eastAsia="宋体" w:cs="宋体"/>
      <w:b/>
      <w:bCs/>
      <w:color w:val="9BBB59"/>
      <w:sz w:val="20"/>
      <w:szCs w:val="20"/>
    </w:rPr>
  </w:style>
  <w:style w:type="character" w:customStyle="1" w:styleId="51">
    <w:name w:val="标题 8 Char"/>
    <w:basedOn w:val="29"/>
    <w:link w:val="16"/>
    <w:qFormat/>
    <w:uiPriority w:val="9"/>
    <w:rPr>
      <w:rFonts w:ascii="Cambria" w:hAnsi="Cambria" w:eastAsia="宋体" w:cs="宋体"/>
      <w:b/>
      <w:bCs/>
      <w:i/>
      <w:iCs/>
      <w:color w:val="9BBB59"/>
      <w:sz w:val="20"/>
      <w:szCs w:val="20"/>
    </w:rPr>
  </w:style>
  <w:style w:type="character" w:customStyle="1" w:styleId="52">
    <w:name w:val="标题 9 Char"/>
    <w:basedOn w:val="29"/>
    <w:link w:val="17"/>
    <w:qFormat/>
    <w:uiPriority w:val="9"/>
    <w:rPr>
      <w:rFonts w:ascii="Cambria" w:hAnsi="Cambria" w:eastAsia="宋体" w:cs="宋体"/>
      <w:i/>
      <w:iCs/>
      <w:color w:val="9BBB59"/>
      <w:sz w:val="20"/>
      <w:szCs w:val="20"/>
    </w:rPr>
  </w:style>
  <w:style w:type="character" w:customStyle="1" w:styleId="53">
    <w:name w:val="标题 Char"/>
    <w:basedOn w:val="29"/>
    <w:link w:val="28"/>
    <w:qFormat/>
    <w:uiPriority w:val="10"/>
    <w:rPr>
      <w:rFonts w:ascii="Cambria" w:hAnsi="Cambria" w:eastAsia="宋体" w:cs="宋体"/>
      <w:i/>
      <w:iCs/>
      <w:color w:val="254061"/>
      <w:sz w:val="60"/>
      <w:szCs w:val="60"/>
    </w:rPr>
  </w:style>
  <w:style w:type="character" w:customStyle="1" w:styleId="54">
    <w:name w:val="副标题 Char"/>
    <w:basedOn w:val="29"/>
    <w:link w:val="24"/>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9"/>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9"/>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9"/>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9"/>
    <w:qFormat/>
    <w:uiPriority w:val="32"/>
    <w:rPr>
      <w:b/>
      <w:bCs/>
      <w:color w:val="77933C"/>
      <w:u w:val="single" w:color="9BBB59"/>
    </w:rPr>
  </w:style>
  <w:style w:type="character" w:customStyle="1" w:styleId="66">
    <w:name w:val="书籍标题1"/>
    <w:basedOn w:val="29"/>
    <w:qFormat/>
    <w:uiPriority w:val="33"/>
    <w:rPr>
      <w:rFonts w:ascii="Cambria" w:hAnsi="Cambria" w:eastAsia="宋体" w:cs="宋体"/>
      <w:b/>
      <w:bCs/>
      <w:i/>
      <w:iCs/>
      <w:color w:val="auto"/>
    </w:rPr>
  </w:style>
  <w:style w:type="paragraph" w:customStyle="1" w:styleId="67">
    <w:name w:val="TOC 标题1"/>
    <w:basedOn w:val="8"/>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9"/>
    <w:link w:val="23"/>
    <w:qFormat/>
    <w:uiPriority w:val="99"/>
    <w:rPr>
      <w:sz w:val="18"/>
      <w:szCs w:val="18"/>
    </w:rPr>
  </w:style>
  <w:style w:type="character" w:customStyle="1" w:styleId="71">
    <w:name w:val="页脚 Char"/>
    <w:basedOn w:val="29"/>
    <w:link w:val="22"/>
    <w:qFormat/>
    <w:uiPriority w:val="99"/>
    <w:rPr>
      <w:sz w:val="18"/>
      <w:szCs w:val="18"/>
    </w:rPr>
  </w:style>
  <w:style w:type="character" w:customStyle="1" w:styleId="72">
    <w:name w:val="批注框文本 Char"/>
    <w:basedOn w:val="29"/>
    <w:link w:val="21"/>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5"/>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160</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2026-04-30T02:13:00Z</cp:lastPrinted>
  <dcterms:modified xsi:type="dcterms:W3CDTF">2026-09-10T06:25:20Z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