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13</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华容县荟轩精工工控零部件生产项目</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生态环境影响报告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华容县荟轩智能科技有限公司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华容县荟轩精工工控零部件生产项目生态</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华容县荟轩智能科技有限公司新征湖南省岳阳市华容县三封寺镇华容高新区三封工业园华信路旁工业用地约41.2亩，拟投资24000万元建设华容县荟轩精工工控零部件生产项目，项目总用地面积27435.8m²，总建筑面积约18282.12m²，新建2栋厂房及废物杂物放置间、门卫室、设备房、污水处理设备房，配套供电、供水、排水、绿化、消防、安防等设备。项目建成后，预计年产工业自动控制系统1000台套，伺服马达电机3万台，各类5G通讯、气动工具、工控配件、汽车配件等产品1500万件，自用铝合金压铸件2100万件（5000吨）。根据</w:t>
      </w:r>
      <w:bookmarkStart w:id="2" w:name="OLE_LINK16"/>
      <w:r>
        <w:rPr>
          <w:rFonts w:hint="eastAsia" w:ascii="仿宋" w:hAnsi="仿宋" w:eastAsia="仿宋" w:cs="宋体"/>
          <w:sz w:val="32"/>
          <w:szCs w:val="32"/>
          <w:lang w:val="en-US" w:eastAsia="zh-CN"/>
        </w:rPr>
        <w:t>湖南森铭环境工程有限公司</w:t>
      </w:r>
      <w:r>
        <w:rPr>
          <w:rFonts w:hint="eastAsia" w:ascii="仿宋" w:hAnsi="仿宋" w:eastAsia="仿宋"/>
          <w:sz w:val="32"/>
          <w:szCs w:val="32"/>
          <w:lang w:val="en-US" w:eastAsia="zh-CN"/>
        </w:rPr>
        <w:t>编制的《华容县荟轩精工工控零部件生产项目生态环境影响报告表》</w:t>
      </w:r>
      <w:bookmarkEnd w:id="2"/>
      <w:r>
        <w:rPr>
          <w:rFonts w:hint="eastAsia" w:ascii="仿宋" w:hAnsi="仿宋" w:eastAsia="仿宋"/>
          <w:sz w:val="32"/>
          <w:szCs w:val="32"/>
          <w:lang w:val="en-US" w:eastAsia="zh-CN"/>
        </w:rPr>
        <w:t>基本内容、结论、专家评审意见，</w:t>
      </w:r>
      <w:r>
        <w:rPr>
          <w:rFonts w:hint="eastAsia" w:ascii="仿宋" w:hAnsi="仿宋" w:eastAsia="仿宋" w:cs="宋体"/>
          <w:sz w:val="32"/>
          <w:szCs w:val="32"/>
          <w:lang w:val="en-US" w:eastAsia="zh-CN"/>
        </w:rPr>
        <w:t>项目符合国家产业政策、符合华容县生态环境分区管控要求，</w:t>
      </w:r>
      <w:r>
        <w:rPr>
          <w:rFonts w:hint="eastAsia" w:ascii="仿宋" w:hAnsi="仿宋" w:eastAsia="仿宋"/>
          <w:sz w:val="32"/>
          <w:szCs w:val="32"/>
          <w:lang w:val="en-US" w:eastAsia="zh-CN"/>
        </w:rPr>
        <w:t>在建设单位严格落实《报告表》及本批复提出的各项污染治理措施和风险防范要求，污染物稳定达标排放的前提下，从环境保护的角度，我局原则同意项目实施建设。</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在工程建设和运营过程中，你公司须认真落实《报告表》中提出的各项生态环境保护措施，并在项目运营中重点落实以下要求：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严格落实水污染防治措施。严格按照“雨污分流、清污分流”的原则规范建设厂区雨水及污水管网。厂区实行雨污分流，雨水排入市政雨水管网。项目食堂废水经隔油后与生活污水进入化粪池预处理后通过废水总排口（DW001）接管至三封污水处理厂集中处理；生产废水中的制纯水浓水、RO反渗透膜冲洗废水、冷却塔强排水经废水总排口（DW001）接管至三封污水处理厂集中处理；生产废水中的脱脂废水、清洗废水（包括纯水洗废水、蒸汽清洗废水）和除尘废水经隔油预处理后与破乳预处理的电泳废水（包括电泳超滤废水、电泳喷淋废水）及超声波清洗废水混合后经汽浮、沉淀处理通过废水总排口（DW001）接管至三封污水处理厂集中处理。生活污水、生产废水排放执行《污水综合排放标准》（GB8978-1996）表4中三级标准和三封工业园污水处理厂纳管标准中较严标准。三封污水处理厂尾水达到《城镇污水处理厂污染物排放标准》（GB18918-2002）表1中一级A标准后排入华容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严格落实大气污染防治措施。严格落实报告表中提出的各项废气污染防治措施，加强车间废气收集和处理。熔铝废气、铝渣回收废气、熔铝燃烧废气(低氮燃烧)经阻火降温+耐温防爆布袋除尘处理后通过15m排气筒（DA001）达标排放；压铸废气经间接水冷降温+防爆滤筒除尘+单级活性炭吸附处理后通过15m排气筒（DA002）达标排放；人工打磨废气经一体式自激喷淋湿式除尘处理后通过15m排气筒（DA003）达标排放；自动打磨废气经铝尘专用文丘里湿式除尘处理后通过15m排气筒（DA003）达标排放；喷砂废气经旋风+防爆滤筒除尘处理后通过15m排气筒（DA003）达标排放；抛丸废气经旋风+铝尘专用文丘里湿式除尘处理后通过15m排气筒（DA003）达标排放；调漆、喷漆、烘干及喷粉固化废气、电泳和电泳烘烤废气、包胶和印刷废气经风冷表冷器+过滤棉+干式过滤器+活性炭吸附浓缩-催化燃烧处理后通过15m排气筒（DA004）达标排放；喷粉废气经旋风+布袋除尘处理后通过15m排气筒（DA004）达标排放；烤水炉/烤漆/电泳烘干/喷粉固化天然气燃烧废气低氮燃烧处理后通过15m排气筒（DA005）达标排放；CNC油雾经静电除油装置处理后通过15m排气筒（DA006）排放；食堂油烟通过烟罩收集后经干式静电油烟净化装置处理后达标排放。项目熔铝烟尘与铝渣回收产生的粉尘（以颗粒物计）执行《铸造工业大气污染物排放标准》（GB39726-2020）表1中金属熔炼（化）其他熔炼（化）炉标准；熔铝炉天然气燃烧产生的颗粒物、二氧化硫、氮氧化物执行《铸造工业大气污染物排放标准》（GB39726-2020）表1中燃气炉的排放限值；打磨、喷砂、抛丸产生的粉尘（以颗粒物计）执行《铸造工业大气污染物排放标准》（GB39726-2020）清理-抛丸机等清理设备标准；压铸产生的颗粒物执行《铸造工业大气污染物排放标准》（GB39726-2020）浇注标准；脱模剂产生的挥发性有机物（以NMHC计）排放浓度执行《铸造工业大气污染物排放标准》（GB39726-2020）表面涂装设备（线）标准；喷漆产生的漆雾与喷粉产生的粉尘（以颗粒物计）执行《大气污染物综合排放标准》（GB16297-1996）表2中其他类标准限值；调漆、喷漆、烤漆、喷粉固化、电泳、电泳烘干、包胶、印刷、CNC油雾（以NMHC计）以及危废仓库产生的有机废气（以NMHC计）执行湖南省地标《工业企业挥发性有机物排放控制标准》(DB43/3550-2026)表1其他行业NMHC的最高允许排放浓度要求；烤水炉/烤漆/电泳烘干/喷粉固化天然气燃烧产生的颗粒物、二氧化硫、氮氧化物执行《关于印发&lt;湖南省工业窑炉大气污染综合治理实施方案&gt;的通知（湘环发[2020]6号）》相关限值。食堂油烟执行《饮食业油烟排放标准（试行）（GB18483-2001）》大型规模排放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通过加强废气的收集及有效处理、非正常工况污染控制、装置管理和日常监管，定期对设备、管道、阀门等进行维护和管理，最大限度减少生产过程中的废气无组织排放。厂区内无组织颗粒物、挥发性有机物（以NMHC计）执行《铸造工业大气污染物排放标准》（GB39726-2020）表A.1中标准限值。项目厂界无组织颗粒物、挥发性有机物（以非甲烷总烃计）均执行《大气污染物综合排放标准》（GB16297-1996）表2无组织排放监控浓度限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环境噪声污染防治措施。通过合理布局、优选低噪声设备，噪声设备隔声减振、加强绿化等合理有效的降噪措施，确保项目运营期厂界西侧、北侧噪声满足《工业企业厂界环境噪声排放标准》（GB12348-2008）中的3类标准要求；厂界东侧、南侧满足《工业企业厂界环境噪声排放标准》（GB12348-2008）中的4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严格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危险废物收集贮存运输技术规范》（HJ2025-2012）、《危险废物转移管理办法》相关标准和规定，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6、加强环境风险防范。严格落实报告表提出的各项环境风险防范措施，进一步强化风险管理和事故的预防，做好环境风险的巡查、监控等管理，杜绝环境风险事故发生。按相关要求进行企业突发环境事件应急预案的编制和备案，实现企业和园区的联动机制，确保环境风险得到有效控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7、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_GB2312"/>
          <w:sz w:val="32"/>
          <w:szCs w:val="32"/>
          <w:lang w:val="en-US" w:eastAsia="zh-CN"/>
        </w:rPr>
      </w:pPr>
      <w:r>
        <w:rPr>
          <w:rFonts w:hint="eastAsia" w:ascii="仿宋" w:hAnsi="仿宋" w:eastAsia="仿宋"/>
          <w:sz w:val="32"/>
          <w:szCs w:val="32"/>
          <w:lang w:val="en-US" w:eastAsia="zh-CN"/>
        </w:rPr>
        <w:t>四、本项目污染物排放总量控制指标为：VOCs≤3.349t/a、</w:t>
      </w:r>
      <w:r>
        <w:rPr>
          <w:rFonts w:ascii="仿宋_GB2312" w:hAnsi="宋体" w:eastAsia="仿宋_GB2312" w:cs="仿宋_GB2312"/>
          <w:color w:val="000000"/>
          <w:sz w:val="32"/>
          <w:szCs w:val="32"/>
        </w:rPr>
        <w:t>SO</w:t>
      </w:r>
      <w:r>
        <w:rPr>
          <w:rFonts w:hint="default" w:ascii="仿宋_GB2312" w:hAnsi="宋体" w:eastAsia="仿宋_GB2312" w:cs="仿宋_GB2312"/>
          <w:color w:val="000000"/>
          <w:sz w:val="32"/>
          <w:szCs w:val="32"/>
          <w:vertAlign w:val="subscript"/>
        </w:rPr>
        <w:t>2</w:t>
      </w:r>
      <w:r>
        <w:rPr>
          <w:rFonts w:hint="default" w:ascii="仿宋_GB2312" w:hAnsi="宋体" w:eastAsia="仿宋_GB2312" w:cs="仿宋_GB2312"/>
          <w:color w:val="000000"/>
          <w:sz w:val="32"/>
          <w:szCs w:val="32"/>
        </w:rPr>
        <w:t>≤</w:t>
      </w:r>
      <w:r>
        <w:rPr>
          <w:rFonts w:hint="eastAsia" w:ascii="仿宋_GB2312" w:hAnsi="宋体" w:eastAsia="仿宋_GB2312" w:cs="仿宋_GB2312"/>
          <w:color w:val="000000"/>
          <w:sz w:val="32"/>
          <w:szCs w:val="32"/>
          <w:lang w:val="en-US" w:eastAsia="zh-CN"/>
        </w:rPr>
        <w:t>0.24</w:t>
      </w:r>
      <w:r>
        <w:rPr>
          <w:rFonts w:hint="default" w:ascii="仿宋_GB2312" w:hAnsi="宋体" w:eastAsia="仿宋_GB2312" w:cs="仿宋_GB2312"/>
          <w:color w:val="000000"/>
          <w:sz w:val="32"/>
          <w:szCs w:val="32"/>
        </w:rPr>
        <w:t>t/a、NO</w:t>
      </w:r>
      <w:r>
        <w:rPr>
          <w:rFonts w:hint="default" w:ascii="仿宋_GB2312" w:hAnsi="宋体" w:eastAsia="仿宋_GB2312" w:cs="仿宋_GB2312"/>
          <w:color w:val="000000"/>
          <w:sz w:val="32"/>
          <w:szCs w:val="32"/>
          <w:vertAlign w:val="subscript"/>
        </w:rPr>
        <w:t>X</w:t>
      </w:r>
      <w:r>
        <w:rPr>
          <w:rFonts w:hint="default" w:ascii="仿宋_GB2312" w:hAnsi="宋体" w:eastAsia="仿宋_GB2312" w:cs="仿宋_GB2312"/>
          <w:color w:val="000000"/>
          <w:sz w:val="32"/>
          <w:szCs w:val="32"/>
        </w:rPr>
        <w:t>≤</w:t>
      </w:r>
      <w:r>
        <w:rPr>
          <w:rFonts w:hint="eastAsia" w:ascii="仿宋_GB2312" w:hAnsi="宋体" w:eastAsia="仿宋_GB2312" w:cs="仿宋_GB2312"/>
          <w:color w:val="000000"/>
          <w:sz w:val="32"/>
          <w:szCs w:val="32"/>
          <w:lang w:val="en-US" w:eastAsia="zh-CN"/>
        </w:rPr>
        <w:t>1.123</w:t>
      </w:r>
      <w:r>
        <w:rPr>
          <w:rFonts w:hint="default" w:ascii="仿宋_GB2312" w:hAnsi="宋体" w:eastAsia="仿宋_GB2312" w:cs="仿宋_GB2312"/>
          <w:color w:val="000000"/>
          <w:sz w:val="32"/>
          <w:szCs w:val="32"/>
        </w:rPr>
        <w:t>t/a、</w:t>
      </w:r>
      <w:r>
        <w:rPr>
          <w:rFonts w:ascii="仿宋" w:hAnsi="仿宋" w:eastAsia="仿宋" w:cs="仿宋"/>
          <w:color w:val="000000"/>
          <w:sz w:val="32"/>
          <w:szCs w:val="32"/>
        </w:rPr>
        <w:t>COD≤</w:t>
      </w:r>
      <w:r>
        <w:rPr>
          <w:rFonts w:hint="eastAsia" w:ascii="仿宋" w:hAnsi="仿宋" w:eastAsia="仿宋" w:cs="仿宋"/>
          <w:color w:val="000000"/>
          <w:sz w:val="32"/>
          <w:szCs w:val="32"/>
          <w:lang w:val="en-US" w:eastAsia="zh-CN"/>
        </w:rPr>
        <w:t>2.974</w:t>
      </w:r>
      <w:r>
        <w:rPr>
          <w:rFonts w:hint="eastAsia" w:ascii="仿宋" w:hAnsi="仿宋" w:eastAsia="仿宋" w:cs="仿宋"/>
          <w:color w:val="000000"/>
          <w:sz w:val="32"/>
          <w:szCs w:val="32"/>
        </w:rPr>
        <w:t>t/a、NH</w:t>
      </w:r>
      <w:r>
        <w:rPr>
          <w:rFonts w:hint="eastAsia" w:ascii="仿宋" w:hAnsi="仿宋" w:eastAsia="仿宋" w:cs="仿宋"/>
          <w:color w:val="000000"/>
          <w:sz w:val="32"/>
          <w:szCs w:val="32"/>
          <w:vertAlign w:val="subscript"/>
        </w:rPr>
        <w:t>3</w:t>
      </w:r>
      <w:r>
        <w:rPr>
          <w:rFonts w:hint="eastAsia" w:ascii="仿宋" w:hAnsi="仿宋" w:eastAsia="仿宋" w:cs="仿宋"/>
          <w:color w:val="000000"/>
          <w:sz w:val="32"/>
          <w:szCs w:val="32"/>
        </w:rPr>
        <w:t>-N≤</w:t>
      </w:r>
      <w:r>
        <w:rPr>
          <w:rFonts w:hint="eastAsia" w:ascii="仿宋" w:hAnsi="仿宋" w:eastAsia="仿宋" w:cs="仿宋"/>
          <w:color w:val="000000"/>
          <w:sz w:val="32"/>
          <w:szCs w:val="32"/>
          <w:lang w:val="en-US" w:eastAsia="zh-CN"/>
        </w:rPr>
        <w:t>0.129</w:t>
      </w:r>
      <w:r>
        <w:rPr>
          <w:rFonts w:hint="eastAsia" w:ascii="仿宋" w:hAnsi="仿宋" w:eastAsia="仿宋" w:cs="仿宋"/>
          <w:color w:val="000000"/>
          <w:sz w:val="32"/>
          <w:szCs w:val="32"/>
        </w:rPr>
        <w:t>t/a</w:t>
      </w:r>
      <w:r>
        <w:rPr>
          <w:rFonts w:hint="eastAsia" w:ascii="仿宋" w:hAnsi="仿宋" w:eastAsia="仿宋" w:cs="仿宋"/>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五、建设单位应在项目实际排污行为发生前，依法取得排污许可证。报告表经批准后，项目的性质、规模、地点、采用的生产工艺或者防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治污染、防止生态破坏的措施发生重大变动的，应当重新报批项目生态环境影响评价文件。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p>
    <w:p>
      <w:pPr>
        <w:pStyle w:val="2"/>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bookmarkStart w:id="3" w:name="_GoBack"/>
      <w:bookmarkEnd w:id="3"/>
    </w:p>
    <w:p>
      <w:pPr>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2026年9月3日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4F5654"/>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8E5754"/>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AA2321"/>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9D092B"/>
    <w:rsid w:val="0DBA44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480B81"/>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753A4"/>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D71889"/>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8222D8"/>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9C6E69"/>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2900E8"/>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0909AA"/>
    <w:rsid w:val="281734BC"/>
    <w:rsid w:val="283F0C28"/>
    <w:rsid w:val="284F18EF"/>
    <w:rsid w:val="2858552C"/>
    <w:rsid w:val="285B0824"/>
    <w:rsid w:val="28694D0F"/>
    <w:rsid w:val="287F2E4D"/>
    <w:rsid w:val="289B3E73"/>
    <w:rsid w:val="289C2EE2"/>
    <w:rsid w:val="289E187E"/>
    <w:rsid w:val="28AC09D1"/>
    <w:rsid w:val="28E75980"/>
    <w:rsid w:val="29117312"/>
    <w:rsid w:val="29390D4A"/>
    <w:rsid w:val="293C7D51"/>
    <w:rsid w:val="294F7149"/>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724CB"/>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DEC327C"/>
    <w:rsid w:val="2E091795"/>
    <w:rsid w:val="2E1154CE"/>
    <w:rsid w:val="2E1C63FF"/>
    <w:rsid w:val="2E2E6D92"/>
    <w:rsid w:val="2E396433"/>
    <w:rsid w:val="2E5372AA"/>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C7CE1"/>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243329"/>
    <w:rsid w:val="363A099D"/>
    <w:rsid w:val="363E47D2"/>
    <w:rsid w:val="364039E4"/>
    <w:rsid w:val="36425656"/>
    <w:rsid w:val="3645474C"/>
    <w:rsid w:val="364A7E38"/>
    <w:rsid w:val="364D4A74"/>
    <w:rsid w:val="365C2AE4"/>
    <w:rsid w:val="36744299"/>
    <w:rsid w:val="3689190A"/>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A6915"/>
    <w:rsid w:val="3ABD6639"/>
    <w:rsid w:val="3ABE56C2"/>
    <w:rsid w:val="3ACD3B57"/>
    <w:rsid w:val="3ADB3370"/>
    <w:rsid w:val="3AE33AB5"/>
    <w:rsid w:val="3B027642"/>
    <w:rsid w:val="3B0642DF"/>
    <w:rsid w:val="3B1A7659"/>
    <w:rsid w:val="3B2218C7"/>
    <w:rsid w:val="3B225C51"/>
    <w:rsid w:val="3B342E13"/>
    <w:rsid w:val="3B3A2907"/>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CA73A7"/>
    <w:rsid w:val="3DDB5015"/>
    <w:rsid w:val="3DE62253"/>
    <w:rsid w:val="3DE94AD9"/>
    <w:rsid w:val="3DF40024"/>
    <w:rsid w:val="3E0C3864"/>
    <w:rsid w:val="3E18019F"/>
    <w:rsid w:val="3E2234DA"/>
    <w:rsid w:val="3E2C4FDD"/>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62016"/>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0E75D7"/>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D00E8"/>
    <w:rsid w:val="44EE16FB"/>
    <w:rsid w:val="453039BE"/>
    <w:rsid w:val="45413ED9"/>
    <w:rsid w:val="45420654"/>
    <w:rsid w:val="454B262D"/>
    <w:rsid w:val="45565E73"/>
    <w:rsid w:val="45713F9A"/>
    <w:rsid w:val="457F4012"/>
    <w:rsid w:val="459B1C8D"/>
    <w:rsid w:val="45B56B44"/>
    <w:rsid w:val="45D06EF6"/>
    <w:rsid w:val="45EC4C72"/>
    <w:rsid w:val="45F807D9"/>
    <w:rsid w:val="45F97411"/>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9FD5742"/>
    <w:rsid w:val="4A080708"/>
    <w:rsid w:val="4A132C22"/>
    <w:rsid w:val="4A1359DE"/>
    <w:rsid w:val="4A18467E"/>
    <w:rsid w:val="4A216BBC"/>
    <w:rsid w:val="4A440CA7"/>
    <w:rsid w:val="4A4771EA"/>
    <w:rsid w:val="4A494221"/>
    <w:rsid w:val="4A5974CE"/>
    <w:rsid w:val="4A5B10ED"/>
    <w:rsid w:val="4A667D85"/>
    <w:rsid w:val="4A76274F"/>
    <w:rsid w:val="4A7B7AD3"/>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32094"/>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B64A90"/>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C86767"/>
    <w:rsid w:val="50CD15B0"/>
    <w:rsid w:val="50D35B43"/>
    <w:rsid w:val="50E05E52"/>
    <w:rsid w:val="50EB2C6C"/>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1D33E2"/>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E4250E"/>
    <w:rsid w:val="5DF11754"/>
    <w:rsid w:val="5E1C028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0297E"/>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EB04B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873BA7"/>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45C18"/>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2F501C"/>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8E79D8"/>
    <w:rsid w:val="6A924032"/>
    <w:rsid w:val="6A996E65"/>
    <w:rsid w:val="6AAA0A31"/>
    <w:rsid w:val="6AB64EDE"/>
    <w:rsid w:val="6AC5479A"/>
    <w:rsid w:val="6AC93D2F"/>
    <w:rsid w:val="6AD15FC8"/>
    <w:rsid w:val="6AD64B98"/>
    <w:rsid w:val="6ADB6BE1"/>
    <w:rsid w:val="6ADD3DAB"/>
    <w:rsid w:val="6AE01D49"/>
    <w:rsid w:val="6AE277BB"/>
    <w:rsid w:val="6B0D7DC6"/>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187388"/>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0C19CB"/>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A5C57"/>
    <w:rsid w:val="74FB1F55"/>
    <w:rsid w:val="750467A1"/>
    <w:rsid w:val="75102ED6"/>
    <w:rsid w:val="753663BF"/>
    <w:rsid w:val="753D4A16"/>
    <w:rsid w:val="75467C43"/>
    <w:rsid w:val="754C268F"/>
    <w:rsid w:val="7555661D"/>
    <w:rsid w:val="755B52EF"/>
    <w:rsid w:val="75647ED4"/>
    <w:rsid w:val="75816632"/>
    <w:rsid w:val="75AC66BD"/>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6C7995"/>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6</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2026-04-30T02:13:00Z</cp:lastPrinted>
  <dcterms:modified xsi:type="dcterms:W3CDTF">2026-09-02T02:06:31Z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