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jc w:val="center"/>
        <w:textAlignment w:val="auto"/>
        <w:rPr>
          <w:rFonts w:hint="eastAsia" w:ascii="方正小标宋简体" w:eastAsia="方正小标宋简体"/>
          <w:color w:val="000000"/>
          <w:sz w:val="48"/>
          <w:szCs w:val="48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8"/>
          <w:szCs w:val="48"/>
          <w:lang w:eastAsia="zh-CN"/>
        </w:rPr>
        <w:t>湖南省</w:t>
      </w:r>
      <w:r>
        <w:rPr>
          <w:rFonts w:hint="eastAsia" w:ascii="方正小标宋简体" w:eastAsia="方正小标宋简体"/>
          <w:color w:val="000000"/>
          <w:sz w:val="48"/>
          <w:szCs w:val="48"/>
        </w:rPr>
        <w:t>推进文化创意旅游产业链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16" w:lineRule="auto"/>
        <w:jc w:val="center"/>
        <w:textAlignment w:val="auto"/>
        <w:rPr>
          <w:rFonts w:hint="eastAsia" w:ascii="方正小标宋简体" w:eastAsia="方正小标宋简体"/>
          <w:color w:val="000000"/>
          <w:sz w:val="48"/>
          <w:szCs w:val="48"/>
        </w:rPr>
      </w:pPr>
      <w:r>
        <w:rPr>
          <w:rFonts w:hint="eastAsia" w:ascii="方正小标宋简体" w:eastAsia="方正小标宋简体"/>
          <w:color w:val="000000"/>
          <w:sz w:val="48"/>
          <w:szCs w:val="48"/>
        </w:rPr>
        <w:t>高质量建设的若干举措</w:t>
      </w:r>
    </w:p>
    <w:bookmarkEnd w:id="0"/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480" w:firstLineChars="200"/>
        <w:textAlignment w:val="auto"/>
        <w:rPr>
          <w:rFonts w:hint="eastAsia" w:ascii="仿宋_GB2312" w:eastAsia="仿宋_GB2312"/>
          <w:color w:val="000000"/>
          <w:sz w:val="24"/>
          <w:szCs w:val="21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为深入贯彻党的二十大和二十届二中、三中全会精神</w:t>
      </w:r>
      <w:r>
        <w:rPr>
          <w:rFonts w:ascii="仿宋_GB2312" w:eastAsia="仿宋_GB2312"/>
          <w:color w:val="000000"/>
          <w:sz w:val="32"/>
          <w:szCs w:val="32"/>
        </w:rPr>
        <w:t>及</w:t>
      </w:r>
      <w:r>
        <w:rPr>
          <w:rFonts w:hint="eastAsia" w:ascii="仿宋_GB2312" w:eastAsia="仿宋_GB2312"/>
          <w:color w:val="000000"/>
          <w:sz w:val="32"/>
          <w:szCs w:val="32"/>
        </w:rPr>
        <w:t>习近平总书记考察湖南重要讲话和指示精神，落实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省委、省政府《关于加快建设世界旅游目的地的意见》（湘发〔2022〕16号）、《关于加快建设现代化产业体系的指导意见》（湘发〔2023〕8号）、《关于实施现代化产业体系建设实施方案》（湘政办发〔2023〕54号）等文件要求，高质量推进文化创意旅游产业发展，打造文化和科技融合示范高地，加快建成文化强省和世界旅游目的地，制定以下举措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一、推进重点产业率先发展。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推进体育旅游、低空旅游、工业旅游、生态康养旅游、美食旅游、银发旅游、研学旅游（实践）、茶瓷文旅等文旅融合产业和音视频（微短剧）、动漫电竞、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000000"/>
          <w:sz w:val="32"/>
          <w:szCs w:val="32"/>
        </w:rPr>
        <w:t>数字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演艺、数字出版、数字文博等数字文化产业率先发展，分类明确目标重点，出台项目、资金支持政策。支持长沙打造“电竞之都”，引育一批头部企业、培育一批知名品牌、打造一批品牌赛事、建设一批专业场馆、配套一批主题酒店。</w:t>
      </w:r>
      <w:r>
        <w:rPr>
          <w:rFonts w:hint="eastAsia" w:ascii="楷体_GB2312" w:eastAsia="楷体_GB2312"/>
          <w:color w:val="000000"/>
          <w:sz w:val="32"/>
          <w:szCs w:val="32"/>
        </w:rPr>
        <w:t>（责任单位：省文化和旅游厅、省委宣传部、省发展改革委、省工业和信息化厅、省公安厅、省科技厅、省民政厅、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省自然资源厅、</w:t>
      </w:r>
      <w:r>
        <w:rPr>
          <w:rFonts w:hint="eastAsia" w:ascii="楷体_GB2312" w:eastAsia="楷体_GB2312"/>
          <w:color w:val="000000"/>
          <w:sz w:val="32"/>
          <w:szCs w:val="32"/>
        </w:rPr>
        <w:t>省水利厅、省农业农村厅、省商务厅、省林业局、省广电局、省体育局、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省市场</w:t>
      </w:r>
      <w:r>
        <w:rPr>
          <w:rFonts w:hint="eastAsia" w:ascii="楷体_GB2312" w:eastAsia="楷体_GB2312"/>
          <w:color w:val="000000"/>
          <w:sz w:val="32"/>
          <w:szCs w:val="32"/>
        </w:rPr>
        <w:t>监督管理局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湖南广播影视集团、</w:t>
      </w:r>
      <w:r>
        <w:rPr>
          <w:rFonts w:hint="eastAsia" w:ascii="楷体_GB2312" w:eastAsia="楷体_GB2312"/>
          <w:color w:val="000000"/>
          <w:sz w:val="32"/>
          <w:szCs w:val="32"/>
        </w:rPr>
        <w:t>湖南出版投资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控股</w:t>
      </w:r>
      <w:r>
        <w:rPr>
          <w:rFonts w:hint="eastAsia" w:ascii="楷体_GB2312" w:eastAsia="楷体_GB2312"/>
          <w:color w:val="000000"/>
          <w:sz w:val="32"/>
          <w:szCs w:val="32"/>
        </w:rPr>
        <w:t>集团、马栏山视频文创产业园、相关市州，排在第一位的为牵头单位，下同）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二、加快发展人工智能+文旅。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建设马栏山数智文化艺术未来中心，举办“马栏山杯”国际音视频算法大赛与产业峰会、马栏山数字文旅产业大会、沉浸式数字文旅新品发布暨供需对接会活动。支持张家界建设“马栏山”文化创意旅游产业飞地园区。推进天心、昭山两家国家级文化产业园区差异化、高质量发展。统筹推进全省数智文旅“一张网”（含“又湘游”）建设，赋能文旅治理、服务、营销。集成应用VR、AR、智能感知、数字光影等前沿技术，培育一批沉浸式智慧旅游、旅游演艺新场景新产品。实施“数据要素×文化旅游”行动，打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造一批数字化创新应用示范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楷体_GB2312" w:eastAsia="楷体_GB2312"/>
          <w:color w:val="000000"/>
          <w:sz w:val="32"/>
          <w:szCs w:val="32"/>
        </w:rPr>
        <w:t>（责任单位：省文化和旅游厅、省委宣传部、省发展改革委、省科技厅、省工业和信息化厅、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省数据局、</w:t>
      </w:r>
      <w:r>
        <w:rPr>
          <w:rFonts w:hint="eastAsia" w:ascii="楷体_GB2312" w:eastAsia="楷体_GB2312" w:cs="Times New Roman"/>
          <w:color w:val="000000"/>
          <w:kern w:val="2"/>
          <w:sz w:val="32"/>
          <w:szCs w:val="32"/>
          <w:lang w:val="en-US" w:eastAsia="zh-CN" w:bidi="ar-SA"/>
        </w:rPr>
        <w:t>湖南广播影视集团、</w:t>
      </w:r>
      <w:r>
        <w:rPr>
          <w:rFonts w:hint="eastAsia" w:ascii="楷体_GB2312" w:eastAsia="楷体_GB2312"/>
          <w:color w:val="000000"/>
          <w:sz w:val="32"/>
          <w:szCs w:val="32"/>
        </w:rPr>
        <w:t>马栏山视频文创产业园、相关市州）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三、夯实文旅融合发展基础和平台。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出台文化和旅游融合发展的规划、融资、人才等支持政策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，培育</w:t>
      </w:r>
      <w:r>
        <w:rPr>
          <w:rFonts w:hint="eastAsia" w:ascii="仿宋_GB2312" w:eastAsia="仿宋_GB2312"/>
          <w:color w:val="000000"/>
          <w:sz w:val="32"/>
          <w:szCs w:val="32"/>
        </w:rPr>
        <w:t>具有全国影响力的文旅融合发展集群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val="en-US" w:eastAsia="zh-CN"/>
        </w:rPr>
        <w:t>推进文旅融合</w:t>
      </w:r>
      <w:r>
        <w:rPr>
          <w:rFonts w:ascii="仿宋_GB2312" w:eastAsia="仿宋_GB2312"/>
          <w:color w:val="000000"/>
          <w:sz w:val="32"/>
          <w:szCs w:val="32"/>
          <w:highlight w:val="none"/>
          <w:lang w:val="en-US" w:eastAsia="zh-CN"/>
        </w:rPr>
        <w:t>发展强基固本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楷体_GB2312" w:eastAsia="楷体_GB2312"/>
          <w:color w:val="000000"/>
          <w:sz w:val="32"/>
          <w:szCs w:val="32"/>
        </w:rPr>
        <w:t>（责任单位：省文化和旅游厅、省发展改革委、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省教育厅、</w:t>
      </w:r>
      <w:r>
        <w:rPr>
          <w:rFonts w:hint="eastAsia" w:ascii="楷体_GB2312" w:eastAsia="楷体_GB2312"/>
          <w:color w:val="000000"/>
          <w:sz w:val="32"/>
          <w:szCs w:val="32"/>
        </w:rPr>
        <w:t>省工业和信息化厅、省生态环境厅、省住房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和</w:t>
      </w:r>
      <w:r>
        <w:rPr>
          <w:rFonts w:hint="eastAsia" w:ascii="楷体_GB2312" w:eastAsia="楷体_GB2312"/>
          <w:color w:val="000000"/>
          <w:sz w:val="32"/>
          <w:szCs w:val="32"/>
        </w:rPr>
        <w:t>城乡建设厅、省自然资源厅、省水利厅、省农业农村厅、省林业局、省体育局、相关市州）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四、强化重大产业项目支撑。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按照产业优先、手续完备、投资安全、运营前置、质效优良等要求，每年重点推进一批旅发大会“办会兴城”项目、扶持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个文化科技项目和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个文旅融合项目、发布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个重大招商项目、推介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个首发（首营）项目，优先享受贷款贴息、基金投资、用地用林、招商推介等要素和平台支持。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（责任单位：省文化和旅游厅、省委宣传部、省</w:t>
      </w:r>
      <w:r>
        <w:rPr>
          <w:rFonts w:hint="eastAsia" w:ascii="楷体_GB2312" w:eastAsia="楷体_GB2312"/>
          <w:color w:val="000000"/>
          <w:sz w:val="32"/>
          <w:szCs w:val="32"/>
        </w:rPr>
        <w:t>发展改革委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、省教育厅、省科技厅、省工业和信息化厅、省人力资源和社会保障厅、省自然资源厅、省生态环境厅、省住房和城乡建设厅、省水利厅、省农业农村厅、省商务厅、省林业局、省体育局、相关市州）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五、推进存量项目提质增效。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实施“文旅存量项目和传统产品强基焕新行动计划”，结合城市更新和乡村振兴实践推动闲置空间适旅化改造，推动低空经济与文旅产业融合发展，推出一批“小而美”</w:t>
      </w:r>
      <w:r>
        <w:rPr>
          <w:rFonts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文旅新业态新场景</w:t>
      </w:r>
      <w:r>
        <w:rPr>
          <w:rFonts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,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推进存量项目和传统产品提质增效。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（责任单位：省文化和旅游厅、省委宣传部、省</w:t>
      </w:r>
      <w:r>
        <w:rPr>
          <w:rFonts w:hint="eastAsia" w:ascii="楷体_GB2312" w:eastAsia="楷体_GB2312"/>
          <w:color w:val="000000"/>
          <w:sz w:val="32"/>
          <w:szCs w:val="32"/>
        </w:rPr>
        <w:t>发展改革委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、省科技厅、省工业和信息化厅、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省自然资源厅、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省住房和城乡建设厅、省农业农村厅、省商务厅、省体育局、相关市州）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Times New Roman"/>
          <w:color w:val="000000"/>
          <w:sz w:val="32"/>
          <w:szCs w:val="32"/>
        </w:rPr>
        <w:t>六、深化文旅投融资创新</w:t>
      </w:r>
      <w:r>
        <w:rPr>
          <w:rFonts w:hint="eastAsia" w:ascii="黑体" w:eastAsia="黑体" w:cs="Times New Roman"/>
          <w:color w:val="000000"/>
          <w:sz w:val="32"/>
          <w:szCs w:val="32"/>
          <w:lang w:val="en-US" w:eastAsia="zh-CN"/>
        </w:rPr>
        <w:t>服务</w:t>
      </w:r>
      <w:r>
        <w:rPr>
          <w:rFonts w:hint="eastAsia" w:ascii="黑体" w:eastAsia="黑体"/>
          <w:color w:val="000000"/>
          <w:sz w:val="32"/>
          <w:szCs w:val="32"/>
        </w:rPr>
        <w:t>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健全以金芙蓉投资基金、文旅融资风险补偿、重点文旅项目贷款贴息为主的财金联动政策支持体系。支持符合条件的文旅类基础设施项目申报发行基础设施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REITs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。创新文化科技金融服务，加快出台支持文化科技产权融资的政策文件。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（责任单位：省委金融办、省委宣传部、省</w:t>
      </w:r>
      <w:r>
        <w:rPr>
          <w:rFonts w:hint="eastAsia" w:ascii="楷体_GB2312" w:eastAsia="楷体_GB2312"/>
          <w:color w:val="000000"/>
          <w:sz w:val="32"/>
          <w:szCs w:val="32"/>
        </w:rPr>
        <w:t>发展改革委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、省科技厅、省文化和旅游厅、人民银行湖南省分行、湖南证监局）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color w:val="000000"/>
          <w:sz w:val="32"/>
          <w:szCs w:val="32"/>
        </w:rPr>
        <w:t>七、培育湖南文旅特色消费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IP</w:t>
      </w:r>
      <w:r>
        <w:rPr>
          <w:rFonts w:hint="eastAsia" w:ascii="黑体" w:eastAsia="黑体"/>
          <w:color w:val="000000"/>
          <w:sz w:val="32"/>
          <w:szCs w:val="32"/>
        </w:rPr>
        <w:t>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提升春、夏、秋、冬四季文旅消费品牌特色和内涵，培育春节和暑期主题消费月品牌，搭建大张家界国际山地康养旅游周和世界民俗体验周、湘江国际低空旅游周、中国马栏山数字文创周、大湘南国际美食音乐周、电竞品牌赛事周、洞庭渔火季、</w:t>
      </w:r>
      <w:r>
        <w:rPr>
          <w:rFonts w:ascii="仿宋" w:eastAsia="仿宋" w:cs="仿宋"/>
          <w:color w:val="000000"/>
          <w:kern w:val="0"/>
          <w:sz w:val="32"/>
          <w:szCs w:val="32"/>
          <w:lang w:val="en-US" w:eastAsia="zh-CN"/>
        </w:rPr>
        <w:t>青春芒果节、湘超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等文旅消费平台，培育“潮起潇湘·相约湖南”特色消费场景和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IP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体系。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积极拓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展淡季文旅市场，提振乡村文旅和旅游演艺活动消费。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（责任单位：省文化和旅游厅、省</w:t>
      </w:r>
      <w:r>
        <w:rPr>
          <w:rFonts w:hint="eastAsia" w:ascii="楷体_GB2312" w:eastAsia="楷体_GB2312"/>
          <w:color w:val="000000"/>
          <w:sz w:val="32"/>
          <w:szCs w:val="32"/>
        </w:rPr>
        <w:t>发展改革委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、省公安厅、省工业和信息化厅、省商务厅</w:t>
      </w:r>
      <w:r>
        <w:rPr>
          <w:rFonts w:hint="eastAsia" w:ascii="楷体_GB2312" w:eastAsia="楷体_GB2312"/>
          <w:color w:val="000000"/>
          <w:sz w:val="32"/>
          <w:szCs w:val="32"/>
        </w:rPr>
        <w:t>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省市场</w:t>
      </w:r>
      <w:r>
        <w:rPr>
          <w:rFonts w:hint="eastAsia" w:ascii="楷体_GB2312" w:eastAsia="楷体_GB2312"/>
          <w:color w:val="000000"/>
          <w:sz w:val="32"/>
          <w:szCs w:val="32"/>
        </w:rPr>
        <w:t>监督管理局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楷体_GB2312" w:eastAsia="楷体_GB2312" w:cs="Times New Roman"/>
          <w:color w:val="000000"/>
          <w:kern w:val="2"/>
          <w:sz w:val="32"/>
          <w:szCs w:val="32"/>
          <w:lang w:val="en-US" w:eastAsia="zh-CN" w:bidi="ar-SA"/>
        </w:rPr>
        <w:t>湖南广播影视集团</w:t>
      </w:r>
      <w:r>
        <w:rPr>
          <w:rFonts w:hint="eastAsia" w:ascii="楷体_GB2312" w:eastAsia="楷体_GB2312" w:cs="Droid Sans"/>
          <w:color w:val="000000"/>
          <w:kern w:val="2"/>
          <w:sz w:val="32"/>
          <w:szCs w:val="32"/>
          <w:lang w:val="en-US" w:eastAsia="zh-CN" w:bidi="ar-SA"/>
        </w:rPr>
        <w:t>、马栏山视频文创产业园、相关市州）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八、积极拓展境外市场。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着力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打造湖南入境旅游第二站，持续加强与北、上、广、深、琼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入境旅游首站对接引流。鼓励市场主体参与打造长沙、张家界国际中转枢纽城市。举办“你好！中国——相约湖南”境外推广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活动，发挥大张家界国际旅游区带动作用，扩大“三湘四水·相约湖南”品牌国际影响力。</w:t>
      </w:r>
      <w:r>
        <w:rPr>
          <w:rFonts w:hint="eastAsia" w:ascii="楷体_GB2312" w:eastAsia="楷体_GB2312" w:cs="Times New Roman"/>
          <w:color w:val="000000"/>
          <w:kern w:val="2"/>
          <w:sz w:val="32"/>
          <w:szCs w:val="32"/>
          <w:lang w:val="en-US" w:eastAsia="zh-CN" w:bidi="ar-SA"/>
        </w:rPr>
        <w:t>（责任单位：省文化和旅游厅、省委宣传部、省委外事办、省发展改革委、省贸促会、相关市州）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九、推进文旅产品和商品出海。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培育一批省级对外文化贸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易基地和“湖南好礼”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文旅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IP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，丰富海外特色文化产品供给；搭建港澳、东南亚、中非、“一带一路”等文化出海通道，积极推进“芒果出海行动计划”，打造国有控股一流出海平台“芒果国际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APP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”,引导特色文化产品、文旅商品、旅游演艺产品和装备“走出去”。</w:t>
      </w:r>
      <w:r>
        <w:rPr>
          <w:rFonts w:hint="eastAsia" w:ascii="楷体_GB2312" w:eastAsia="楷体_GB2312" w:cs="Times New Roman"/>
          <w:color w:val="000000"/>
          <w:kern w:val="2"/>
          <w:sz w:val="32"/>
          <w:szCs w:val="32"/>
          <w:lang w:val="en-US" w:eastAsia="zh-CN" w:bidi="ar-SA"/>
        </w:rPr>
        <w:t>（责任单位：省文化和旅游厅、省委宣传部、省委外事办、省发展改革委、省自然资源厅、省商务厅、省贸促会、湖南证监局、湖南广播影视集团）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楷体_GB2312" w:eastAsia="楷体_GB2312" w:cs="楷体_GB2312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十、激发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经营</w:t>
      </w:r>
      <w:r>
        <w:rPr>
          <w:rFonts w:hint="eastAsia" w:ascii="黑体" w:eastAsia="黑体"/>
          <w:color w:val="000000"/>
          <w:sz w:val="32"/>
          <w:szCs w:val="32"/>
        </w:rPr>
        <w:t>主体活力。</w:t>
      </w:r>
      <w:r>
        <w:rPr>
          <w:rFonts w:hint="eastAsia" w:ascii="仿宋_GB2312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以产业链强链、补链、延链为导向，培新育强壮大市场主体。实施经营主体“双百工程”（“百强企业”“百强品牌”），推出一批具有影响力的湖湘特色文旅品牌，出台重点企业房租减免或补助、算力券补助、语料算力扶持等政策。支持数字文旅、文旅装备、文旅主理人等行业主体组建协会和联盟，健全现代新兴行业组织体系，规范行业组织管理。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（责任单位：省文化和旅游厅、省委宣传部、省</w:t>
      </w:r>
      <w:r>
        <w:rPr>
          <w:rFonts w:hint="eastAsia" w:ascii="楷体_GB2312" w:eastAsia="楷体_GB2312" w:cs="楷体_GB2312"/>
          <w:color w:val="000000"/>
          <w:sz w:val="32"/>
          <w:szCs w:val="32"/>
          <w:lang w:eastAsia="zh-CN"/>
        </w:rPr>
        <w:t>发展改革委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、省民政厅、省商务厅、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省市场</w:t>
      </w:r>
      <w:r>
        <w:rPr>
          <w:rFonts w:hint="eastAsia" w:ascii="楷体_GB2312" w:eastAsia="楷体_GB2312"/>
          <w:color w:val="000000"/>
          <w:sz w:val="32"/>
          <w:szCs w:val="32"/>
        </w:rPr>
        <w:t>监督管理局</w:t>
      </w:r>
      <w:r>
        <w:rPr>
          <w:rFonts w:hint="eastAsia" w:ascii="楷体_GB2312" w:eastAsia="楷体_GB2312"/>
          <w:color w:val="000000"/>
          <w:sz w:val="32"/>
          <w:szCs w:val="32"/>
          <w:lang w:eastAsia="zh-CN"/>
        </w:rPr>
        <w:t>、</w:t>
      </w:r>
      <w:r>
        <w:rPr>
          <w:rFonts w:hint="eastAsia" w:ascii="楷体_GB2312" w:eastAsia="楷体_GB2312" w:cs="楷体_GB2312"/>
          <w:color w:val="000000"/>
          <w:sz w:val="32"/>
          <w:szCs w:val="32"/>
        </w:rPr>
        <w:t>省工商联、马栏山视频文创产业园、相关市州）</w:t>
      </w:r>
    </w:p>
    <w:p>
      <w:pPr>
        <w:pStyle w:val="17"/>
        <w:keepNext w:val="0"/>
        <w:keepLines w:val="0"/>
        <w:pageBreakBefore w:val="0"/>
        <w:widowControl w:val="0"/>
        <w:shd w:val="clear" w:color="auto" w:fill="aut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both"/>
        <w:textAlignment w:val="auto"/>
        <w:rPr>
          <w:rFonts w:hint="eastAsia" w:ascii="黑体" w:eastAsia="黑体"/>
          <w:color w:val="000000"/>
          <w:kern w:val="2"/>
          <w:sz w:val="32"/>
          <w:szCs w:val="32"/>
        </w:rPr>
      </w:pPr>
      <w:r>
        <w:rPr>
          <w:rFonts w:hint="eastAsia" w:ascii="黑体" w:eastAsia="黑体"/>
          <w:color w:val="000000"/>
          <w:kern w:val="2"/>
          <w:sz w:val="32"/>
          <w:szCs w:val="32"/>
        </w:rPr>
        <w:t>十</w:t>
      </w:r>
      <w:r>
        <w:rPr>
          <w:rFonts w:hint="eastAsia" w:ascii="黑体" w:eastAsia="黑体"/>
          <w:color w:val="000000"/>
          <w:kern w:val="2"/>
          <w:sz w:val="32"/>
          <w:szCs w:val="32"/>
          <w:lang w:eastAsia="zh-CN"/>
        </w:rPr>
        <w:t>一</w:t>
      </w:r>
      <w:r>
        <w:rPr>
          <w:rFonts w:hint="eastAsia" w:ascii="黑体" w:eastAsia="黑体"/>
          <w:color w:val="000000"/>
          <w:kern w:val="2"/>
          <w:sz w:val="32"/>
          <w:szCs w:val="32"/>
        </w:rPr>
        <w:t>、鼓励事业单位改革。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加快中宣部等九部委局《关于推进博物馆改革发展的指导意见》（文物博发〔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2021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kern w:val="2"/>
          <w:sz w:val="32"/>
          <w:szCs w:val="32"/>
        </w:rPr>
        <w:t>16</w:t>
      </w:r>
      <w:r>
        <w:rPr>
          <w:rFonts w:hint="eastAsia" w:ascii="仿宋_GB2312" w:eastAsia="仿宋_GB2312"/>
          <w:color w:val="000000"/>
          <w:kern w:val="2"/>
          <w:sz w:val="32"/>
          <w:szCs w:val="32"/>
        </w:rPr>
        <w:t>号)等改革举措落地，</w:t>
      </w:r>
      <w:r>
        <w:rPr>
          <w:rFonts w:hint="eastAsia" w:ascii="仿宋_GB2312" w:eastAsia="仿宋_GB2312"/>
          <w:color w:val="000000"/>
          <w:sz w:val="32"/>
          <w:szCs w:val="32"/>
        </w:rPr>
        <w:t>鼓励文化事业单位和人员开发更多面向市场和群众的文艺作品、文化精品和文创产品。</w:t>
      </w:r>
      <w:r>
        <w:rPr>
          <w:rFonts w:hint="eastAsia" w:ascii="楷体_GB2312" w:eastAsia="楷体_GB2312"/>
          <w:color w:val="000000"/>
          <w:sz w:val="32"/>
          <w:szCs w:val="32"/>
        </w:rPr>
        <w:t>（责任单位：</w:t>
      </w:r>
      <w:r>
        <w:rPr>
          <w:rFonts w:hint="eastAsia" w:ascii="楷体_GB2312" w:eastAsia="楷体_GB2312"/>
          <w:color w:val="000000"/>
          <w:kern w:val="2"/>
          <w:sz w:val="32"/>
          <w:szCs w:val="32"/>
        </w:rPr>
        <w:t>省委宣传部、省人力资源</w:t>
      </w:r>
      <w:r>
        <w:rPr>
          <w:rFonts w:hint="eastAsia" w:ascii="楷体_GB2312" w:eastAsia="楷体_GB2312"/>
          <w:color w:val="000000"/>
          <w:kern w:val="2"/>
          <w:sz w:val="32"/>
          <w:szCs w:val="32"/>
          <w:lang w:eastAsia="zh-CN"/>
        </w:rPr>
        <w:t>和</w:t>
      </w:r>
      <w:r>
        <w:rPr>
          <w:rFonts w:hint="eastAsia" w:ascii="楷体_GB2312" w:eastAsia="楷体_GB2312"/>
          <w:color w:val="000000"/>
          <w:kern w:val="2"/>
          <w:sz w:val="32"/>
          <w:szCs w:val="32"/>
        </w:rPr>
        <w:t>社会保障厅、省文化和旅游厅、相关市州）</w:t>
      </w:r>
    </w:p>
    <w:p>
      <w:pPr>
        <w:pStyle w:val="1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auto"/>
        <w:rPr>
          <w:rFonts w:hint="eastAsia" w:ascii="楷体_GB2312" w:hAnsi="Calibri" w:eastAsia="楷体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/>
          <w:color w:val="000000"/>
          <w:sz w:val="32"/>
          <w:szCs w:val="32"/>
        </w:rPr>
        <w:t>十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eastAsia="黑体"/>
          <w:color w:val="000000"/>
          <w:sz w:val="32"/>
          <w:szCs w:val="32"/>
        </w:rPr>
        <w:t>、强化产业人才建设服务。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优化文化创意旅游产业人才服务机制，推进政、产、学、研、金、服、用人才资源精准对接和深度合作，做优数字文化省级专业人才市场，统筹“金种子杯”等平台举办“马栏山杯”全国大学生文旅创新创业大赛等活动。</w:t>
      </w:r>
      <w:r>
        <w:rPr>
          <w:rFonts w:hint="eastAsia" w:ascii="楷体_GB2312" w:hAnsi="Calibri" w:eastAsia="楷体_GB2312" w:cs="Times New Roman"/>
          <w:color w:val="000000"/>
          <w:kern w:val="0"/>
          <w:sz w:val="32"/>
          <w:szCs w:val="32"/>
          <w:lang w:val="en-US" w:eastAsia="zh-CN" w:bidi="ar-SA"/>
        </w:rPr>
        <w:t>（责任单位：省文化和旅游厅、省委宣传部、省人力资源和社会保障厅、省发展改革委、省教育厅、马栏山视频文创产业园、相关市州）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auto"/>
      </w:pPr>
      <w:r>
        <w:rPr>
          <w:rFonts w:hint="eastAsia" w:ascii="黑体" w:eastAsia="黑体"/>
          <w:color w:val="000000"/>
          <w:sz w:val="32"/>
          <w:szCs w:val="32"/>
        </w:rPr>
        <w:t>十</w:t>
      </w:r>
      <w:r>
        <w:rPr>
          <w:rFonts w:hint="eastAsia" w:ascii="黑体" w:eastAsia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eastAsia="黑体"/>
          <w:color w:val="000000"/>
          <w:sz w:val="32"/>
          <w:szCs w:val="32"/>
        </w:rPr>
        <w:t>、加大财政资金支持。</w:t>
      </w:r>
      <w:r>
        <w:rPr>
          <w:rFonts w:hint="eastAsia" w:ascii="仿宋_GB2312" w:hAnsi="Calibri" w:eastAsia="仿宋_GB2312" w:cs="Droid Sans"/>
          <w:color w:val="000000"/>
          <w:kern w:val="2"/>
          <w:sz w:val="32"/>
          <w:szCs w:val="32"/>
          <w:lang w:val="en-US" w:eastAsia="zh-CN" w:bidi="ar-SA"/>
        </w:rPr>
        <w:t>省财政会同相关部门统筹金芙蓉投资基金、专项债券、专项资金等政策工具，加大对上述项目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保障力度。鼓励有条件的市、县加大财政资金投入，支持本地和本级相关目标举措实施。</w:t>
      </w:r>
      <w:r>
        <w:rPr>
          <w:rFonts w:hint="eastAsia" w:ascii="楷体_GB2312" w:eastAsia="楷体_GB2312"/>
          <w:color w:val="000000"/>
          <w:sz w:val="32"/>
          <w:szCs w:val="32"/>
        </w:rPr>
        <w:t>（责任单位：省财政厅、省委宣传部、省发展改革委、省文化和旅游厅、相关市州）</w:t>
      </w:r>
    </w:p>
    <w:sectPr>
      <w:footerReference r:id="rId3" w:type="default"/>
      <w:pgSz w:w="11906" w:h="16838"/>
      <w:pgMar w:top="2098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zE5M2MxYmE1MjFhN2NhNzY0OGUxZTYzNzMyNjUifQ=="/>
  </w:docVars>
  <w:rsids>
    <w:rsidRoot w:val="1D13783F"/>
    <w:rsid w:val="022E26E7"/>
    <w:rsid w:val="051FDFFB"/>
    <w:rsid w:val="0B17169F"/>
    <w:rsid w:val="0E232615"/>
    <w:rsid w:val="0E830DF1"/>
    <w:rsid w:val="0F7B730F"/>
    <w:rsid w:val="0FEFA7A7"/>
    <w:rsid w:val="10E8594F"/>
    <w:rsid w:val="11062B74"/>
    <w:rsid w:val="113B2A6B"/>
    <w:rsid w:val="11731A83"/>
    <w:rsid w:val="126B3B83"/>
    <w:rsid w:val="12BC008C"/>
    <w:rsid w:val="15171E7D"/>
    <w:rsid w:val="16403896"/>
    <w:rsid w:val="17233640"/>
    <w:rsid w:val="1AFC32B5"/>
    <w:rsid w:val="1BEA1AFC"/>
    <w:rsid w:val="1D13783F"/>
    <w:rsid w:val="1EEB1F60"/>
    <w:rsid w:val="20993241"/>
    <w:rsid w:val="211B6C6B"/>
    <w:rsid w:val="21D85E85"/>
    <w:rsid w:val="2243E14C"/>
    <w:rsid w:val="22AD2D70"/>
    <w:rsid w:val="23381264"/>
    <w:rsid w:val="24CA7247"/>
    <w:rsid w:val="26320A21"/>
    <w:rsid w:val="28EB1F3C"/>
    <w:rsid w:val="29F247C1"/>
    <w:rsid w:val="2ABF1945"/>
    <w:rsid w:val="2D9676C0"/>
    <w:rsid w:val="2E21393F"/>
    <w:rsid w:val="2F8F0C3E"/>
    <w:rsid w:val="32D3359A"/>
    <w:rsid w:val="3333739F"/>
    <w:rsid w:val="33681C2B"/>
    <w:rsid w:val="33E8C40B"/>
    <w:rsid w:val="3717234E"/>
    <w:rsid w:val="37571CBE"/>
    <w:rsid w:val="37B2E033"/>
    <w:rsid w:val="38D7084C"/>
    <w:rsid w:val="3930651E"/>
    <w:rsid w:val="39ED63FE"/>
    <w:rsid w:val="3A4E62FA"/>
    <w:rsid w:val="3BE0267A"/>
    <w:rsid w:val="3D5C02B3"/>
    <w:rsid w:val="3DEDE06B"/>
    <w:rsid w:val="3F8747B9"/>
    <w:rsid w:val="3FFF5353"/>
    <w:rsid w:val="426FCE7A"/>
    <w:rsid w:val="43B41C1E"/>
    <w:rsid w:val="45B1468A"/>
    <w:rsid w:val="45E6021A"/>
    <w:rsid w:val="48183A77"/>
    <w:rsid w:val="49894829"/>
    <w:rsid w:val="4BC7B5D7"/>
    <w:rsid w:val="4D1E7A53"/>
    <w:rsid w:val="4D833E1A"/>
    <w:rsid w:val="51071632"/>
    <w:rsid w:val="51B3730C"/>
    <w:rsid w:val="53B4646A"/>
    <w:rsid w:val="54FF601C"/>
    <w:rsid w:val="57017996"/>
    <w:rsid w:val="575079D7"/>
    <w:rsid w:val="575E1141"/>
    <w:rsid w:val="581E4A16"/>
    <w:rsid w:val="58CC00AC"/>
    <w:rsid w:val="58CE5794"/>
    <w:rsid w:val="5A4B3D7D"/>
    <w:rsid w:val="5BBD201A"/>
    <w:rsid w:val="5BC062C4"/>
    <w:rsid w:val="5CCD2A6D"/>
    <w:rsid w:val="5D147013"/>
    <w:rsid w:val="5D2109E2"/>
    <w:rsid w:val="5FFFD30A"/>
    <w:rsid w:val="606A2DC8"/>
    <w:rsid w:val="6370DFF2"/>
    <w:rsid w:val="638E7BD7"/>
    <w:rsid w:val="652377A0"/>
    <w:rsid w:val="67147749"/>
    <w:rsid w:val="67CE6C14"/>
    <w:rsid w:val="67DFA696"/>
    <w:rsid w:val="68285F89"/>
    <w:rsid w:val="69533121"/>
    <w:rsid w:val="6A9D3FAD"/>
    <w:rsid w:val="6B7A93A9"/>
    <w:rsid w:val="6CAFD8BF"/>
    <w:rsid w:val="6DDB28FF"/>
    <w:rsid w:val="6DFBFCA3"/>
    <w:rsid w:val="6EBF479A"/>
    <w:rsid w:val="6F697756"/>
    <w:rsid w:val="70B87936"/>
    <w:rsid w:val="70D25448"/>
    <w:rsid w:val="72757BAB"/>
    <w:rsid w:val="7277D30D"/>
    <w:rsid w:val="73BE2A45"/>
    <w:rsid w:val="73F70C92"/>
    <w:rsid w:val="74134338"/>
    <w:rsid w:val="752175FB"/>
    <w:rsid w:val="75811AE7"/>
    <w:rsid w:val="76D53D68"/>
    <w:rsid w:val="77ABBB2E"/>
    <w:rsid w:val="77CF0B0F"/>
    <w:rsid w:val="78A827C9"/>
    <w:rsid w:val="793F5F57"/>
    <w:rsid w:val="7A6C2327"/>
    <w:rsid w:val="7B6D04C7"/>
    <w:rsid w:val="7B7387DF"/>
    <w:rsid w:val="7B7E4ED2"/>
    <w:rsid w:val="7BAC2D3A"/>
    <w:rsid w:val="7C040F73"/>
    <w:rsid w:val="7CA37284"/>
    <w:rsid w:val="7D9FBE0B"/>
    <w:rsid w:val="7F345F8E"/>
    <w:rsid w:val="7F3B0E02"/>
    <w:rsid w:val="7F4F9574"/>
    <w:rsid w:val="7FF609F8"/>
    <w:rsid w:val="7FFFAFD0"/>
    <w:rsid w:val="95B1577C"/>
    <w:rsid w:val="9BFE792B"/>
    <w:rsid w:val="B2D94ACD"/>
    <w:rsid w:val="BE9BB840"/>
    <w:rsid w:val="CF83BC9D"/>
    <w:rsid w:val="D8FF094D"/>
    <w:rsid w:val="DBC74AA5"/>
    <w:rsid w:val="DDA729F2"/>
    <w:rsid w:val="DFFF883C"/>
    <w:rsid w:val="EBFA5B2B"/>
    <w:rsid w:val="EDEFF517"/>
    <w:rsid w:val="EFAECF1E"/>
    <w:rsid w:val="EFBF4F5B"/>
    <w:rsid w:val="F3489CEA"/>
    <w:rsid w:val="F5F4EB86"/>
    <w:rsid w:val="F7B5282A"/>
    <w:rsid w:val="F87F6C5B"/>
    <w:rsid w:val="FBDFB6D7"/>
    <w:rsid w:val="FBFF18C2"/>
    <w:rsid w:val="FFDBA5BC"/>
    <w:rsid w:val="FFFE51C2"/>
    <w:rsid w:val="FFFF5F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  <w:rPr>
      <w:rFonts w:ascii="Times New Roman" w:hAnsi="Times New Roman"/>
    </w:rPr>
  </w:style>
  <w:style w:type="paragraph" w:styleId="3">
    <w:name w:val="Body Text"/>
    <w:basedOn w:val="1"/>
    <w:next w:val="4"/>
    <w:qFormat/>
    <w:uiPriority w:val="1"/>
    <w:pPr>
      <w:spacing w:before="1"/>
      <w:ind w:left="120" w:right="115" w:firstLine="480"/>
    </w:pPr>
    <w:rPr>
      <w:rFonts w:ascii="宋体" w:hAnsi="宋体" w:cs="宋体"/>
      <w:sz w:val="24"/>
      <w:lang w:val="zh-CN" w:bidi="zh-CN"/>
    </w:rPr>
  </w:style>
  <w:style w:type="paragraph" w:customStyle="1" w:styleId="4">
    <w:name w:val="正文首行缩进1"/>
    <w:basedOn w:val="5"/>
    <w:next w:val="1"/>
    <w:qFormat/>
    <w:uiPriority w:val="0"/>
    <w:pPr>
      <w:ind w:firstLine="664"/>
    </w:pPr>
  </w:style>
  <w:style w:type="paragraph" w:customStyle="1" w:styleId="5">
    <w:name w:val="正文文本1"/>
    <w:basedOn w:val="6"/>
    <w:next w:val="4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6">
    <w:name w:val="正文1"/>
    <w:next w:val="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7">
    <w:name w:val="Body Text First Indent1"/>
    <w:basedOn w:val="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0"/>
      <w:ind w:firstLine="664"/>
    </w:pPr>
    <w:rPr>
      <w:rFonts w:ascii="仿宋_GB2312" w:hAnsi="Calibri" w:eastAsia="仿宋_GB2312" w:cs="Times New Roma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21"/>
    <w:basedOn w:val="12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11"/>
    <w:basedOn w:val="12"/>
    <w:qFormat/>
    <w:uiPriority w:val="0"/>
    <w:rPr>
      <w:rFonts w:ascii="Arial" w:hAnsi="Arial" w:cs="Arial"/>
      <w:color w:val="000000"/>
      <w:sz w:val="32"/>
      <w:szCs w:val="32"/>
      <w:u w:val="none"/>
    </w:rPr>
  </w:style>
  <w:style w:type="paragraph" w:customStyle="1" w:styleId="15">
    <w:name w:val="列出段落1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引文目录1"/>
    <w:qFormat/>
    <w:uiPriority w:val="0"/>
    <w:pPr>
      <w:widowControl w:val="0"/>
      <w:ind w:left="200" w:leftChars="200"/>
      <w:jc w:val="both"/>
    </w:pPr>
    <w:rPr>
      <w:rFonts w:ascii="Calibri" w:hAnsi="Calibri" w:eastAsia="宋体" w:cs="Droid Sans"/>
      <w:kern w:val="2"/>
      <w:sz w:val="21"/>
      <w:szCs w:val="24"/>
      <w:lang w:val="en-US" w:eastAsia="zh-CN" w:bidi="ar-SA"/>
    </w:rPr>
  </w:style>
  <w:style w:type="paragraph" w:customStyle="1" w:styleId="17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3502</Words>
  <Characters>3544</Characters>
  <Lines>0</Lines>
  <Paragraphs>0</Paragraphs>
  <TotalTime>10</TotalTime>
  <ScaleCrop>false</ScaleCrop>
  <LinksUpToDate>false</LinksUpToDate>
  <CharactersWithSpaces>3569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2022-07-13T22:49:00Z</dcterms:created>
  <dc:creator>静香</dc:creator>
  <cp:lastModifiedBy>greatwall</cp:lastModifiedBy>
  <cp:lastPrinted>2025-11-20T18:59:00Z</cp:lastPrinted>
  <dcterms:modified xsi:type="dcterms:W3CDTF">2026-01-23T09:51:13Z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F6AFB93B5AC0BB7311D4726934500458</vt:lpwstr>
  </property>
</Properties>
</file>