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3</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年产600吨虾尾、200吨清水虾、100吨调味虾改扩建项目环境影响报告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湖南华誉食品加工有限公司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年产600吨虾尾、200吨清水虾、100吨调味虾改扩建项目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湖南华誉食品加工有限公司利用华容县小龙虾养殖产地的优势，于2018年11月租用华容县新河乡新合村六组约17405.4m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用地（包括租赁个人李建华拥有完全产权的厂区房屋等地4085m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、停车坪2000m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及洞庭旺旺小龙虾加工厂11320.4m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进行龙虾加工项目建设；现为扩大市场，拟投资800万元在现有厂区对原项目进行改扩建，产品方案由年产150吨清水虾、150吨虾尾更改为年产600吨虾尾、200吨清水虾、100吨调味虾，不新增用地，设备主要变化为：新增一条选虾线，新增一条蒸煮冷却线，新增1条油炸卤制线。并对锅炉进行更新，拆除现有2台2t/h生物质蒸汽锅炉，升级为1台4t/h生物质蒸汽锅炉、1台6t/h生物质蒸汽锅炉，采用成型生物质颗粒作为燃料，用于生产线供汽。项目符合国家产业政策、符合“三线一单”生态环境分区管控要求，根据</w:t>
      </w:r>
      <w:bookmarkStart w:id="2" w:name="OLE_LINK16"/>
      <w:r>
        <w:rPr>
          <w:rFonts w:hint="eastAsia" w:ascii="仿宋" w:hAnsi="仿宋" w:eastAsia="仿宋" w:cs="宋体"/>
          <w:sz w:val="32"/>
          <w:szCs w:val="32"/>
          <w:lang w:val="en-US" w:eastAsia="zh-CN"/>
        </w:rPr>
        <w:t>湖南翔鹏环保科技有限公司</w:t>
      </w:r>
      <w:r>
        <w:rPr>
          <w:rFonts w:hint="eastAsia" w:ascii="仿宋" w:hAnsi="仿宋" w:eastAsia="仿宋"/>
          <w:sz w:val="32"/>
          <w:szCs w:val="32"/>
          <w:lang w:val="en-US" w:eastAsia="zh-CN"/>
        </w:rPr>
        <w:t>编制的《年产600吨虾尾、200吨清水虾、100吨调味虾改扩建项目环境影响报告表》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1、切实做好施工期环境保护工作。落实施工期间各项污染防治措施，减小施工期间施工噪声、废气、废水及固体废物等对周边环境产生的不利影响。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严格按照“雨污分流、污污分流”的原则规范建设厂区雨水及污水收集设施。生产废水经自建污水处理站，设计规模为400吨/天（收集池+调节池+混凝气浮+水解酸化+两级A/O+二沉池），处理达到《污水排入城镇下水道水质标准》（GB 31962-2015）表1中B级标准和《食品加工制造业水污染物排放标准》（GB 46817—2025）表1间接排放要求较严值后经污水管网排至新河乡污水处理厂处理达标后外排；锅炉废水排入污水管网；生活污水经隔油池、化粪池处理后通过污水管网排至新河乡污水处理厂处理。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3、加强大气污染防治。严格落实报告表中提出的各项废气污染防治措施，加强车间废气收集和处理。锅炉废气经一套处理设施（旋风除尘+袋式除尘）处理后合并至一根40米高排气筒（DA001）；油炸废气经过静电复合式油烟净化器处理后，油烟废气通过15米高排气筒DA002排放；食堂油烟废气经过机械式油烟净化器净化后排放；生物质锅炉废气执行《锅炉大气污染物排放标准》（GB13271-2014）表3燃煤锅炉大气污染物特别排放限值标准；油炸废气、厨房油烟执行《饮食业油烟排放标准》（试行）（GB18483-2001）小型标准；蒸煮废气经抽风收集后高于屋顶排放；加强车间换气，原料进厂后及时进行筛选等处理，垃圾做到日产日清；设备和地面每日及时清洗、保持干净；污水处理设施采用加盖密闭喷洒生物除臭剂等措施进行臭气防治；确保项目恶臭气体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、H</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S、臭气浓度满足《恶臭污染物排放标准》（GB14554-93）中表1中二级新扩改建厂界标准。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加强噪声污染防治。通过合理布局、夜间不作业，选用低噪声设备、部分设备安装消声器、加强噪声设备的基础减振、厂房隔音等措施，确保东、南、西厂界昼间噪声满足《工业企业厂界环境噪声排放标准》（GB12348-2008）2类标准，北厂界昼间噪声满足《工业企业厂界环境噪声排放标准》（GB12348-2008）4类标准，敏感目标噪声满足《声环境质量标准》（GB3096-2008）4a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规范落实工业固废管理措施。根据国家和地方有关规定，按照“减量化、资源化、无害化”原则，对固体废物进行分类收集、处理和处置，并建立固体废物产生、贮存、处置管理台账，落实危险废物转移联单制度。杂质与生活垃圾一起交由环卫部门进行处理；下脚料全部外售周边饲料厂综合利用做饲料用；生物质燃料灰渣由周边农户收集用于蔬菜基地施肥；污泥经脱水干化后交环卫部门运至垃圾填埋场填埋处理；除尘器收集粉尘由周边农户收集用于蔬菜基地施肥；废油渣及油烟净化器收集的废油经收集暂存后交由具备法定资质的餐厨垃圾/废弃食用油脂收运处置单位统一处理；一般固体废物按照《一般工业固体废物贮存和填埋污染控制标准》（GB18599-2020）相关要求进行贮存。废润滑油和废含油劳保用品经收集后委托有资质单位处置；危险废物按照《危险废物贮存污染控制标准》（GB18597-2023）相关要求进行贮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7、加强环境风险防范。严格落实报告表提出的各项环境风险防范措施，进一步强化风险管理和事故的预防，做好环境风险的</w:t>
      </w:r>
      <w:bookmarkStart w:id="3" w:name="_GoBack"/>
      <w:bookmarkEnd w:id="3"/>
      <w:r>
        <w:rPr>
          <w:rFonts w:hint="eastAsia" w:ascii="仿宋" w:hAnsi="仿宋" w:eastAsia="仿宋"/>
          <w:sz w:val="32"/>
          <w:szCs w:val="32"/>
          <w:lang w:val="en-US" w:eastAsia="zh-CN"/>
        </w:rPr>
        <w:t>巡查、监控等管理，杜绝环境风险事故发生。按相关要求进行企业突发环境事件应急预案的修订和备案。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8、严格落实“以新带老”的环保措施。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四、本项目扩建后污染物排放总量控制指标为：SO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≤0.6t/a、NO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≤1.0t/a、COD≤1.3t/a、NH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-N≤0.2t/a。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五、项目环境影响评价文件经批准后，项目的性质、规模、地点、采用的生产工艺或者防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六、建设项目的日常环境监管工作由岳阳市华容生态环境保护综合行政执法大队负责。</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2026年3月24日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F0269"/>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8"/>
    <w:qFormat/>
    <w:uiPriority w:val="9"/>
    <w:pPr>
      <w:spacing w:before="200" w:after="80"/>
      <w:ind w:firstLine="0"/>
      <w:outlineLvl w:val="4"/>
    </w:pPr>
    <w:rPr>
      <w:rFonts w:ascii="Cambria" w:hAnsi="Cambria"/>
      <w:color w:val="4F81BD"/>
    </w:rPr>
  </w:style>
  <w:style w:type="paragraph" w:styleId="13">
    <w:name w:val="heading 6"/>
    <w:basedOn w:val="1"/>
    <w:next w:val="1"/>
    <w:link w:val="49"/>
    <w:qFormat/>
    <w:uiPriority w:val="9"/>
    <w:pPr>
      <w:spacing w:before="280" w:after="100"/>
      <w:ind w:firstLine="0"/>
      <w:outlineLvl w:val="5"/>
    </w:pPr>
    <w:rPr>
      <w:rFonts w:ascii="Cambria" w:hAnsi="Cambria"/>
      <w:i/>
      <w:iCs/>
      <w:color w:val="4F81BD"/>
    </w:rPr>
  </w:style>
  <w:style w:type="paragraph" w:styleId="14">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qFormat/>
    <w:uiPriority w:val="99"/>
    <w:pPr>
      <w:ind w:firstLine="420"/>
    </w:pPr>
  </w:style>
  <w:style w:type="paragraph" w:styleId="3">
    <w:name w:val="Body Text Indent"/>
    <w:basedOn w:val="1"/>
    <w:next w:val="4"/>
    <w:qFormat/>
    <w:uiPriority w:val="99"/>
    <w:pPr>
      <w:ind w:left="420" w:leftChars="200"/>
    </w:pPr>
  </w:style>
  <w:style w:type="paragraph" w:customStyle="1" w:styleId="4">
    <w:name w:val="样式 正文文本缩进 + 行距: 1.5 倍行距"/>
    <w:basedOn w:val="3"/>
    <w:qFormat/>
    <w:uiPriority w:val="0"/>
    <w:pPr>
      <w:spacing w:before="0" w:after="120"/>
      <w:ind w:left="90" w:leftChars="32" w:firstLine="560" w:firstLineChars="200"/>
    </w:pPr>
    <w:rPr>
      <w:rFonts w:ascii="Times New Roman" w:cs="宋体"/>
    </w:rPr>
  </w:style>
  <w:style w:type="paragraph" w:styleId="5">
    <w:name w:val="Body Text First Indent"/>
    <w:basedOn w:val="6"/>
    <w:next w:val="2"/>
    <w:qFormat/>
    <w:uiPriority w:val="99"/>
    <w:pPr>
      <w:spacing w:line="240" w:lineRule="auto"/>
      <w:ind w:firstLine="420" w:firstLineChars="100"/>
    </w:pPr>
    <w:rPr>
      <w:sz w:val="21"/>
    </w:rPr>
  </w:style>
  <w:style w:type="paragraph" w:styleId="6">
    <w:name w:val="Body Text"/>
    <w:basedOn w:val="1"/>
    <w:next w:val="1"/>
    <w:qFormat/>
    <w:uiPriority w:val="99"/>
    <w:pPr>
      <w:spacing w:line="400" w:lineRule="atLeast"/>
    </w:pPr>
    <w:rPr>
      <w:sz w:val="3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2"/>
    <w:qFormat/>
    <w:uiPriority w:val="99"/>
    <w:rPr>
      <w:sz w:val="18"/>
      <w:szCs w:val="18"/>
    </w:rPr>
  </w:style>
  <w:style w:type="paragraph" w:styleId="21">
    <w:name w:val="footer"/>
    <w:basedOn w:val="1"/>
    <w:link w:val="71"/>
    <w:qFormat/>
    <w:uiPriority w:val="99"/>
    <w:pPr>
      <w:tabs>
        <w:tab w:val="center" w:pos="4153"/>
        <w:tab w:val="right" w:pos="8306"/>
      </w:tabs>
      <w:snapToGrid w:val="0"/>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4"/>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Date1"/>
    <w:basedOn w:val="1"/>
    <w:next w:val="1"/>
    <w:qFormat/>
    <w:uiPriority w:val="0"/>
    <w:pPr>
      <w:adjustRightInd w:val="0"/>
      <w:snapToGrid/>
      <w:spacing w:line="240" w:lineRule="auto"/>
      <w:jc w:val="both"/>
      <w:textAlignment w:val="baseline"/>
    </w:pPr>
    <w:rPr>
      <w:sz w:val="21"/>
      <w:szCs w:val="21"/>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8"/>
    <w:link w:val="7"/>
    <w:qFormat/>
    <w:uiPriority w:val="9"/>
    <w:rPr>
      <w:rFonts w:ascii="Cambria" w:hAnsi="Cambria" w:eastAsia="宋体" w:cs="宋体"/>
      <w:b/>
      <w:bCs/>
      <w:color w:val="376092"/>
      <w:sz w:val="24"/>
      <w:szCs w:val="24"/>
    </w:rPr>
  </w:style>
  <w:style w:type="character" w:customStyle="1" w:styleId="45">
    <w:name w:val="标题 2 Char"/>
    <w:basedOn w:val="28"/>
    <w:link w:val="8"/>
    <w:qFormat/>
    <w:uiPriority w:val="9"/>
    <w:rPr>
      <w:rFonts w:ascii="Cambria" w:hAnsi="Cambria" w:eastAsia="宋体" w:cs="宋体"/>
      <w:color w:val="376092"/>
      <w:sz w:val="24"/>
      <w:szCs w:val="24"/>
    </w:rPr>
  </w:style>
  <w:style w:type="character" w:customStyle="1" w:styleId="46">
    <w:name w:val="标题 3 Char"/>
    <w:basedOn w:val="28"/>
    <w:link w:val="9"/>
    <w:qFormat/>
    <w:uiPriority w:val="9"/>
    <w:rPr>
      <w:rFonts w:ascii="Cambria" w:hAnsi="Cambria" w:eastAsia="宋体" w:cs="宋体"/>
      <w:color w:val="4F81BD"/>
      <w:sz w:val="24"/>
      <w:szCs w:val="24"/>
    </w:rPr>
  </w:style>
  <w:style w:type="character" w:customStyle="1" w:styleId="47">
    <w:name w:val="标题 4 Char"/>
    <w:basedOn w:val="28"/>
    <w:link w:val="10"/>
    <w:qFormat/>
    <w:uiPriority w:val="9"/>
    <w:rPr>
      <w:rFonts w:ascii="Cambria" w:hAnsi="Cambria" w:eastAsia="宋体" w:cs="宋体"/>
      <w:i/>
      <w:iCs/>
      <w:color w:val="4F81BD"/>
      <w:sz w:val="24"/>
      <w:szCs w:val="24"/>
    </w:rPr>
  </w:style>
  <w:style w:type="character" w:customStyle="1" w:styleId="48">
    <w:name w:val="标题 5 Char"/>
    <w:basedOn w:val="28"/>
    <w:link w:val="12"/>
    <w:qFormat/>
    <w:uiPriority w:val="9"/>
    <w:rPr>
      <w:rFonts w:ascii="Cambria" w:hAnsi="Cambria" w:eastAsia="宋体" w:cs="宋体"/>
      <w:color w:val="4F81BD"/>
    </w:rPr>
  </w:style>
  <w:style w:type="character" w:customStyle="1" w:styleId="49">
    <w:name w:val="标题 6 Char"/>
    <w:basedOn w:val="28"/>
    <w:link w:val="13"/>
    <w:qFormat/>
    <w:uiPriority w:val="9"/>
    <w:rPr>
      <w:rFonts w:ascii="Cambria" w:hAnsi="Cambria" w:eastAsia="宋体" w:cs="宋体"/>
      <w:i/>
      <w:iCs/>
      <w:color w:val="4F81BD"/>
    </w:rPr>
  </w:style>
  <w:style w:type="character" w:customStyle="1" w:styleId="50">
    <w:name w:val="标题 7 Char"/>
    <w:basedOn w:val="28"/>
    <w:link w:val="14"/>
    <w:qFormat/>
    <w:uiPriority w:val="9"/>
    <w:rPr>
      <w:rFonts w:ascii="Cambria" w:hAnsi="Cambria" w:eastAsia="宋体" w:cs="宋体"/>
      <w:b/>
      <w:bCs/>
      <w:color w:val="9BBB59"/>
      <w:sz w:val="20"/>
      <w:szCs w:val="20"/>
    </w:rPr>
  </w:style>
  <w:style w:type="character" w:customStyle="1" w:styleId="51">
    <w:name w:val="标题 8 Char"/>
    <w:basedOn w:val="28"/>
    <w:link w:val="15"/>
    <w:qFormat/>
    <w:uiPriority w:val="9"/>
    <w:rPr>
      <w:rFonts w:ascii="Cambria" w:hAnsi="Cambria" w:eastAsia="宋体" w:cs="宋体"/>
      <w:b/>
      <w:bCs/>
      <w:i/>
      <w:iCs/>
      <w:color w:val="9BBB59"/>
      <w:sz w:val="20"/>
      <w:szCs w:val="20"/>
    </w:rPr>
  </w:style>
  <w:style w:type="character" w:customStyle="1" w:styleId="52">
    <w:name w:val="标题 9 Char"/>
    <w:basedOn w:val="28"/>
    <w:link w:val="16"/>
    <w:qFormat/>
    <w:uiPriority w:val="9"/>
    <w:rPr>
      <w:rFonts w:ascii="Cambria" w:hAnsi="Cambria" w:eastAsia="宋体" w:cs="宋体"/>
      <w:i/>
      <w:iCs/>
      <w:color w:val="9BBB59"/>
      <w:sz w:val="20"/>
      <w:szCs w:val="20"/>
    </w:rPr>
  </w:style>
  <w:style w:type="character" w:customStyle="1" w:styleId="53">
    <w:name w:val="标题 Char"/>
    <w:basedOn w:val="28"/>
    <w:link w:val="27"/>
    <w:qFormat/>
    <w:uiPriority w:val="10"/>
    <w:rPr>
      <w:rFonts w:ascii="Cambria" w:hAnsi="Cambria" w:eastAsia="宋体" w:cs="宋体"/>
      <w:i/>
      <w:iCs/>
      <w:color w:val="254061"/>
      <w:sz w:val="60"/>
      <w:szCs w:val="60"/>
    </w:rPr>
  </w:style>
  <w:style w:type="character" w:customStyle="1" w:styleId="54">
    <w:name w:val="副标题 Char"/>
    <w:basedOn w:val="28"/>
    <w:link w:val="23"/>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8"/>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8"/>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8"/>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8"/>
    <w:qFormat/>
    <w:uiPriority w:val="32"/>
    <w:rPr>
      <w:b/>
      <w:bCs/>
      <w:color w:val="77933C"/>
      <w:u w:val="single" w:color="9BBB59"/>
    </w:rPr>
  </w:style>
  <w:style w:type="character" w:customStyle="1" w:styleId="66">
    <w:name w:val="书籍标题1"/>
    <w:basedOn w:val="28"/>
    <w:qFormat/>
    <w:uiPriority w:val="33"/>
    <w:rPr>
      <w:rFonts w:ascii="Cambria" w:hAnsi="Cambria" w:eastAsia="宋体" w:cs="宋体"/>
      <w:b/>
      <w:bCs/>
      <w:i/>
      <w:iCs/>
      <w:color w:val="auto"/>
    </w:rPr>
  </w:style>
  <w:style w:type="paragraph" w:customStyle="1" w:styleId="67">
    <w:name w:val="TOC 标题1"/>
    <w:basedOn w:val="7"/>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8"/>
    <w:link w:val="22"/>
    <w:qFormat/>
    <w:uiPriority w:val="99"/>
    <w:rPr>
      <w:sz w:val="18"/>
      <w:szCs w:val="18"/>
    </w:rPr>
  </w:style>
  <w:style w:type="character" w:customStyle="1" w:styleId="71">
    <w:name w:val="页脚 Char"/>
    <w:basedOn w:val="28"/>
    <w:link w:val="21"/>
    <w:qFormat/>
    <w:uiPriority w:val="99"/>
    <w:rPr>
      <w:sz w:val="18"/>
      <w:szCs w:val="18"/>
    </w:rPr>
  </w:style>
  <w:style w:type="character" w:customStyle="1" w:styleId="72">
    <w:name w:val="批注框文本 Char"/>
    <w:basedOn w:val="28"/>
    <w:link w:val="20"/>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5"/>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2</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2026-03-24T02:03:16Z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