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br w:type="page"/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ind w:left="0"/>
        <w:textAlignment w:val="auto"/>
        <w:rPr>
          <w:rFonts w:hint="eastAsia" w:ascii="黑体" w:hAnsi="黑体" w:eastAsia="黑体" w:cs="黑体"/>
          <w:spacing w:val="-4"/>
          <w:sz w:val="31"/>
          <w:szCs w:val="31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0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0"/>
          <w:sz w:val="44"/>
          <w:szCs w:val="44"/>
        </w:rPr>
        <w:t>2023年度部门整体支出绩效评价基础数据表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exact"/>
        <w:textAlignment w:val="auto"/>
      </w:pPr>
    </w:p>
    <w:tbl>
      <w:tblPr>
        <w:tblStyle w:val="16"/>
        <w:tblW w:w="9277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3419"/>
        <w:gridCol w:w="964"/>
        <w:gridCol w:w="965"/>
        <w:gridCol w:w="1"/>
        <w:gridCol w:w="985"/>
        <w:gridCol w:w="986"/>
        <w:gridCol w:w="978"/>
        <w:gridCol w:w="979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639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财政供养人员情况（人）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编制数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在职人数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34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34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100%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经费控制情况（万元）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2022年决算数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2023年预算数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2023年决算数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三公经费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0.19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1、公务用车购置和维护经费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其中：公车购置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59" w:firstLineChars="695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公车运行维护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2、出国经费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1050" w:firstLineChars="5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3、公务接待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0.29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0.19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1、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XX项目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、专项资金（每个专项一行）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420" w:firstLineChars="200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事业发展资金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858" w:firstLineChars="409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……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公用经费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147.80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53.37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136.05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其中：办公经费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1.79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2.38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水费、电费、差旅费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1.98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4.6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1.54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ind w:left="0" w:leftChars="0" w:firstLine="1478" w:firstLineChars="704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会议费、培训费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0.76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4.28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1.42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政府采购金额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127.0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364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部门基本支出预算调整</w:t>
            </w:r>
          </w:p>
        </w:tc>
        <w:tc>
          <w:tcPr>
            <w:tcW w:w="193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——</w:t>
            </w:r>
          </w:p>
        </w:tc>
        <w:tc>
          <w:tcPr>
            <w:tcW w:w="197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957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08" w:hRule="atLeast"/>
          <w:jc w:val="center"/>
        </w:trPr>
        <w:tc>
          <w:tcPr>
            <w:tcW w:w="34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楼堂馆所控制情况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（2023年完工项目）</w:t>
            </w: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批复规模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（㎡）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实际规模（㎡）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规模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控制率</w:t>
            </w: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预算投资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实际投资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（万元）</w:t>
            </w: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投资概算控制率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64" w:hRule="atLeast"/>
          <w:jc w:val="center"/>
        </w:trPr>
        <w:tc>
          <w:tcPr>
            <w:tcW w:w="34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65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  <w:tc>
          <w:tcPr>
            <w:tcW w:w="986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8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8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97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70" w:hRule="atLeast"/>
          <w:jc w:val="center"/>
        </w:trPr>
        <w:tc>
          <w:tcPr>
            <w:tcW w:w="3419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厉行节约保障措施</w:t>
            </w:r>
          </w:p>
        </w:tc>
        <w:tc>
          <w:tcPr>
            <w:tcW w:w="5858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压缩运行成本，坚持三公经费只减不增。</w:t>
            </w:r>
          </w:p>
          <w:p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2，规范预算管理，不准无预算安排支出。</w:t>
            </w:r>
          </w:p>
        </w:tc>
      </w:tr>
    </w:tbl>
    <w:p>
      <w:pPr>
        <w:rPr>
          <w:rFonts w:hint="eastAsia"/>
          <w:lang w:eastAsia="zh-CN"/>
        </w:rPr>
      </w:pPr>
      <w:r>
        <w:rPr>
          <w:rFonts w:hint="eastAsia"/>
        </w:rPr>
        <w:t>说明：“项目支出” 需要填报基本支出以外的所有项目支出情况，“公用经费”填报基本支出</w:t>
      </w:r>
      <w:r>
        <w:rPr>
          <w:rFonts w:hint="eastAsia"/>
          <w:lang w:eastAsia="zh-CN"/>
        </w:rPr>
        <w:t>中的一般商品和服务支出。</w:t>
      </w:r>
    </w:p>
    <w:p>
      <w:pPr>
        <w:pStyle w:val="2"/>
        <w:rPr>
          <w:rFonts w:hint="eastAsia"/>
          <w:lang w:eastAsia="zh-CN"/>
        </w:rPr>
      </w:pPr>
    </w:p>
    <w:p>
      <w:pPr>
        <w:rPr>
          <w:rFonts w:hint="eastAsia"/>
          <w:lang w:eastAsia="zh-CN"/>
        </w:rPr>
      </w:pPr>
    </w:p>
    <w:p>
      <w:r>
        <w:rPr>
          <w:rFonts w:hint="eastAsia"/>
        </w:rPr>
        <w:t xml:space="preserve">填表人：  </w:t>
      </w:r>
      <w:r>
        <w:rPr>
          <w:rFonts w:hint="eastAsia"/>
          <w:lang w:val="en-US" w:eastAsia="zh-CN"/>
        </w:rPr>
        <w:t>孟玲芳</w:t>
      </w:r>
      <w:r>
        <w:rPr>
          <w:rFonts w:hint="eastAsia"/>
        </w:rPr>
        <w:t xml:space="preserve">      填报日期：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   联系电话：     单位负责人签字：</w:t>
      </w:r>
    </w:p>
    <w:p>
      <w:pPr>
        <w:rPr>
          <w:spacing w:val="-13"/>
          <w:sz w:val="22"/>
          <w:szCs w:val="22"/>
        </w:rPr>
      </w:pPr>
      <w:r>
        <w:rPr>
          <w:spacing w:val="-13"/>
          <w:sz w:val="22"/>
          <w:szCs w:val="22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default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3</w:t>
      </w:r>
    </w:p>
    <w:p>
      <w:pPr>
        <w:spacing w:line="251" w:lineRule="auto"/>
        <w:rPr>
          <w:rFonts w:ascii="Arial"/>
          <w:sz w:val="21"/>
        </w:rPr>
      </w:pPr>
    </w:p>
    <w:p>
      <w:pPr>
        <w:spacing w:line="251" w:lineRule="auto"/>
        <w:rPr>
          <w:rFonts w:ascii="Arial"/>
          <w:sz w:val="21"/>
        </w:rPr>
      </w:pPr>
    </w:p>
    <w:p>
      <w:pPr>
        <w:rPr>
          <w:rFonts w:ascii="Arial"/>
          <w:sz w:val="21"/>
        </w:rPr>
      </w:pPr>
    </w:p>
    <w:p>
      <w:pPr>
        <w:pStyle w:val="2"/>
      </w:pPr>
    </w:p>
    <w:p/>
    <w:p>
      <w:pPr>
        <w:spacing w:before="223" w:line="218" w:lineRule="auto"/>
        <w:ind w:left="1384"/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b/>
          <w:bCs/>
          <w:spacing w:val="-1"/>
          <w:sz w:val="44"/>
          <w:szCs w:val="44"/>
          <w:lang w:val="en-US" w:eastAsia="zh-CN"/>
        </w:rPr>
        <w:t>石山矶</w:t>
      </w:r>
      <w:r>
        <w:rPr>
          <w:rFonts w:hint="eastAsia" w:ascii="宋体" w:hAnsi="宋体" w:eastAsia="宋体" w:cs="宋体"/>
          <w:b/>
          <w:bCs/>
          <w:spacing w:val="-1"/>
          <w:sz w:val="44"/>
          <w:szCs w:val="44"/>
          <w:lang w:eastAsia="zh-CN"/>
        </w:rPr>
        <w:t>电力排灌站</w:t>
      </w:r>
    </w:p>
    <w:p>
      <w:pPr>
        <w:spacing w:before="223" w:line="218" w:lineRule="auto"/>
        <w:ind w:firstLine="2199" w:firstLineChars="500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-1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-3"/>
          <w:sz w:val="44"/>
          <w:szCs w:val="44"/>
        </w:rPr>
        <w:t>绩效自评报告</w:t>
      </w:r>
    </w:p>
    <w:p>
      <w:pPr>
        <w:spacing w:line="243" w:lineRule="auto"/>
        <w:rPr>
          <w:rFonts w:hint="eastAsia" w:ascii="宋体" w:hAnsi="宋体" w:eastAsia="宋体" w:cs="宋体"/>
          <w:b/>
          <w:bCs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pStyle w:val="2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3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spacing w:line="244" w:lineRule="auto"/>
        <w:rPr>
          <w:rFonts w:ascii="Arial"/>
          <w:sz w:val="21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val="en-US" w:eastAsia="zh-CN"/>
        </w:rPr>
        <w:t>石山矶</w:t>
      </w:r>
      <w:r>
        <w:rPr>
          <w:rFonts w:hint="eastAsia" w:ascii="方正小标宋简体" w:hAnsi="方正小标宋简体" w:eastAsia="方正小标宋简体" w:cs="方正小标宋简体"/>
          <w:b w:val="0"/>
          <w:bCs w:val="0"/>
          <w:spacing w:val="-1"/>
          <w:sz w:val="36"/>
          <w:szCs w:val="36"/>
          <w:u w:val="single" w:color="auto"/>
          <w:lang w:eastAsia="zh-CN"/>
        </w:rPr>
        <w:t>电力排灌站</w:t>
      </w:r>
      <w:r>
        <w:rPr>
          <w:rFonts w:hint="eastAsia" w:ascii="仿宋_GB2312" w:hAnsi="仿宋_GB2312" w:eastAsia="仿宋_GB2312" w:cs="仿宋_GB2312"/>
          <w:sz w:val="36"/>
          <w:szCs w:val="36"/>
          <w:u w:val="single" w:color="auto"/>
        </w:rPr>
        <w:t xml:space="preserve"> </w:t>
      </w:r>
    </w:p>
    <w:p>
      <w:pPr>
        <w:spacing w:before="228" w:line="222" w:lineRule="auto"/>
        <w:ind w:firstLine="3952" w:firstLineChars="13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 w:firstLine="672" w:firstLineChars="2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r>
        <w:br w:type="page"/>
      </w:r>
    </w:p>
    <w:p>
      <w:pPr>
        <w:pStyle w:val="2"/>
        <w:sectPr>
          <w:footerReference r:id="rId3" w:type="default"/>
          <w:pgSz w:w="11905" w:h="16838"/>
          <w:pgMar w:top="1984" w:right="1701" w:bottom="1984" w:left="1701" w:header="850" w:footer="1587" w:gutter="0"/>
          <w:pgNumType w:fmt="numberInDash" w:start="7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2023年度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  <w:t>华容县</w:t>
      </w:r>
      <w:r>
        <w:rPr>
          <w:rFonts w:hint="eastAsia" w:ascii="宋体" w:hAnsi="宋体" w:cs="宋体"/>
          <w:b/>
          <w:bCs/>
          <w:spacing w:val="6"/>
          <w:sz w:val="44"/>
          <w:szCs w:val="44"/>
          <w:lang w:val="en-US" w:eastAsia="zh-CN"/>
        </w:rPr>
        <w:t>石山矶</w:t>
      </w:r>
      <w:r>
        <w:rPr>
          <w:rFonts w:hint="eastAsia" w:ascii="宋体" w:hAnsi="宋体" w:eastAsia="宋体" w:cs="宋体"/>
          <w:b/>
          <w:bCs/>
          <w:spacing w:val="6"/>
          <w:sz w:val="44"/>
          <w:szCs w:val="44"/>
          <w:lang w:eastAsia="zh-CN"/>
        </w:rPr>
        <w:t>电力排灌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宋体" w:hAnsi="宋体" w:eastAsia="宋体" w:cs="宋体"/>
          <w:b/>
          <w:bCs/>
          <w:sz w:val="44"/>
          <w:szCs w:val="44"/>
        </w:rPr>
      </w:pPr>
      <w:r>
        <w:rPr>
          <w:rFonts w:hint="eastAsia" w:ascii="宋体" w:hAnsi="宋体" w:eastAsia="宋体" w:cs="宋体"/>
          <w:b/>
          <w:bCs/>
          <w:spacing w:val="6"/>
          <w:sz w:val="44"/>
          <w:szCs w:val="44"/>
        </w:rPr>
        <w:t>部门整体支出</w:t>
      </w:r>
      <w:r>
        <w:rPr>
          <w:rFonts w:hint="eastAsia" w:ascii="宋体" w:hAnsi="宋体" w:eastAsia="宋体" w:cs="宋体"/>
          <w:b/>
          <w:bCs/>
          <w:spacing w:val="7"/>
          <w:sz w:val="44"/>
          <w:szCs w:val="44"/>
        </w:rPr>
        <w:t>绩效自评报告</w:t>
      </w:r>
    </w:p>
    <w:p>
      <w:pPr>
        <w:spacing w:line="283" w:lineRule="auto"/>
        <w:rPr>
          <w:rFonts w:ascii="Arial"/>
          <w:sz w:val="21"/>
        </w:rPr>
      </w:pPr>
    </w:p>
    <w:p>
      <w:pPr>
        <w:spacing w:line="284" w:lineRule="auto"/>
        <w:rPr>
          <w:rFonts w:ascii="Arial"/>
          <w:sz w:val="21"/>
        </w:rPr>
      </w:pPr>
    </w:p>
    <w:p>
      <w:pPr>
        <w:pStyle w:val="2"/>
      </w:pPr>
    </w:p>
    <w:p>
      <w:pPr>
        <w:numPr>
          <w:ilvl w:val="0"/>
          <w:numId w:val="2"/>
        </w:numPr>
        <w:spacing w:before="101" w:line="228" w:lineRule="auto"/>
        <w:ind w:left="648"/>
        <w:rPr>
          <w:rFonts w:hint="eastAsia" w:ascii="黑体" w:hAnsi="黑体" w:eastAsia="黑体" w:cs="黑体"/>
          <w:spacing w:val="5"/>
          <w:sz w:val="32"/>
          <w:szCs w:val="32"/>
        </w:rPr>
      </w:pPr>
      <w:r>
        <w:rPr>
          <w:rFonts w:hint="eastAsia" w:ascii="黑体" w:hAnsi="黑体" w:eastAsia="黑体" w:cs="黑体"/>
          <w:spacing w:val="5"/>
          <w:sz w:val="32"/>
          <w:szCs w:val="32"/>
        </w:rPr>
        <w:t>部门基本情况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华容县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石山矶</w:t>
      </w:r>
      <w:r>
        <w:rPr>
          <w:rFonts w:hint="eastAsia" w:ascii="新宋体" w:hAnsi="新宋体" w:eastAsia="新宋体" w:cs="新宋体"/>
          <w:bCs/>
          <w:sz w:val="28"/>
          <w:szCs w:val="28"/>
        </w:rPr>
        <w:t>电力排灌站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由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石山矶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大泵站，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涛湖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鲇市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宋市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董家铺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泵站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这5个机埠</w:t>
      </w:r>
      <w:r>
        <w:rPr>
          <w:rFonts w:hint="eastAsia" w:ascii="新宋体" w:hAnsi="新宋体" w:eastAsia="新宋体" w:cs="新宋体"/>
          <w:bCs/>
          <w:sz w:val="28"/>
          <w:szCs w:val="28"/>
        </w:rPr>
        <w:t>组建而成。是隶属华容县水利局的二级事业单位。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本单位</w:t>
      </w:r>
      <w:r>
        <w:rPr>
          <w:rFonts w:hint="eastAsia" w:ascii="新宋体" w:hAnsi="新宋体" w:eastAsia="新宋体" w:cs="新宋体"/>
          <w:color w:val="auto"/>
          <w:sz w:val="28"/>
          <w:szCs w:val="28"/>
          <w:highlight w:val="none"/>
          <w:lang w:val="en-US" w:eastAsia="zh-CN"/>
        </w:rPr>
        <w:t>主要职能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：</w:t>
      </w:r>
      <w:r>
        <w:rPr>
          <w:rFonts w:hint="eastAsia" w:ascii="新宋体" w:hAnsi="新宋体" w:eastAsia="新宋体" w:cs="新宋体"/>
          <w:color w:val="auto"/>
          <w:sz w:val="28"/>
          <w:szCs w:val="28"/>
        </w:rPr>
        <w:t>排涝抗旱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eastAsia="zh-CN"/>
        </w:rPr>
        <w:t>，</w:t>
      </w:r>
      <w:r>
        <w:rPr>
          <w:rFonts w:hint="eastAsia" w:ascii="新宋体" w:hAnsi="新宋体" w:eastAsia="新宋体" w:cs="新宋体"/>
          <w:color w:val="auto"/>
          <w:sz w:val="28"/>
          <w:szCs w:val="28"/>
          <w:lang w:val="en-US" w:eastAsia="zh-CN"/>
        </w:rPr>
        <w:t>减少灾害损失。</w:t>
      </w:r>
      <w:r>
        <w:rPr>
          <w:rFonts w:hint="eastAsia" w:ascii="新宋体" w:hAnsi="新宋体" w:eastAsia="新宋体" w:cs="新宋体"/>
          <w:bCs/>
          <w:sz w:val="28"/>
          <w:szCs w:val="28"/>
        </w:rPr>
        <w:t>全站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5</w:t>
      </w:r>
      <w:r>
        <w:rPr>
          <w:rFonts w:hint="eastAsia" w:ascii="新宋体" w:hAnsi="新宋体" w:eastAsia="新宋体" w:cs="新宋体"/>
          <w:bCs/>
          <w:sz w:val="28"/>
          <w:szCs w:val="28"/>
        </w:rPr>
        <w:t>处机埠，总装机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18</w:t>
      </w:r>
      <w:r>
        <w:rPr>
          <w:rFonts w:hint="eastAsia" w:ascii="新宋体" w:hAnsi="新宋体" w:eastAsia="新宋体" w:cs="新宋体"/>
          <w:bCs/>
          <w:sz w:val="28"/>
          <w:szCs w:val="28"/>
        </w:rPr>
        <w:t>台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套5350</w:t>
      </w:r>
      <w:r>
        <w:rPr>
          <w:rFonts w:hint="eastAsia" w:ascii="新宋体" w:hAnsi="新宋体" w:eastAsia="新宋体" w:cs="新宋体"/>
          <w:bCs/>
          <w:sz w:val="28"/>
          <w:szCs w:val="28"/>
        </w:rPr>
        <w:t>千瓦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，</w:t>
      </w:r>
      <w:r>
        <w:rPr>
          <w:rFonts w:hint="eastAsia" w:ascii="新宋体" w:hAnsi="新宋体" w:eastAsia="新宋体" w:cs="新宋体"/>
          <w:bCs/>
          <w:sz w:val="28"/>
          <w:szCs w:val="28"/>
        </w:rPr>
        <w:t>受益区辖护城垸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章华镇</w:t>
      </w:r>
      <w:r>
        <w:rPr>
          <w:rFonts w:hint="eastAsia" w:ascii="新宋体" w:hAnsi="新宋体" w:eastAsia="新宋体" w:cs="新宋体"/>
          <w:bCs/>
          <w:sz w:val="28"/>
          <w:szCs w:val="28"/>
        </w:rPr>
        <w:t>、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万庾、鲇鱼须、新河及田家湖生态新区</w:t>
      </w:r>
      <w:r>
        <w:rPr>
          <w:rFonts w:hint="eastAsia" w:ascii="新宋体" w:hAnsi="新宋体" w:eastAsia="新宋体" w:cs="新宋体"/>
          <w:bCs/>
          <w:sz w:val="28"/>
          <w:szCs w:val="28"/>
        </w:rPr>
        <w:t>，排区集雨面积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239.85平方公里</w:t>
      </w:r>
      <w:r>
        <w:rPr>
          <w:rFonts w:hint="eastAsia" w:ascii="新宋体" w:hAnsi="新宋体" w:eastAsia="新宋体" w:cs="新宋体"/>
          <w:bCs/>
          <w:sz w:val="28"/>
          <w:szCs w:val="28"/>
        </w:rPr>
        <w:t>，耕地面积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15.87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万亩,受益人口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23</w:t>
      </w:r>
      <w:r>
        <w:rPr>
          <w:rFonts w:hint="eastAsia" w:ascii="新宋体" w:hAnsi="新宋体" w:eastAsia="新宋体" w:cs="新宋体"/>
          <w:bCs/>
          <w:sz w:val="28"/>
          <w:szCs w:val="28"/>
        </w:rPr>
        <w:t>万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余人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。</w:t>
      </w:r>
    </w:p>
    <w:p>
      <w:pPr>
        <w:spacing w:line="56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本单位编制数34人，年末实有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在职人员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34人。本年度新增退休人员5名。</w:t>
      </w: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spacing w:before="216" w:line="226" w:lineRule="auto"/>
        <w:ind w:left="648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-2"/>
          <w:sz w:val="32"/>
          <w:szCs w:val="32"/>
        </w:rPr>
        <w:t>二、一般公共预算支出情况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（一）基本支出情况</w:t>
      </w:r>
    </w:p>
    <w:p>
      <w:pPr>
        <w:pStyle w:val="1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left="0" w:leftChars="0" w:firstLine="840" w:firstLineChars="300"/>
        <w:jc w:val="both"/>
        <w:textAlignment w:val="auto"/>
        <w:rPr>
          <w:rFonts w:hint="eastAsia" w:ascii="宋体" w:hAnsi="宋体" w:cs="宋体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本年度总支</w:t>
      </w:r>
      <w:r>
        <w:rPr>
          <w:rFonts w:hint="eastAsia" w:ascii="宋体" w:hAnsi="宋体" w:cs="宋体"/>
          <w:bCs/>
          <w:kern w:val="2"/>
          <w:sz w:val="28"/>
          <w:szCs w:val="28"/>
          <w:lang w:val="en-US" w:eastAsia="zh-CN" w:bidi="ar-SA"/>
        </w:rPr>
        <w:t>出：630.89万元，其中人员经费支出：494.84万元，公用经费支出：136.05万元。</w:t>
      </w:r>
    </w:p>
    <w:p>
      <w:pPr>
        <w:pStyle w:val="2"/>
        <w:rPr>
          <w:rFonts w:hint="eastAsia"/>
        </w:rPr>
      </w:pPr>
    </w:p>
    <w:p>
      <w:pPr>
        <w:pStyle w:val="2"/>
        <w:rPr>
          <w:rFonts w:hint="eastAsia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643" w:firstLineChars="200"/>
        <w:textAlignment w:val="auto"/>
        <w:rPr>
          <w:rFonts w:hint="eastAsia" w:ascii="楷体_GB2312" w:hAnsi="楷体_GB2312" w:eastAsia="楷体_GB2312" w:cs="楷体_GB2312"/>
          <w:b/>
          <w:bCs/>
          <w:sz w:val="32"/>
          <w:szCs w:val="32"/>
        </w:rPr>
      </w:pPr>
      <w:r>
        <w:rPr>
          <w:rFonts w:hint="eastAsia" w:ascii="楷体_GB2312" w:hAnsi="楷体_GB2312" w:eastAsia="楷体_GB2312" w:cs="楷体_GB2312"/>
          <w:b/>
          <w:bCs/>
          <w:sz w:val="32"/>
          <w:szCs w:val="32"/>
        </w:rPr>
        <w:t>（二）项目支出情况</w:t>
      </w:r>
    </w:p>
    <w:p>
      <w:pPr>
        <w:spacing w:before="224" w:line="227" w:lineRule="auto"/>
        <w:ind w:left="649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三、政府性基金预算支出情况</w:t>
      </w:r>
    </w:p>
    <w:p>
      <w:pPr>
        <w:spacing w:before="219" w:line="600" w:lineRule="exact"/>
        <w:ind w:left="662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7"/>
          <w:position w:val="21"/>
          <w:sz w:val="32"/>
          <w:szCs w:val="32"/>
        </w:rPr>
        <w:t>四、国有资本经营预算支出情况</w:t>
      </w:r>
    </w:p>
    <w:p>
      <w:pPr>
        <w:spacing w:line="227" w:lineRule="auto"/>
        <w:ind w:left="651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五、社会保险基金预算支出情况</w:t>
      </w:r>
    </w:p>
    <w:p>
      <w:pPr>
        <w:spacing w:before="219" w:line="226" w:lineRule="auto"/>
        <w:ind w:left="653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六、部门整体支出绩效情况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1，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认真做好了年度设备维修保养工作，确保设备运行的完好率达到100%。</w:t>
      </w:r>
    </w:p>
    <w:p>
      <w:pPr>
        <w:snapToGrid w:val="0"/>
        <w:spacing w:line="520" w:lineRule="exact"/>
        <w:ind w:firstLine="560" w:firstLineChars="200"/>
        <w:rPr>
          <w:rFonts w:hint="eastAsia" w:ascii="新宋体" w:hAnsi="新宋体" w:eastAsia="新宋体" w:cs="新宋体"/>
          <w:bCs/>
          <w:sz w:val="28"/>
          <w:szCs w:val="28"/>
          <w:lang w:eastAsia="zh-CN"/>
        </w:rPr>
      </w:pP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 xml:space="preserve"> 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2，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科学防汛，合理调度，及时排涝抗旱，切实保证了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排灌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区</w:t>
      </w:r>
      <w:r>
        <w:rPr>
          <w:rFonts w:hint="eastAsia" w:ascii="新宋体" w:hAnsi="新宋体" w:eastAsia="新宋体" w:cs="新宋体"/>
          <w:bCs/>
          <w:sz w:val="28"/>
          <w:szCs w:val="28"/>
          <w:lang w:val="en-US" w:eastAsia="zh-CN"/>
        </w:rPr>
        <w:t>人</w:t>
      </w:r>
      <w:r>
        <w:rPr>
          <w:rFonts w:hint="eastAsia" w:ascii="新宋体" w:hAnsi="新宋体" w:eastAsia="新宋体" w:cs="新宋体"/>
          <w:bCs/>
          <w:sz w:val="28"/>
          <w:szCs w:val="28"/>
          <w:lang w:eastAsia="zh-CN"/>
        </w:rPr>
        <w:t>民的生命财产安全，对当地经济的发展和社会稳定发挥了巨大作用。</w:t>
      </w:r>
    </w:p>
    <w:p>
      <w:pPr>
        <w:pStyle w:val="2"/>
        <w:rPr>
          <w:rFonts w:hint="eastAsia"/>
        </w:rPr>
      </w:pPr>
    </w:p>
    <w:p>
      <w:pPr>
        <w:numPr>
          <w:ilvl w:val="0"/>
          <w:numId w:val="3"/>
        </w:numPr>
        <w:spacing w:before="220" w:line="600" w:lineRule="exact"/>
        <w:ind w:left="641"/>
        <w:rPr>
          <w:rFonts w:hint="eastAsia" w:ascii="黑体" w:hAnsi="黑体" w:eastAsia="黑体" w:cs="黑体"/>
          <w:spacing w:val="9"/>
          <w:position w:val="21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存在的问题及原因分析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1，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监督管理机制还有待加强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绩效目标管理有待提升。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部门预算管理有待加强。</w:t>
      </w:r>
    </w:p>
    <w:p>
      <w:pPr>
        <w:spacing w:line="560" w:lineRule="exact"/>
        <w:ind w:firstLine="560" w:firstLineChars="200"/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kern w:val="2"/>
          <w:sz w:val="28"/>
          <w:szCs w:val="28"/>
          <w:lang w:val="en-US" w:eastAsia="zh-CN" w:bidi="ar-SA"/>
        </w:rPr>
        <w:t>，预算编制工作有待细化。预算编制不够明确和细化，预算编制的合理性需要提高，预算执行力度还要进一步加强。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rPr>
          <w:rFonts w:hint="eastAsia"/>
        </w:rPr>
      </w:pPr>
    </w:p>
    <w:p>
      <w:pPr>
        <w:numPr>
          <w:ilvl w:val="0"/>
          <w:numId w:val="3"/>
        </w:numPr>
        <w:spacing w:line="227" w:lineRule="auto"/>
        <w:ind w:left="641" w:leftChars="0" w:firstLine="0" w:firstLineChars="0"/>
        <w:rPr>
          <w:rFonts w:hint="eastAsia" w:ascii="黑体" w:hAnsi="黑体" w:eastAsia="黑体" w:cs="黑体"/>
          <w:spacing w:val="8"/>
          <w:sz w:val="32"/>
          <w:szCs w:val="32"/>
        </w:rPr>
      </w:pPr>
      <w:r>
        <w:rPr>
          <w:rFonts w:hint="eastAsia" w:ascii="黑体" w:hAnsi="黑体" w:eastAsia="黑体" w:cs="黑体"/>
          <w:spacing w:val="8"/>
          <w:sz w:val="32"/>
          <w:szCs w:val="32"/>
        </w:rPr>
        <w:t>下一步改进措施</w:t>
      </w:r>
    </w:p>
    <w:p>
      <w:pPr>
        <w:snapToGrid w:val="0"/>
        <w:spacing w:line="520" w:lineRule="exact"/>
        <w:ind w:firstLine="560" w:firstLineChars="200"/>
        <w:rPr>
          <w:rFonts w:hint="eastAsia" w:ascii="仿宋_GB2312" w:hAnsi="仿宋_GB2312" w:eastAsia="仿宋_GB2312" w:cs="仿宋_GB2312"/>
          <w:bCs/>
          <w:sz w:val="28"/>
          <w:szCs w:val="28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</w:rPr>
        <w:t>1</w:t>
      </w:r>
      <w:r>
        <w:rPr>
          <w:rFonts w:hint="eastAsia" w:ascii="仿宋_GB2312" w:hAnsi="仿宋_GB2312" w:eastAsia="仿宋_GB2312" w:cs="仿宋_GB2312"/>
          <w:bCs/>
          <w:sz w:val="28"/>
          <w:szCs w:val="28"/>
          <w:lang w:eastAsia="zh-CN"/>
        </w:rPr>
        <w:t>，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加强预算绩效管理。进一步加强各单位的预算资金管理，减少预算资金使用的随意性，对预算的事前、事中、事后进行全过程控制，加大对预算编制与执行的监督管理力度，提高预算资金使用效率。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560" w:firstLineChars="200"/>
        <w:jc w:val="both"/>
        <w:textAlignment w:val="auto"/>
        <w:rPr>
          <w:rFonts w:hint="eastAsia" w:eastAsia="黑体" w:cs="Times New Roman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bCs/>
          <w:sz w:val="28"/>
          <w:szCs w:val="28"/>
          <w:lang w:val="en-US" w:eastAsia="zh-CN"/>
        </w:rPr>
        <w:t>2</w:t>
      </w:r>
      <w:r>
        <w:rPr>
          <w:rFonts w:hint="eastAsia" w:ascii="仿宋_GB2312" w:hAnsi="仿宋_GB2312" w:eastAsia="仿宋_GB2312" w:cs="仿宋_GB2312"/>
          <w:bCs/>
          <w:sz w:val="28"/>
          <w:szCs w:val="28"/>
        </w:rPr>
        <w:t>、细化预算编制工作，认真做好预算的编制。进一步加强预算管理意识，严格按照预算编制的相关制度和要求进行预算编制</w:t>
      </w:r>
      <w:r>
        <w:rPr>
          <w:rFonts w:hint="eastAsia" w:eastAsia="楷体_GB2312"/>
          <w:bCs/>
          <w:sz w:val="28"/>
          <w:szCs w:val="28"/>
        </w:rPr>
        <w:t>。</w:t>
      </w:r>
    </w:p>
    <w:p>
      <w:pPr>
        <w:pStyle w:val="2"/>
        <w:rPr>
          <w:rFonts w:hint="eastAsia"/>
        </w:rPr>
      </w:pPr>
    </w:p>
    <w:p>
      <w:pPr>
        <w:pStyle w:val="2"/>
        <w:numPr>
          <w:ilvl w:val="0"/>
          <w:numId w:val="0"/>
        </w:numPr>
        <w:ind w:left="641" w:leftChars="0"/>
        <w:rPr>
          <w:rFonts w:hint="eastAsia"/>
        </w:rPr>
      </w:pPr>
    </w:p>
    <w:p>
      <w:pPr>
        <w:spacing w:before="219" w:line="600" w:lineRule="exact"/>
        <w:ind w:left="65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hint="eastAsia" w:ascii="黑体" w:hAnsi="黑体" w:eastAsia="黑体" w:cs="黑体"/>
          <w:spacing w:val="8"/>
          <w:position w:val="21"/>
          <w:sz w:val="32"/>
          <w:szCs w:val="32"/>
        </w:rPr>
        <w:t>情况</w:t>
      </w:r>
    </w:p>
    <w:p>
      <w:pPr>
        <w:spacing w:line="226" w:lineRule="auto"/>
        <w:ind w:left="647"/>
        <w:rPr>
          <w:rFonts w:hint="eastAsia" w:ascii="黑体" w:hAnsi="黑体" w:eastAsia="黑体" w:cs="黑体"/>
          <w:spacing w:val="-3"/>
          <w:sz w:val="32"/>
          <w:szCs w:val="32"/>
        </w:rPr>
      </w:pPr>
      <w:r>
        <w:rPr>
          <w:rFonts w:hint="eastAsia" w:ascii="黑体" w:hAnsi="黑体" w:eastAsia="黑体" w:cs="黑体"/>
          <w:spacing w:val="-3"/>
          <w:sz w:val="32"/>
          <w:szCs w:val="32"/>
        </w:rPr>
        <w:t>十、其他需要说明的情况</w:t>
      </w:r>
    </w:p>
    <w:p>
      <w:pPr>
        <w:rPr>
          <w:rFonts w:ascii="黑体" w:hAnsi="黑体" w:eastAsia="黑体" w:cs="黑体"/>
          <w:spacing w:val="-3"/>
          <w:sz w:val="31"/>
          <w:szCs w:val="31"/>
        </w:rPr>
      </w:pPr>
      <w:r>
        <w:rPr>
          <w:rFonts w:ascii="黑体" w:hAnsi="黑体" w:eastAsia="黑体" w:cs="黑体"/>
          <w:spacing w:val="-3"/>
          <w:sz w:val="31"/>
          <w:szCs w:val="31"/>
        </w:rPr>
        <w:br w:type="page"/>
      </w:r>
    </w:p>
    <w:p>
      <w:pPr>
        <w:jc w:val="both"/>
        <w:rPr>
          <w:rFonts w:hint="default" w:ascii="Times New Roman" w:hAnsi="Times New Roman" w:eastAsia="方正小标宋_GBK" w:cs="Times New Roman"/>
          <w:sz w:val="52"/>
          <w:szCs w:val="52"/>
        </w:rPr>
        <w:sectPr>
          <w:footerReference r:id="rId4" w:type="default"/>
          <w:pgSz w:w="11905" w:h="16838"/>
          <w:pgMar w:top="1984" w:right="1701" w:bottom="1984" w:left="1701" w:header="850" w:footer="992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4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 w:val="0"/>
        <w:spacing w:line="580" w:lineRule="exact"/>
        <w:textAlignment w:val="auto"/>
        <w:rPr>
          <w:rFonts w:hint="eastAsia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ind w:left="0" w:firstLine="0" w:firstLine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6"/>
          <w:sz w:val="44"/>
          <w:szCs w:val="44"/>
        </w:rPr>
        <w:t>2023年度部门整体支出绩效自评表</w:t>
      </w:r>
    </w:p>
    <w:p>
      <w:pPr>
        <w:spacing w:line="132" w:lineRule="exact"/>
      </w:pPr>
    </w:p>
    <w:tbl>
      <w:tblPr>
        <w:tblStyle w:val="16"/>
        <w:tblW w:w="8625" w:type="dxa"/>
        <w:jc w:val="center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19"/>
        <w:gridCol w:w="985"/>
        <w:gridCol w:w="966"/>
        <w:gridCol w:w="26"/>
        <w:gridCol w:w="994"/>
        <w:gridCol w:w="1061"/>
        <w:gridCol w:w="1004"/>
        <w:gridCol w:w="690"/>
        <w:gridCol w:w="716"/>
        <w:gridCol w:w="1364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</w:tblPrEx>
        <w:trPr>
          <w:trHeight w:val="901" w:hRule="atLeast"/>
          <w:jc w:val="center"/>
        </w:trPr>
        <w:tc>
          <w:tcPr>
            <w:tcW w:w="2770" w:type="dxa"/>
            <w:gridSpan w:val="3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省级预算部门、单位名称</w:t>
            </w:r>
          </w:p>
        </w:tc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华容县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石山矶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电力排灌站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年度预算申请（万元）</w:t>
            </w: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1951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年度资金总额</w:t>
            </w:r>
          </w:p>
        </w:tc>
        <w:tc>
          <w:tcPr>
            <w:tcW w:w="1020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509.75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630.89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630.89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58" w:firstLineChars="28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按收入性质分：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625.12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按支出性质分：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630.89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both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其中：一般公共预算：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625.12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210" w:firstLineChars="1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其中：基本支出：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630.89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政府性基金拨款：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项目支出：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纳入专户管理的非税收入拨款：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ind w:left="0" w:leftChars="0" w:firstLine="840" w:firstLineChars="40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其他资金：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5.77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restart"/>
            <w:tcBorders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总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体目标</w:t>
            </w: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  <w:jc w:val="center"/>
        </w:trPr>
        <w:tc>
          <w:tcPr>
            <w:tcW w:w="819" w:type="dxa"/>
            <w:vMerge w:val="continue"/>
            <w:tcBorders>
              <w:top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4032" w:type="dxa"/>
            <w:gridSpan w:val="5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1：加强排灌区5处泵站的水利设施和机电设备的保养及维护。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2：排涝抗旱，减少灾害，增产增收。</w:t>
            </w:r>
          </w:p>
        </w:tc>
        <w:tc>
          <w:tcPr>
            <w:tcW w:w="3774" w:type="dxa"/>
            <w:gridSpan w:val="4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1，加强五处泵站水利设施和机电设备的保养及维护，保证机组正常运行。 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2，合理安排各泵站调度，完成年度排涝抗旱工作，减少灾害损失，确保排区内农业增产增收。　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6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5" w:type="dxa"/>
            <w:tcBorders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92" w:type="dxa"/>
            <w:gridSpan w:val="2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偏差原因分析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65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排灌区域内耕地面积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15.87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15.87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质量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机电设备维修养护合格率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任务完成时效率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restart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及时排涝抗旱，服务农业，确保农业增产增收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提升排涝抗旱工作，服务农业，确保人民生命财产安全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提升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站区绿化率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20%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持续正常运行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长效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长效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群众满意度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95%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restart"/>
            <w:tcBorders>
              <w:top w:val="single" w:color="auto" w:sz="4" w:space="0"/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控制预算执行差异率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控制排灌区农田排涝抗旱成本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10%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10%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819" w:type="dxa"/>
            <w:vMerge w:val="continue"/>
            <w:textDirection w:val="tbRlV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85" w:type="dxa"/>
            <w:vMerge w:val="continue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2" w:type="dxa"/>
            <w:gridSpan w:val="2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94" w:type="dxa"/>
            <w:tcBorders>
              <w:lef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减少灾害损失，减少水环境破坏率</w:t>
            </w:r>
          </w:p>
        </w:tc>
        <w:tc>
          <w:tcPr>
            <w:tcW w:w="1061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5%</w:t>
            </w:r>
          </w:p>
        </w:tc>
        <w:tc>
          <w:tcPr>
            <w:tcW w:w="100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/>
              </w:rPr>
              <w:t>5%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10" w:hRule="atLeast"/>
          <w:jc w:val="center"/>
        </w:trPr>
        <w:tc>
          <w:tcPr>
            <w:tcW w:w="5855" w:type="dxa"/>
            <w:gridSpan w:val="7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690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16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364" w:type="dxa"/>
            <w:vAlign w:val="center"/>
          </w:tcPr>
          <w:p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60" w:lineRule="exact"/>
              <w:jc w:val="center"/>
              <w:textAlignment w:val="auto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填表人： </w:t>
      </w:r>
      <w:r>
        <w:rPr>
          <w:rFonts w:hint="eastAsia"/>
          <w:lang w:val="en-US" w:eastAsia="zh-CN"/>
        </w:rPr>
        <w:t>孟玲芳</w:t>
      </w:r>
      <w:r>
        <w:rPr>
          <w:rFonts w:hint="eastAsia"/>
        </w:rPr>
        <w:t xml:space="preserve">      填报日期： 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     联系电话：     单位负责人签字：</w:t>
      </w:r>
    </w:p>
    <w:p>
      <w:pPr>
        <w:rPr>
          <w:rFonts w:hint="eastAsia"/>
        </w:rPr>
      </w:pPr>
      <w:r>
        <w:rPr>
          <w:rFonts w:hint="eastAsia"/>
        </w:rPr>
        <w:br w:type="page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80" w:lineRule="exact"/>
        <w:jc w:val="left"/>
        <w:textAlignment w:val="auto"/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4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lang w:val="en-US" w:eastAsia="zh-CN"/>
        </w:rPr>
        <w:t>5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石山矶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电力排灌站</w:t>
      </w:r>
    </w:p>
    <w:p>
      <w:pPr>
        <w:jc w:val="center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事业发展资金项目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ind w:firstLine="2640" w:firstLineChars="600"/>
        <w:jc w:val="both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jc w:val="center"/>
        <w:rPr>
          <w:rFonts w:hint="default" w:ascii="Times New Roman" w:hAnsi="Times New Roman" w:eastAsia="方正小标宋_GBK" w:cs="Times New Roman"/>
          <w:b/>
          <w:sz w:val="52"/>
          <w:szCs w:val="5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2"/>
        <w:rPr>
          <w:rFonts w:hint="default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center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jc w:val="both"/>
        <w:rPr>
          <w:rFonts w:hint="default" w:ascii="Times New Roman" w:hAnsi="Times New Roman" w:eastAsia="黑体" w:cs="Times New Roman"/>
          <w:sz w:val="32"/>
          <w:szCs w:val="32"/>
        </w:rPr>
      </w:pP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00" w:line="221" w:lineRule="auto"/>
        <w:ind w:firstLine="600" w:firstLineChars="200"/>
        <w:textAlignment w:val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10"/>
          <w:sz w:val="32"/>
          <w:szCs w:val="32"/>
        </w:rPr>
        <w:t>部门（单位）名称</w:t>
      </w:r>
      <w:r>
        <w:rPr>
          <w:rFonts w:hint="eastAsia" w:ascii="仿宋_GB2312" w:hAnsi="仿宋_GB2312" w:eastAsia="仿宋_GB2312" w:cs="仿宋_GB2312"/>
          <w:spacing w:val="4"/>
          <w:sz w:val="32"/>
          <w:szCs w:val="32"/>
        </w:rPr>
        <w:t>：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val="en-US" w:eastAsia="zh-CN"/>
        </w:rPr>
        <w:t>石山矶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u w:val="single"/>
          <w:lang w:eastAsia="zh-CN"/>
        </w:rPr>
        <w:t>电力排灌站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  <w:lang w:val="en-US" w:eastAsia="zh-CN"/>
        </w:rPr>
        <w:t xml:space="preserve">     </w:t>
      </w:r>
      <w:r>
        <w:rPr>
          <w:rFonts w:hint="eastAsia" w:ascii="仿宋_GB2312" w:hAnsi="仿宋_GB2312" w:eastAsia="仿宋_GB2312" w:cs="仿宋_GB2312"/>
          <w:sz w:val="32"/>
          <w:szCs w:val="32"/>
          <w:u w:val="single" w:color="auto"/>
        </w:rPr>
        <w:t xml:space="preserve">  </w:t>
      </w:r>
    </w:p>
    <w:p>
      <w:pPr>
        <w:spacing w:before="228" w:line="222" w:lineRule="auto"/>
        <w:ind w:firstLine="4560" w:firstLineChars="150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8"/>
          <w:sz w:val="32"/>
          <w:szCs w:val="32"/>
          <w:lang w:val="en-US" w:eastAsia="zh-CN"/>
        </w:rPr>
        <w:t>2024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年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  <w:lang w:val="en-US" w:eastAsia="zh-CN"/>
        </w:rPr>
        <w:t>5</w:t>
      </w:r>
      <w:r>
        <w:rPr>
          <w:rFonts w:hint="eastAsia" w:ascii="仿宋_GB2312" w:hAnsi="仿宋_GB2312" w:eastAsia="仿宋_GB2312" w:cs="仿宋_GB2312"/>
          <w:spacing w:val="21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月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  <w:lang w:val="en-US" w:eastAsia="zh-CN"/>
        </w:rPr>
        <w:t>28</w:t>
      </w:r>
      <w:r>
        <w:rPr>
          <w:rFonts w:hint="eastAsia" w:ascii="仿宋_GB2312" w:hAnsi="仿宋_GB2312" w:eastAsia="仿宋_GB2312" w:cs="仿宋_GB2312"/>
          <w:spacing w:val="43"/>
          <w:sz w:val="32"/>
          <w:szCs w:val="32"/>
        </w:rPr>
        <w:t xml:space="preserve"> </w:t>
      </w:r>
      <w:r>
        <w:rPr>
          <w:rFonts w:hint="eastAsia" w:ascii="仿宋_GB2312" w:hAnsi="仿宋_GB2312" w:eastAsia="仿宋_GB2312" w:cs="仿宋_GB2312"/>
          <w:spacing w:val="-8"/>
          <w:sz w:val="32"/>
          <w:szCs w:val="32"/>
        </w:rPr>
        <w:t>日</w:t>
      </w:r>
    </w:p>
    <w:p>
      <w:pPr>
        <w:spacing w:line="33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>
      <w:pPr>
        <w:pStyle w:val="4"/>
        <w:spacing w:before="102" w:line="224" w:lineRule="auto"/>
        <w:ind w:left="3216"/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t>（此页为封面）</w:t>
      </w:r>
    </w:p>
    <w:p>
      <w:pPr>
        <w:rPr>
          <w:rFonts w:hint="eastAsia" w:ascii="仿宋_GB2312" w:hAnsi="仿宋_GB2312" w:eastAsia="仿宋_GB2312" w:cs="仿宋_GB2312"/>
          <w:spacing w:val="8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8"/>
          <w:sz w:val="32"/>
          <w:szCs w:val="32"/>
        </w:rPr>
        <w:br w:type="page"/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3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年度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华容县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石山矶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电力排灌站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事业发展资金项目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支出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jc w:val="center"/>
        <w:textAlignment w:val="auto"/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绩效自评报告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00" w:firstLineChars="200"/>
        <w:textAlignment w:val="auto"/>
        <w:rPr>
          <w:rFonts w:hint="eastAsia" w:ascii="黑体" w:hAnsi="黑体" w:eastAsia="黑体" w:cs="黑体"/>
          <w:sz w:val="30"/>
          <w:szCs w:val="30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一、基本情况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项目概况。包括项目背景、主要内容及实施情况、资金投入和使用情况等。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项目绩效目标。包括总体目标和阶段性目标。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二、绩效评价工作开展情况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绩效评价目的、对象和范围。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绩效评价原则、评价指标体系</w:t>
      </w: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附表说明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、评价方法、评价标准等。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绩效评价工作过程。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 xml:space="preserve">三、综合评价情况及评价结论 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四、绩效评价指标分析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一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项目决策情况。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二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项目过程情况。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三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项目产出情况。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eastAsia="仿宋_GB2312"/>
          <w:sz w:val="32"/>
          <w:szCs w:val="32"/>
        </w:rPr>
      </w:pPr>
      <w:r>
        <w:rPr>
          <w:rFonts w:hint="eastAsia" w:eastAsia="仿宋_GB2312"/>
          <w:sz w:val="32"/>
          <w:szCs w:val="32"/>
          <w:lang w:eastAsia="zh-CN"/>
        </w:rPr>
        <w:t>（</w:t>
      </w:r>
      <w:r>
        <w:rPr>
          <w:rFonts w:hint="eastAsia" w:eastAsia="仿宋_GB2312"/>
          <w:sz w:val="32"/>
          <w:szCs w:val="32"/>
        </w:rPr>
        <w:t>四</w:t>
      </w:r>
      <w:r>
        <w:rPr>
          <w:rFonts w:hint="eastAsia" w:eastAsia="仿宋_GB2312"/>
          <w:sz w:val="32"/>
          <w:szCs w:val="32"/>
          <w:lang w:eastAsia="zh-CN"/>
        </w:rPr>
        <w:t>）</w:t>
      </w:r>
      <w:r>
        <w:rPr>
          <w:rFonts w:hint="eastAsia" w:eastAsia="仿宋_GB2312"/>
          <w:sz w:val="32"/>
          <w:szCs w:val="32"/>
        </w:rPr>
        <w:t>项目效益情况。</w:t>
      </w: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五、主要经验及做法、存在的问题及原因分析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610" w:lineRule="exact"/>
        <w:ind w:firstLine="640" w:firstLineChars="200"/>
        <w:jc w:val="both"/>
        <w:textAlignment w:val="auto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  <w:lang w:eastAsia="zh-CN"/>
        </w:rPr>
        <w:t>六</w:t>
      </w:r>
      <w:r>
        <w:rPr>
          <w:rFonts w:hint="eastAsia" w:ascii="黑体" w:hAnsi="黑体" w:eastAsia="黑体" w:cs="黑体"/>
          <w:sz w:val="32"/>
          <w:szCs w:val="32"/>
        </w:rPr>
        <w:t>、其他需要说明的问题</w:t>
      </w:r>
    </w:p>
    <w:p>
      <w:pPr>
        <w:rPr>
          <w:rFonts w:hint="eastAsia" w:ascii="黑体" w:hAnsi="黑体" w:eastAsia="黑体" w:cs="黑体"/>
          <w:sz w:val="30"/>
          <w:szCs w:val="30"/>
        </w:rPr>
      </w:pPr>
      <w:r>
        <w:rPr>
          <w:rFonts w:hint="eastAsia" w:ascii="黑体" w:hAnsi="黑体" w:eastAsia="黑体" w:cs="黑体"/>
          <w:sz w:val="30"/>
          <w:szCs w:val="30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附件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6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8" w:afterLines="50" w:line="580" w:lineRule="exact"/>
        <w:ind w:left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pacing w:val="7"/>
          <w:sz w:val="44"/>
          <w:szCs w:val="44"/>
        </w:rPr>
        <w:t>2023年度项目支出绩效自评表</w:t>
      </w:r>
    </w:p>
    <w:tbl>
      <w:tblPr>
        <w:tblStyle w:val="16"/>
        <w:tblW w:w="8609" w:type="dxa"/>
        <w:tblInd w:w="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96"/>
        <w:gridCol w:w="896"/>
        <w:gridCol w:w="1126"/>
        <w:gridCol w:w="939"/>
        <w:gridCol w:w="990"/>
        <w:gridCol w:w="1135"/>
        <w:gridCol w:w="592"/>
        <w:gridCol w:w="749"/>
        <w:gridCol w:w="1286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2918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项目支出名称</w:t>
            </w:r>
          </w:p>
        </w:tc>
        <w:tc>
          <w:tcPr>
            <w:tcW w:w="5691" w:type="dxa"/>
            <w:gridSpan w:val="6"/>
            <w:vAlign w:val="center"/>
          </w:tcPr>
          <w:p>
            <w:pPr>
              <w:jc w:val="center"/>
              <w:rPr>
                <w:rFonts w:hint="default" w:ascii="黑体" w:hAnsi="黑体" w:eastAsia="黑体" w:cs="黑体"/>
                <w:sz w:val="21"/>
                <w:szCs w:val="21"/>
                <w:lang w:val="en-US"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事业发展资金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主管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部门</w:t>
            </w:r>
          </w:p>
        </w:tc>
        <w:tc>
          <w:tcPr>
            <w:tcW w:w="395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华容县水利局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实施单位</w:t>
            </w:r>
          </w:p>
        </w:tc>
        <w:tc>
          <w:tcPr>
            <w:tcW w:w="2627" w:type="dxa"/>
            <w:gridSpan w:val="3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华容县</w:t>
            </w:r>
            <w:r>
              <w:rPr>
                <w:rFonts w:hint="eastAsia" w:ascii="黑体" w:hAnsi="黑体" w:eastAsia="黑体" w:cs="黑体"/>
                <w:sz w:val="21"/>
                <w:szCs w:val="21"/>
                <w:lang w:val="en-US" w:eastAsia="zh-CN"/>
              </w:rPr>
              <w:t>石山矶</w:t>
            </w: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电力排灌站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项目资金（万元）</w:t>
            </w:r>
          </w:p>
        </w:tc>
        <w:tc>
          <w:tcPr>
            <w:tcW w:w="2022" w:type="dxa"/>
            <w:gridSpan w:val="2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年初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预算数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全年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执行数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分值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执行率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自评得分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年度资金总额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100%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其中：当年财政拨款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18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kern w:val="2"/>
                <w:sz w:val="21"/>
                <w:szCs w:val="21"/>
                <w:lang w:val="en-US" w:eastAsia="zh-CN" w:bidi="ar-SA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上年结转资金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2022" w:type="dxa"/>
            <w:gridSpan w:val="2"/>
            <w:vAlign w:val="center"/>
          </w:tcPr>
          <w:p>
            <w:pPr>
              <w:ind w:left="0" w:leftChars="0" w:firstLine="619" w:firstLineChars="295"/>
              <w:jc w:val="both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其他资金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年度总</w:t>
            </w:r>
          </w:p>
          <w:p>
            <w:pPr>
              <w:jc w:val="left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  <w:lang w:eastAsia="zh-CN"/>
              </w:rPr>
              <w:t>体</w:t>
            </w:r>
            <w:r>
              <w:rPr>
                <w:rFonts w:hint="eastAsia" w:ascii="黑体" w:hAnsi="黑体" w:eastAsia="黑体" w:cs="黑体"/>
                <w:sz w:val="21"/>
                <w:szCs w:val="21"/>
              </w:rPr>
              <w:t>目标</w:t>
            </w:r>
          </w:p>
        </w:tc>
        <w:tc>
          <w:tcPr>
            <w:tcW w:w="3951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预期目标</w:t>
            </w:r>
          </w:p>
        </w:tc>
        <w:tc>
          <w:tcPr>
            <w:tcW w:w="3762" w:type="dxa"/>
            <w:gridSpan w:val="4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实际完成情况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2" w:hRule="atLeast"/>
        </w:trPr>
        <w:tc>
          <w:tcPr>
            <w:tcW w:w="896" w:type="dxa"/>
            <w:vMerge w:val="continue"/>
            <w:tcBorders>
              <w:top w:val="nil"/>
            </w:tcBorders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3951" w:type="dxa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1，排灌区的排涝抗旱工作，减少灾害损失。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2，排灌区5处泵站的水利设施和机电设备的保养及维护。</w:t>
            </w:r>
          </w:p>
        </w:tc>
        <w:tc>
          <w:tcPr>
            <w:tcW w:w="3762" w:type="dxa"/>
            <w:gridSpan w:val="4"/>
            <w:vAlign w:val="center"/>
          </w:tcPr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 xml:space="preserve">1，加强五处泵站水利设施和机电设备的保养及维护，保证机组正常运行。 </w:t>
            </w:r>
          </w:p>
          <w:p>
            <w:pPr>
              <w:jc w:val="left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2，合理安排各泵站调度，完成年度排涝抗旱工作，减少灾害损失，确保排区内农业增产增收。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8" w:hRule="atLeast"/>
        </w:trPr>
        <w:tc>
          <w:tcPr>
            <w:tcW w:w="896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89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一级指标</w:t>
            </w:r>
          </w:p>
        </w:tc>
        <w:tc>
          <w:tcPr>
            <w:tcW w:w="112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二级指标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三级指标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年度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指标值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实际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完成值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分值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自评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得分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偏差原因分析及改进措施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restart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产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出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(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3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）</w:t>
            </w: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数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负责排灌区内耕田的排涝抗旱任务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15.87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万亩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15.87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万亩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质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量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防洪排涝能力达标率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41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nil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时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资金到位率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2023年10月31日前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2023年10月31日前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restart"/>
            <w:vAlign w:val="center"/>
          </w:tcPr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绩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="黑体" w:hAnsi="黑体" w:eastAsia="黑体" w:cs="黑体"/>
                <w:sz w:val="21"/>
                <w:szCs w:val="21"/>
              </w:rPr>
            </w:pPr>
            <w:r>
              <w:rPr>
                <w:rFonts w:hint="eastAsia" w:ascii="黑体" w:hAnsi="黑体" w:eastAsia="黑体" w:cs="黑体"/>
                <w:sz w:val="21"/>
                <w:szCs w:val="21"/>
              </w:rPr>
              <w:t>标</w:t>
            </w:r>
          </w:p>
        </w:tc>
        <w:tc>
          <w:tcPr>
            <w:tcW w:w="8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（30分）</w:t>
            </w: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提高监测站点预警能力，为山洪灾害发生时的重要资产转移争取宝贵时间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旱涝财产损失减少率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效益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保护生态环境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可持续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影响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持续正常运行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（10分）</w:t>
            </w:r>
          </w:p>
        </w:tc>
        <w:tc>
          <w:tcPr>
            <w:tcW w:w="1126" w:type="dxa"/>
            <w:tcBorders>
              <w:left w:val="single" w:color="auto" w:sz="4" w:space="0"/>
              <w:bottom w:val="nil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服务对象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满意度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指标</w:t>
            </w:r>
          </w:p>
        </w:tc>
        <w:tc>
          <w:tcPr>
            <w:tcW w:w="93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公众满意度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≥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restar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成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标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（2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0分</w:t>
            </w: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）</w:t>
            </w: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经济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控制预算执行差异率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≤10%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社会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确保排灌区农田旱涝保收</w:t>
            </w:r>
          </w:p>
        </w:tc>
        <w:tc>
          <w:tcPr>
            <w:tcW w:w="990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1135" w:type="dxa"/>
            <w:vAlign w:val="center"/>
          </w:tcPr>
          <w:p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="微软雅黑" w:hAnsi="微软雅黑" w:eastAsia="微软雅黑" w:cs="微软雅黑"/>
                <w:i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≥90%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896" w:type="dxa"/>
            <w:vMerge w:val="continue"/>
            <w:textDirection w:val="tbRlV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896" w:type="dxa"/>
            <w:vMerge w:val="continue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  <w:tc>
          <w:tcPr>
            <w:tcW w:w="1126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生态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环境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成本</w:t>
            </w:r>
          </w:p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eastAsia="zh-CN"/>
              </w:rPr>
              <w:t>指标</w:t>
            </w:r>
          </w:p>
        </w:tc>
        <w:tc>
          <w:tcPr>
            <w:tcW w:w="939" w:type="dxa"/>
            <w:tcBorders>
              <w:left w:val="single" w:color="auto" w:sz="4" w:space="0"/>
            </w:tcBorders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排涝抗旱，减轻灾害损失，减少水环境破坏率</w:t>
            </w:r>
          </w:p>
        </w:tc>
        <w:tc>
          <w:tcPr>
            <w:tcW w:w="990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</w:rPr>
              <w:t>≤10%</w:t>
            </w:r>
          </w:p>
        </w:tc>
        <w:tc>
          <w:tcPr>
            <w:tcW w:w="1135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/>
              </w:rPr>
              <w:t>≤10%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5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4" w:hRule="atLeast"/>
        </w:trPr>
        <w:tc>
          <w:tcPr>
            <w:tcW w:w="5982" w:type="dxa"/>
            <w:gridSpan w:val="6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总分</w:t>
            </w:r>
          </w:p>
        </w:tc>
        <w:tc>
          <w:tcPr>
            <w:tcW w:w="592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  <w:t>100</w:t>
            </w:r>
          </w:p>
        </w:tc>
        <w:tc>
          <w:tcPr>
            <w:tcW w:w="749" w:type="dxa"/>
            <w:vAlign w:val="center"/>
          </w:tcPr>
          <w:p>
            <w:pPr>
              <w:jc w:val="center"/>
              <w:rPr>
                <w:rFonts w:hint="default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</w:pPr>
            <w:r>
              <w:rPr>
                <w:rFonts w:hint="eastAsia" w:asciiTheme="minorEastAsia" w:hAnsiTheme="minorEastAsia" w:eastAsiaTheme="minorEastAsia" w:cstheme="minorEastAsia"/>
                <w:sz w:val="21"/>
                <w:szCs w:val="21"/>
                <w:lang w:val="en-US" w:eastAsia="zh-CN"/>
              </w:rPr>
              <w:t>100</w:t>
            </w:r>
          </w:p>
        </w:tc>
        <w:tc>
          <w:tcPr>
            <w:tcW w:w="1286" w:type="dxa"/>
            <w:vAlign w:val="center"/>
          </w:tcPr>
          <w:p>
            <w:pPr>
              <w:jc w:val="center"/>
              <w:rPr>
                <w:rFonts w:hint="eastAsia" w:asciiTheme="minorEastAsia" w:hAnsiTheme="minorEastAsia" w:eastAsiaTheme="minorEastAsia" w:cstheme="minorEastAsia"/>
                <w:sz w:val="21"/>
                <w:szCs w:val="21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备注：每个一级项目支出一张表。如，业务工作经费，运行维护经费，其他事业发展类资金各一张表。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 xml:space="preserve">填表人：  </w:t>
      </w:r>
      <w:r>
        <w:rPr>
          <w:rFonts w:hint="eastAsia"/>
          <w:lang w:val="en-US" w:eastAsia="zh-CN"/>
        </w:rPr>
        <w:t>孟玲芳</w:t>
      </w:r>
      <w:r>
        <w:rPr>
          <w:rFonts w:hint="eastAsia"/>
        </w:rPr>
        <w:t xml:space="preserve">      填报日期：  </w:t>
      </w:r>
      <w:r>
        <w:rPr>
          <w:rFonts w:hint="eastAsia"/>
          <w:lang w:val="en-US" w:eastAsia="zh-CN"/>
        </w:rPr>
        <w:t>2024.05.28</w:t>
      </w:r>
      <w:r>
        <w:rPr>
          <w:rFonts w:hint="eastAsia"/>
        </w:rPr>
        <w:t xml:space="preserve">      联系电话：      单位负责人签字：</w:t>
      </w:r>
    </w:p>
    <w:p>
      <w:pPr>
        <w:rPr>
          <w:sz w:val="22"/>
          <w:szCs w:val="22"/>
        </w:rPr>
      </w:pPr>
      <w:r>
        <w:rPr>
          <w:sz w:val="22"/>
          <w:szCs w:val="22"/>
        </w:rPr>
        <w:br w:type="page"/>
      </w:r>
      <w:bookmarkStart w:id="0" w:name="_GoBack"/>
      <w:bookmarkEnd w:id="0"/>
    </w:p>
    <w:p>
      <w:pPr>
        <w:pStyle w:val="2"/>
        <w:sectPr>
          <w:footerReference r:id="rId5" w:type="default"/>
          <w:pgSz w:w="11905" w:h="16838"/>
          <w:pgMar w:top="1984" w:right="1701" w:bottom="1984" w:left="1701" w:header="850" w:footer="1587" w:gutter="0"/>
          <w:pgNumType w:fmt="numberInDash"/>
          <w:cols w:space="0" w:num="1"/>
          <w:rtlGutter w:val="0"/>
          <w:docGrid w:type="lines" w:linePitch="314" w:charSpace="0"/>
        </w:sectPr>
      </w:pP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7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绩效评价结果征求意见的反馈函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</w:pPr>
      <w:r>
        <w:rPr>
          <w:rFonts w:hint="eastAsia" w:ascii="楷体" w:hAnsi="楷体" w:eastAsia="楷体" w:cs="楷体"/>
          <w:b w:val="0"/>
          <w:bCs w:val="0"/>
          <w:sz w:val="24"/>
          <w:szCs w:val="24"/>
          <w:lang w:val="en-US" w:eastAsia="zh-CN"/>
        </w:rPr>
        <w:t>（重点绩效评价项目用）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rPr>
          <w:rFonts w:eastAsia="仿宋_GB2312"/>
          <w:sz w:val="28"/>
          <w:szCs w:val="28"/>
        </w:rPr>
      </w:pP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 </w:t>
      </w:r>
      <w:r>
        <w:rPr>
          <w:rFonts w:eastAsia="仿宋_GB2312"/>
          <w:sz w:val="28"/>
          <w:szCs w:val="28"/>
          <w:u w:val="single"/>
        </w:rPr>
        <w:t xml:space="preserve">    </w:t>
      </w:r>
      <w:r>
        <w:rPr>
          <w:rFonts w:hint="eastAsia" w:eastAsia="仿宋_GB2312"/>
          <w:sz w:val="28"/>
          <w:szCs w:val="28"/>
          <w:u w:val="single"/>
          <w:lang w:val="en-US" w:eastAsia="zh-CN"/>
        </w:rPr>
        <w:t xml:space="preserve">   </w:t>
      </w:r>
      <w:r>
        <w:rPr>
          <w:rFonts w:eastAsia="仿宋_GB2312"/>
          <w:sz w:val="28"/>
          <w:szCs w:val="28"/>
          <w:u w:val="single"/>
        </w:rPr>
        <w:t xml:space="preserve">   </w:t>
      </w:r>
      <w:r>
        <w:rPr>
          <w:rFonts w:eastAsia="仿宋_GB2312"/>
          <w:sz w:val="28"/>
          <w:szCs w:val="28"/>
        </w:rPr>
        <w:t>：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ind w:firstLine="640" w:firstLineChars="200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按照相关规定和绩效评价要求，根据贵单位的绩效自评报告和绩效评价工作组的现场评价情况，形成绩效评价报告。现将《×××绩效评价报告》反馈贵单位，请于    年     月   日前提出书面意见或说明，逾期未复，视为无异议。</w:t>
      </w:r>
    </w:p>
    <w:tbl>
      <w:tblPr>
        <w:tblStyle w:val="9"/>
        <w:tblW w:w="892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7" w:hRule="atLeast"/>
          <w:jc w:val="center"/>
        </w:trPr>
        <w:tc>
          <w:tcPr>
            <w:tcW w:w="8920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jc w:val="center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楷体_GB2312"/>
                <w:sz w:val="28"/>
                <w:szCs w:val="28"/>
              </w:rPr>
              <w:t>项目实施单位意见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3" w:hRule="atLeast"/>
          <w:jc w:val="center"/>
        </w:trPr>
        <w:tc>
          <w:tcPr>
            <w:tcW w:w="8920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一、对报告中“评价结论”的意见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二、对报告中“问题”和“建议”的意见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8"/>
                <w:szCs w:val="28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140" w:firstLineChars="50"/>
              <w:rPr>
                <w:rFonts w:hint="default" w:eastAsia="黑体"/>
                <w:sz w:val="28"/>
                <w:szCs w:val="28"/>
              </w:rPr>
            </w:pPr>
            <w:r>
              <w:rPr>
                <w:rFonts w:hint="default" w:eastAsia="黑体"/>
                <w:sz w:val="28"/>
                <w:szCs w:val="28"/>
              </w:rPr>
              <w:t>三、</w:t>
            </w:r>
            <w:r>
              <w:rPr>
                <w:rFonts w:hint="eastAsia" w:eastAsia="黑体"/>
                <w:sz w:val="28"/>
                <w:szCs w:val="28"/>
                <w:lang w:eastAsia="zh-CN"/>
              </w:rPr>
              <w:t>其他意见</w:t>
            </w:r>
            <w:r>
              <w:rPr>
                <w:rFonts w:hint="default" w:eastAsia="黑体"/>
                <w:sz w:val="28"/>
                <w:szCs w:val="28"/>
              </w:rPr>
              <w:t>或建议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wordWrap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eastAsia="仿宋_GB2312"/>
                <w:sz w:val="28"/>
                <w:szCs w:val="28"/>
              </w:rPr>
            </w:pPr>
          </w:p>
          <w:p>
            <w:pPr>
              <w:pStyle w:val="2"/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 w:eastAsia="仿宋_GB2312"/>
                <w:sz w:val="28"/>
                <w:szCs w:val="28"/>
              </w:rPr>
            </w:pPr>
            <w:r>
              <w:rPr>
                <w:rFonts w:hint="eastAsia" w:eastAsia="仿宋_GB2312"/>
                <w:sz w:val="28"/>
                <w:szCs w:val="28"/>
                <w:lang w:eastAsia="zh-CN"/>
              </w:rPr>
              <w:t>单</w:t>
            </w:r>
            <w:r>
              <w:rPr>
                <w:rFonts w:hint="default" w:eastAsia="仿宋_GB2312"/>
                <w:sz w:val="28"/>
                <w:szCs w:val="28"/>
              </w:rPr>
              <w:t>位（盖章）</w:t>
            </w:r>
          </w:p>
          <w:p>
            <w:pPr>
              <w:keepNext w:val="0"/>
              <w:keepLines w:val="0"/>
              <w:pageBreakBefore w:val="0"/>
              <w:suppressLineNumbers w:val="0"/>
              <w:kinsoku/>
              <w:wordWrap w:val="0"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1280"/>
              <w:jc w:val="right"/>
              <w:rPr>
                <w:rFonts w:hint="default"/>
                <w:sz w:val="28"/>
                <w:szCs w:val="28"/>
              </w:rPr>
            </w:pPr>
            <w:r>
              <w:rPr>
                <w:rFonts w:hint="default" w:eastAsia="仿宋_GB2312"/>
                <w:sz w:val="28"/>
                <w:szCs w:val="28"/>
              </w:rPr>
              <w:t>年   月   日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0" w:lineRule="exact"/>
        <w:textAlignment w:val="auto"/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</w:pPr>
      <w:r>
        <w:rPr>
          <w:rFonts w:hint="eastAsia" w:ascii="黑体" w:hAnsi="宋体" w:eastAsia="黑体" w:cs="黑体"/>
          <w:color w:val="000000"/>
          <w:kern w:val="0"/>
          <w:sz w:val="32"/>
          <w:szCs w:val="32"/>
          <w:lang w:bidi="ar"/>
        </w:rPr>
        <w:br w:type="page"/>
      </w:r>
    </w:p>
    <w:p>
      <w:pPr>
        <w:spacing w:before="181" w:line="171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附表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8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rFonts w:eastAsia="方正小标宋_GBK"/>
          <w:sz w:val="36"/>
          <w:szCs w:val="36"/>
        </w:rPr>
      </w:pPr>
      <w:r>
        <w:rPr>
          <w:rFonts w:eastAsia="方正小标宋_GBK"/>
          <w:sz w:val="36"/>
          <w:szCs w:val="36"/>
        </w:rPr>
        <w:t>绩效评价结果整改报告书</w:t>
      </w:r>
    </w:p>
    <w:p>
      <w:pPr>
        <w:keepNext w:val="0"/>
        <w:keepLines w:val="0"/>
        <w:pageBreakBefore w:val="0"/>
        <w:kinsoku/>
        <w:overflowPunct/>
        <w:topLinePunct w:val="0"/>
        <w:autoSpaceDE/>
        <w:bidi w:val="0"/>
        <w:spacing w:line="560" w:lineRule="exact"/>
        <w:jc w:val="center"/>
        <w:rPr>
          <w:sz w:val="28"/>
          <w:szCs w:val="28"/>
        </w:rPr>
      </w:pPr>
      <w:r>
        <w:rPr>
          <w:rFonts w:eastAsia="楷体_GB2312"/>
          <w:sz w:val="32"/>
          <w:szCs w:val="32"/>
        </w:rPr>
        <w:t>（参考格式）</w:t>
      </w:r>
    </w:p>
    <w:tbl>
      <w:tblPr>
        <w:tblStyle w:val="9"/>
        <w:tblW w:w="8600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27"/>
        <w:gridCol w:w="677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预算支出名称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评价内容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/>
              <w:jc w:val="center"/>
              <w:rPr>
                <w:rFonts w:hint="default" w:ascii="黑体" w:hAnsi="黑体" w:eastAsia="黑体"/>
                <w:sz w:val="24"/>
                <w:szCs w:val="24"/>
              </w:rPr>
            </w:pPr>
            <w:r>
              <w:rPr>
                <w:rFonts w:hint="default" w:ascii="黑体" w:hAnsi="黑体" w:eastAsia="黑体"/>
                <w:sz w:val="24"/>
                <w:szCs w:val="24"/>
              </w:rPr>
              <w:t>联系人及电话</w:t>
            </w:r>
          </w:p>
        </w:tc>
        <w:tc>
          <w:tcPr>
            <w:tcW w:w="6773" w:type="dxa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0" w:firstLine="560"/>
              <w:rPr>
                <w:rFonts w:hint="default"/>
                <w:sz w:val="24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89" w:hRule="atLeast"/>
          <w:jc w:val="center"/>
        </w:trPr>
        <w:tc>
          <w:tcPr>
            <w:tcW w:w="8600" w:type="dxa"/>
            <w:gridSpan w:val="2"/>
            <w:noWrap w:val="0"/>
            <w:vAlign w:val="top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default"/>
                <w:sz w:val="24"/>
                <w:szCs w:val="24"/>
              </w:rPr>
            </w:pPr>
            <w:r>
              <w:rPr>
                <w:rFonts w:hint="default"/>
                <w:sz w:val="32"/>
                <w:szCs w:val="32"/>
              </w:rPr>
              <w:t>整改情况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0" w:hRule="atLeast"/>
          <w:jc w:val="center"/>
        </w:trPr>
        <w:tc>
          <w:tcPr>
            <w:tcW w:w="1827" w:type="dxa"/>
            <w:noWrap w:val="0"/>
            <w:vAlign w:val="center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>单位意见</w:t>
            </w:r>
          </w:p>
        </w:tc>
        <w:tc>
          <w:tcPr>
            <w:tcW w:w="6773" w:type="dxa"/>
            <w:noWrap w:val="0"/>
            <w:vAlign w:val="bottom"/>
          </w:tcPr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center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</w:p>
          <w:p>
            <w:pPr>
              <w:keepNext w:val="0"/>
              <w:keepLines w:val="0"/>
              <w:pageBreakBefore w:val="0"/>
              <w:suppressLineNumbers w:val="0"/>
              <w:kinsoku/>
              <w:overflowPunct/>
              <w:topLinePunct w:val="0"/>
              <w:autoSpaceDE/>
              <w:bidi w:val="0"/>
              <w:spacing w:before="0" w:beforeAutospacing="0" w:after="0" w:afterAutospacing="0" w:line="560" w:lineRule="exact"/>
              <w:ind w:left="0" w:right="-27" w:rightChars="-13"/>
              <w:jc w:val="both"/>
              <w:rPr>
                <w:rFonts w:hint="eastAsia" w:ascii="Times New Roman" w:hAnsi="Times New Roman" w:eastAsia="宋体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单位负责人签名： 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单位（盖章）：  </w:t>
            </w:r>
            <w:r>
              <w:rPr>
                <w:rFonts w:hint="eastAsia" w:cs="Times New Roman"/>
                <w:sz w:val="24"/>
                <w:szCs w:val="24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</w:rPr>
              <w:t xml:space="preserve"> 年    月    日</w:t>
            </w:r>
          </w:p>
        </w:tc>
      </w:tr>
    </w:tbl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both"/>
        <w:textAlignment w:val="auto"/>
        <w:rPr>
          <w:rFonts w:hint="eastAsia" w:ascii="黑体" w:hAnsi="黑体" w:eastAsia="黑体" w:cs="黑体"/>
          <w:sz w:val="21"/>
          <w:szCs w:val="21"/>
          <w:lang w:val="en-US" w:eastAsia="zh-CN"/>
        </w:rPr>
      </w:pPr>
      <w:r>
        <w:rPr>
          <w:rFonts w:hint="eastAsia" w:ascii="宋体" w:hAnsi="宋体" w:cs="宋体"/>
          <w:b/>
          <w:sz w:val="21"/>
          <w:szCs w:val="21"/>
        </w:rPr>
        <w:t>注</w:t>
      </w:r>
      <w:r>
        <w:rPr>
          <w:rFonts w:hint="eastAsia" w:ascii="宋体" w:hAnsi="宋体" w:cs="宋体"/>
          <w:bCs/>
          <w:sz w:val="21"/>
          <w:szCs w:val="21"/>
        </w:rPr>
        <w:t>：绩效评价结果整改报告书应在收到绩效评价结果反馈意见后</w:t>
      </w:r>
      <w:r>
        <w:rPr>
          <w:rFonts w:hint="eastAsia" w:ascii="宋体" w:hAnsi="宋体" w:cs="宋体"/>
          <w:bCs/>
          <w:sz w:val="21"/>
          <w:szCs w:val="21"/>
          <w:lang w:val="en-US" w:eastAsia="zh-CN"/>
        </w:rPr>
        <w:t>30</w:t>
      </w:r>
      <w:r>
        <w:rPr>
          <w:rFonts w:hint="eastAsia" w:ascii="宋体" w:hAnsi="宋体" w:cs="宋体"/>
          <w:bCs/>
          <w:sz w:val="21"/>
          <w:szCs w:val="21"/>
        </w:rPr>
        <w:t>天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内</w:t>
      </w:r>
      <w:r>
        <w:rPr>
          <w:rFonts w:hint="eastAsia" w:ascii="宋体" w:hAnsi="宋体" w:cs="宋体"/>
          <w:bCs/>
          <w:sz w:val="21"/>
          <w:szCs w:val="21"/>
        </w:rPr>
        <w:t>交</w:t>
      </w:r>
      <w:r>
        <w:rPr>
          <w:rFonts w:hint="eastAsia" w:ascii="宋体" w:hAnsi="宋体" w:cs="宋体"/>
          <w:bCs/>
          <w:sz w:val="21"/>
          <w:szCs w:val="21"/>
          <w:lang w:eastAsia="zh-CN"/>
        </w:rPr>
        <w:t>县</w:t>
      </w:r>
      <w:r>
        <w:rPr>
          <w:rFonts w:hint="eastAsia" w:ascii="宋体" w:hAnsi="宋体" w:cs="宋体"/>
          <w:bCs/>
          <w:sz w:val="21"/>
          <w:szCs w:val="21"/>
        </w:rPr>
        <w:t>财政局绩效管理股。</w:t>
      </w:r>
    </w:p>
    <w:sectPr>
      <w:footerReference r:id="rId6" w:type="default"/>
      <w:pgSz w:w="11905" w:h="16838"/>
      <w:pgMar w:top="1984" w:right="1701" w:bottom="1984" w:left="1701" w:header="850" w:footer="1587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rtlGutter w:val="0"/>
      <w:docGrid w:type="lines" w:linePitch="314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287052EF-61B1-4C67-8A19-1999A899D0DF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8CC0D2DE-AC9A-441E-80D7-E3DCD4ACDFE2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3FC0D17F-02BF-49AA-9DD0-5723B14FAD1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2ED9CFC-E906-4C39-B932-9E5095516EA4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FCE02236-710C-43FC-8C16-3E9FF7E85602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53710E47-473A-4D52-9F84-42EF43737B33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0" w:usb1="00000000" w:usb2="00000000" w:usb3="00000000" w:csb0="00000000" w:csb1="00000000"/>
    <w:embedRegular r:id="rId7" w:fontKey="{9AEDCCC9-C533-414E-9601-DAE7A829D380}"/>
  </w:font>
  <w:font w:name="方正小标宋简体">
    <w:panose1 w:val="03000509000000000000"/>
    <w:charset w:val="86"/>
    <w:family w:val="auto"/>
    <w:pitch w:val="default"/>
    <w:sig w:usb0="00000000" w:usb1="00000000" w:usb2="00000000" w:usb3="00000000" w:csb0="00000000" w:csb1="00000000"/>
    <w:embedRegular r:id="rId8" w:fontKey="{48570CFE-565F-4842-95F2-CEB4EC0DA351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9" w:fontKey="{9E2835D2-84F9-4980-86B9-34BC00C190D1}"/>
  </w:font>
  <w:font w:name="华文仿宋">
    <w:panose1 w:val="02010600040101010101"/>
    <w:charset w:val="86"/>
    <w:family w:val="auto"/>
    <w:pitch w:val="default"/>
    <w:sig w:usb0="00000000" w:usb1="00000000" w:usb2="00000000" w:usb3="00000000" w:csb0="00000000" w:csb1="00000000"/>
    <w:embedRegular r:id="rId10" w:fontKey="{948A2E85-9ABA-496E-BF97-9807F04DD6D5}"/>
  </w:font>
  <w:font w:name="新宋体">
    <w:panose1 w:val="02010609030101010101"/>
    <w:charset w:val="86"/>
    <w:family w:val="auto"/>
    <w:pitch w:val="default"/>
    <w:sig w:usb0="00000283" w:usb1="288F0000" w:usb2="00000006" w:usb3="00000000" w:csb0="00040001" w:csb1="00000000"/>
    <w:embedRegular r:id="rId11" w:fontKey="{32468827-7489-47CE-B55F-7B9FCA884B33}"/>
  </w:font>
  <w:font w:name="楷体_GB2312">
    <w:altName w:val="楷体"/>
    <w:panose1 w:val="02010609030101010101"/>
    <w:charset w:val="86"/>
    <w:family w:val="auto"/>
    <w:pitch w:val="default"/>
    <w:sig w:usb0="00000000" w:usb1="00000000" w:usb2="00000000" w:usb3="00000000" w:csb0="00040000" w:csb1="00000000"/>
    <w:embedRegular r:id="rId12" w:fontKey="{F577F6A0-E940-451F-A47A-BE2CEF468C97}"/>
  </w:font>
  <w:font w:name="方正小标宋_GBK">
    <w:panose1 w:val="03000509000000000000"/>
    <w:charset w:val="86"/>
    <w:family w:val="script"/>
    <w:pitch w:val="default"/>
    <w:sig w:usb0="00000000" w:usb1="00000000" w:usb2="00000000" w:usb3="00000000" w:csb0="00000000" w:csb1="00000000"/>
    <w:embedRegular r:id="rId13" w:fontKey="{5454A02B-8B67-47BD-97E8-7325612058B9}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4" w:fontKey="{22CAEE55-BB29-451A-885C-0EECB1E68FD5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jc w:val="center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" name="文本框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7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0lY7tAAAAAFAQAADwAAAAAAAAABACAA&#10;AAAiAAAAZHJzL2Rvd25yZXYueG1sUEsBAhQAFAAAAAgAh07iQI3F45UVAgAAFQQAAA4AAAAAAAAA&#10;AQAgAAAAHwEAAGRycy9lMm9Eb2MueG1sUEsFBgAAAAAGAAYAWQEAAKY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7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8576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1" name="文本框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10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9tdHoSAgAAFQ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M9tdHoSAgAAFQ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10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begin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separate"/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t>12</w:t>
                          </w:r>
                          <w:r>
                            <w:rPr>
                              <w:rFonts w:hint="default" w:ascii="Times New Roman" w:hAnsi="Times New Roman" w:eastAsia="华文仿宋" w:cs="Times New Roman"/>
                              <w:sz w:val="32"/>
                              <w:szCs w:val="32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Cjsqfh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</w:pP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begin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instrText xml:space="preserve"> PAGE  \* MERGEFORMAT </w:instrTex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separate"/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t>12</w:t>
                    </w:r>
                    <w:r>
                      <w:rPr>
                        <w:rFonts w:hint="default" w:ascii="Times New Roman" w:hAnsi="Times New Roman" w:eastAsia="华文仿宋" w:cs="Times New Roman"/>
                        <w:sz w:val="32"/>
                        <w:szCs w:val="32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spacing w:before="1" w:line="174" w:lineRule="auto"/>
      <w:ind w:left="574"/>
      <w:rPr>
        <w:sz w:val="28"/>
        <w:szCs w:val="28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 w:val="0"/>
                            <w:ind w:left="525" w:leftChars="250" w:right="525" w:rightChars="250"/>
                            <w:textAlignment w:val="auto"/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begin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t>15</w:t>
                          </w:r>
                          <w:r>
                            <w:rPr>
                              <w:rFonts w:hint="eastAsia" w:ascii="华文仿宋" w:hAnsi="华文仿宋" w:eastAsia="华文仿宋" w:cs="华文仿宋"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zSVju0AAAAAUBAAAPAAAAAAAAAAEAIAAA&#10;ACIAAABkcnMvZG93bnJldi54bWxQSwECFAAUAAAACACHTuJAB2hfnRQCAAAVBAAADgAAAAAAAAAB&#10;ACAAAAAfAQAAZHJzL2Uyb0RvYy54bWxQSwUGAAAAAAYABgBZAQAAp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  <w:keepNext w:val="0"/>
                      <w:keepLines w:val="0"/>
                      <w:pageBreakBefore w:val="0"/>
                      <w:widowControl w:val="0"/>
                      <w:kinsoku/>
                      <w:wordWrap/>
                      <w:overflowPunct/>
                      <w:topLinePunct w:val="0"/>
                      <w:bidi w:val="0"/>
                      <w:adjustRightInd/>
                      <w:snapToGrid w:val="0"/>
                      <w:ind w:left="525" w:leftChars="250" w:right="525" w:rightChars="250"/>
                      <w:textAlignment w:val="auto"/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</w:pP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begin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instrText xml:space="preserve"> PAGE  \* MERGEFORMAT </w:instrTex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separate"/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t>15</w:t>
                    </w:r>
                    <w:r>
                      <w:rPr>
                        <w:rFonts w:hint="eastAsia" w:ascii="华文仿宋" w:hAnsi="华文仿宋" w:eastAsia="华文仿宋" w:cs="华文仿宋"/>
                        <w:sz w:val="28"/>
                        <w:szCs w:val="2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FF82C48"/>
    <w:multiLevelType w:val="singleLevel"/>
    <w:tmpl w:val="1FF82C48"/>
    <w:lvl w:ilvl="0" w:tentative="0">
      <w:start w:val="1"/>
      <w:numFmt w:val="decimal"/>
      <w:suff w:val="nothing"/>
      <w:lvlText w:val="%1，"/>
      <w:lvlJc w:val="left"/>
    </w:lvl>
  </w:abstractNum>
  <w:abstractNum w:abstractNumId="1">
    <w:nsid w:val="502AF1FE"/>
    <w:multiLevelType w:val="singleLevel"/>
    <w:tmpl w:val="502AF1FE"/>
    <w:lvl w:ilvl="0" w:tentative="0">
      <w:start w:val="7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60BF850F"/>
    <w:multiLevelType w:val="singleLevel"/>
    <w:tmpl w:val="60BF850F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bordersDoNotSurroundHeader w:val="0"/>
  <w:bordersDoNotSurroundFooter w:val="0"/>
  <w:documentProtection w:enforcement="0"/>
  <w:defaultTabStop w:val="420"/>
  <w:drawingGridHorizontalSpacing w:val="210"/>
  <w:drawingGridVerticalSpacing w:val="157"/>
  <w:displayHorizontalDrawingGridEvery w:val="1"/>
  <w:displayVerticalDrawingGridEvery w:val="1"/>
  <w:noPunctuationKerning w:val="1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underlineTabInNumLis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lkMTMzNTdkMzk4M2E1NGRiYTkyNDIzZGZlODA4NDAifQ=="/>
  </w:docVars>
  <w:rsids>
    <w:rsidRoot w:val="0CCB7736"/>
    <w:rsid w:val="00047FEF"/>
    <w:rsid w:val="000A3906"/>
    <w:rsid w:val="001776F1"/>
    <w:rsid w:val="006F0A16"/>
    <w:rsid w:val="00773328"/>
    <w:rsid w:val="00821883"/>
    <w:rsid w:val="00917857"/>
    <w:rsid w:val="00951882"/>
    <w:rsid w:val="00A755C2"/>
    <w:rsid w:val="00D06DD6"/>
    <w:rsid w:val="011D2710"/>
    <w:rsid w:val="016A347B"/>
    <w:rsid w:val="01B42948"/>
    <w:rsid w:val="01BF20E7"/>
    <w:rsid w:val="01E4322D"/>
    <w:rsid w:val="021138F7"/>
    <w:rsid w:val="0281019D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2DC6638"/>
    <w:rsid w:val="13441D7E"/>
    <w:rsid w:val="136F31F8"/>
    <w:rsid w:val="138750E0"/>
    <w:rsid w:val="1396506E"/>
    <w:rsid w:val="13C2793D"/>
    <w:rsid w:val="13D82A59"/>
    <w:rsid w:val="140E6961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1FCB794D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AD20EF5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A0671D"/>
    <w:rsid w:val="30FB4B41"/>
    <w:rsid w:val="31621165"/>
    <w:rsid w:val="31DA3958"/>
    <w:rsid w:val="322E1E8E"/>
    <w:rsid w:val="323C5548"/>
    <w:rsid w:val="33235CE2"/>
    <w:rsid w:val="33B0531F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47DE2"/>
    <w:rsid w:val="47BF53CA"/>
    <w:rsid w:val="48B126BB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FD3402"/>
    <w:rsid w:val="5968027A"/>
    <w:rsid w:val="59AC01B2"/>
    <w:rsid w:val="5AAF7799"/>
    <w:rsid w:val="5AB04BD0"/>
    <w:rsid w:val="5B5C1753"/>
    <w:rsid w:val="5BE211F7"/>
    <w:rsid w:val="5BF510BE"/>
    <w:rsid w:val="5C6C4B26"/>
    <w:rsid w:val="5C6D13C8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254BB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81A7E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2F3D4F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qFormat="1" w:unhideWhenUsed="0" w:uiPriority="0" w:semiHidden="0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nhideWhenUsed="0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nhideWhenUsed="0" w:uiPriority="99" w:name="Default Paragraph Font"/>
    <w:lsdException w:qFormat="1" w:unhideWhenUsed="0" w:uiPriority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qFormat="1" w:unhideWhenUsed="0" w:uiPriority="0" w:semiHidden="0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9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3">
    <w:name w:val="heading 1"/>
    <w:basedOn w:val="1"/>
    <w:next w:val="1"/>
    <w:qFormat/>
    <w:locked/>
    <w:uiPriority w:val="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11">
    <w:name w:val="Default Paragraph Font"/>
    <w:semiHidden/>
    <w:qFormat/>
    <w:uiPriority w:val="99"/>
  </w:style>
  <w:style w:type="table" w:default="1" w:styleId="9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eastAsia="Times New Roman" w:cs="Times New Roman"/>
      <w:sz w:val="20"/>
      <w:szCs w:val="20"/>
    </w:rPr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note text"/>
    <w:basedOn w:val="1"/>
    <w:next w:val="1"/>
    <w:qFormat/>
    <w:uiPriority w:val="0"/>
    <w:pPr>
      <w:snapToGrid w:val="0"/>
      <w:jc w:val="left"/>
    </w:pPr>
    <w:rPr>
      <w:sz w:val="18"/>
      <w:szCs w:val="18"/>
    </w:rPr>
  </w:style>
  <w:style w:type="paragraph" w:styleId="4">
    <w:name w:val="Body Text"/>
    <w:basedOn w:val="1"/>
    <w:semiHidden/>
    <w:qFormat/>
    <w:uiPriority w:val="0"/>
    <w:rPr>
      <w:rFonts w:ascii="仿宋" w:hAnsi="仿宋" w:eastAsia="仿宋" w:cs="仿宋"/>
      <w:sz w:val="31"/>
      <w:szCs w:val="31"/>
      <w:lang w:val="en-US" w:eastAsia="en-US" w:bidi="ar-SA"/>
    </w:rPr>
  </w:style>
  <w:style w:type="paragraph" w:styleId="5">
    <w:name w:val="Body Text Indent"/>
    <w:basedOn w:val="1"/>
    <w:qFormat/>
    <w:uiPriority w:val="0"/>
    <w:pPr>
      <w:spacing w:after="120"/>
      <w:ind w:left="420" w:leftChars="200"/>
    </w:pPr>
    <w:rPr>
      <w:rFonts w:ascii="Times New Roman" w:hAnsi="Times New Roman" w:eastAsia="宋体" w:cs="Times New Roman"/>
    </w:rPr>
  </w:style>
  <w:style w:type="paragraph" w:styleId="6">
    <w:name w:val="footer"/>
    <w:basedOn w:val="1"/>
    <w:link w:val="13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4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8">
    <w:name w:val="Body Text First Indent 2"/>
    <w:basedOn w:val="5"/>
    <w:qFormat/>
    <w:uiPriority w:val="0"/>
    <w:pPr>
      <w:spacing w:before="100" w:beforeAutospacing="1" w:after="0"/>
      <w:ind w:left="0" w:firstLine="420" w:firstLineChars="200"/>
    </w:pPr>
    <w:rPr>
      <w:rFonts w:ascii="Calibri" w:hAnsi="Calibri" w:eastAsia="宋体" w:cs="Times New Roman"/>
    </w:rPr>
  </w:style>
  <w:style w:type="table" w:styleId="10">
    <w:name w:val="Table Grid"/>
    <w:basedOn w:val="9"/>
    <w:qFormat/>
    <w:uiPriority w:val="99"/>
    <w:pPr>
      <w:widowControl w:val="0"/>
      <w:jc w:val="both"/>
    </w:pPr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character" w:styleId="12">
    <w:name w:val="page number"/>
    <w:basedOn w:val="11"/>
    <w:qFormat/>
    <w:uiPriority w:val="99"/>
    <w:rPr>
      <w:rFonts w:cs="Times New Roman"/>
    </w:rPr>
  </w:style>
  <w:style w:type="character" w:customStyle="1" w:styleId="13">
    <w:name w:val="Footer Char"/>
    <w:basedOn w:val="11"/>
    <w:link w:val="6"/>
    <w:semiHidden/>
    <w:qFormat/>
    <w:uiPriority w:val="99"/>
    <w:rPr>
      <w:sz w:val="18"/>
      <w:szCs w:val="18"/>
    </w:rPr>
  </w:style>
  <w:style w:type="character" w:customStyle="1" w:styleId="14">
    <w:name w:val="Header Char"/>
    <w:basedOn w:val="11"/>
    <w:link w:val="7"/>
    <w:semiHidden/>
    <w:qFormat/>
    <w:uiPriority w:val="99"/>
    <w:rPr>
      <w:sz w:val="18"/>
      <w:szCs w:val="18"/>
    </w:rPr>
  </w:style>
  <w:style w:type="paragraph" w:styleId="15">
    <w:name w:val="List Paragraph"/>
    <w:basedOn w:val="1"/>
    <w:qFormat/>
    <w:uiPriority w:val="99"/>
    <w:pPr>
      <w:ind w:firstLine="420" w:firstLineChars="200"/>
    </w:pPr>
    <w:rPr>
      <w:rFonts w:ascii="Calibri" w:hAnsi="Calibri"/>
      <w:szCs w:val="22"/>
    </w:rPr>
  </w:style>
  <w:style w:type="table" w:customStyle="1" w:styleId="16">
    <w:name w:val="Table Normal"/>
    <w:semiHidden/>
    <w:unhideWhenUsed/>
    <w:qFormat/>
    <w:uiPriority w:val="0"/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7">
    <w:name w:val="Table Text"/>
    <w:basedOn w:val="1"/>
    <w:semiHidden/>
    <w:qFormat/>
    <w:uiPriority w:val="0"/>
    <w:rPr>
      <w:rFonts w:ascii="Arial" w:hAnsi="Arial" w:eastAsia="Arial" w:cs="Arial"/>
      <w:sz w:val="21"/>
      <w:szCs w:val="21"/>
      <w:lang w:val="en-US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theme" Target="theme/theme1.xml"/><Relationship Id="rId6" Type="http://schemas.openxmlformats.org/officeDocument/2006/relationships/footer" Target="footer4.xml"/><Relationship Id="rId5" Type="http://schemas.openxmlformats.org/officeDocument/2006/relationships/footer" Target="footer3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4" Type="http://schemas.openxmlformats.org/officeDocument/2006/relationships/font" Target="fonts/font14.odttf"/><Relationship Id="rId13" Type="http://schemas.openxmlformats.org/officeDocument/2006/relationships/font" Target="fonts/font13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Pages>14</Pages>
  <Words>3228</Words>
  <Characters>3521</Characters>
  <Lines>0</Lines>
  <Paragraphs>0</Paragraphs>
  <TotalTime>1</TotalTime>
  <ScaleCrop>false</ScaleCrop>
  <LinksUpToDate>false</LinksUpToDate>
  <CharactersWithSpaces>3685</CharactersWithSpaces>
  <Application>WPS Office_11.1.0.9021_F1E327BC-269C-435d-A152-05C5408002CA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2020-06-06T01:07:00Z</dcterms:created>
  <dc:creator>Administrator</dc:creator>
  <cp:lastModifiedBy>Administrator</cp:lastModifiedBy>
  <cp:lastPrinted>2024-05-20T07:59:00Z</cp:lastPrinted>
  <dcterms:modified xsi:type="dcterms:W3CDTF">2024-05-28T04:56:20Z</dcterms:modifi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2052-11.1.0.9021</vt:lpwstr>
  </property>
  <property fmtid="{D5CDD505-2E9C-101B-9397-08002B2CF9AE}" pid="3" name="KSOSaveFontToCloudKey">
    <vt:lpwstr>386772509_embed</vt:lpwstr>
  </property>
  <property fmtid="{D5CDD505-2E9C-101B-9397-08002B2CF9AE}" pid="4" name="ICV">
    <vt:lpwstr>884A5748EDDA43F3A89CD26D17407F93</vt:lpwstr>
  </property>
</Properties>
</file>