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9DFF5">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799AE4CB">
      <w:pPr>
        <w:pStyle w:val="17"/>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华容县花兰窖电力排灌站</w:t>
      </w:r>
    </w:p>
    <w:p w14:paraId="4BAB9298">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45DA8B0F">
      <w:pPr>
        <w:pStyle w:val="17"/>
        <w:spacing w:line="500" w:lineRule="exact"/>
        <w:jc w:val="both"/>
        <w:rPr>
          <w:b/>
          <w:sz w:val="36"/>
          <w:szCs w:val="28"/>
        </w:rPr>
      </w:pPr>
    </w:p>
    <w:p w14:paraId="3BAE69DD">
      <w:pPr>
        <w:pStyle w:val="17"/>
        <w:spacing w:line="500" w:lineRule="exact"/>
        <w:jc w:val="center"/>
        <w:rPr>
          <w:b/>
          <w:sz w:val="36"/>
          <w:szCs w:val="28"/>
        </w:rPr>
      </w:pPr>
      <w:r>
        <w:rPr>
          <w:rFonts w:hint="eastAsia"/>
          <w:b/>
          <w:sz w:val="36"/>
          <w:szCs w:val="28"/>
        </w:rPr>
        <w:t>目录</w:t>
      </w:r>
    </w:p>
    <w:p w14:paraId="1622CC97">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color w:val="auto"/>
          <w:sz w:val="28"/>
          <w:szCs w:val="28"/>
          <w:highlight w:val="none"/>
          <w:lang w:eastAsia="zh-CN"/>
        </w:rPr>
        <w:t>华容县花兰窖电力排灌站</w:t>
      </w:r>
      <w:r>
        <w:rPr>
          <w:rFonts w:hint="eastAsia" w:ascii="黑体" w:hAnsi="黑体" w:eastAsia="黑体" w:cs="黑体"/>
          <w:b w:val="0"/>
          <w:bCs/>
          <w:sz w:val="28"/>
          <w:szCs w:val="28"/>
        </w:rPr>
        <w:t>概况</w:t>
      </w:r>
    </w:p>
    <w:p w14:paraId="2D13BEB6">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A87AB23">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52610872">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D8FEFA7">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3AAE4AA">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FCDF1D6">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1D3DFAF">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1FFCAFC">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643D92A">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EA8BDD7">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15FF767">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1C549E0">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0DF0E63">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D5FA464">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B8A0825">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E901F6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5B521E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85D197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4A7B03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99E0AD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4371071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E44EC1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九、国有资本经营预算财政拨款支出决算情况</w:t>
      </w:r>
    </w:p>
    <w:p w14:paraId="370C0E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十、关于机关运行经费支出说明</w:t>
      </w:r>
    </w:p>
    <w:p w14:paraId="6940C12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十一、一般性支出情况说明</w:t>
      </w:r>
    </w:p>
    <w:p w14:paraId="2F3859C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十二、关于政府采购支出说明</w:t>
      </w:r>
    </w:p>
    <w:p w14:paraId="3525657C">
      <w:pPr>
        <w:pStyle w:val="17"/>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十三、关于国有资产占用情况说明</w:t>
      </w:r>
    </w:p>
    <w:p w14:paraId="155CED2E">
      <w:pPr>
        <w:pStyle w:val="17"/>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十四、关于2023年度预算绩效情况的说明</w:t>
      </w:r>
    </w:p>
    <w:p w14:paraId="5817340A">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2CBF8258">
      <w:pPr>
        <w:pStyle w:val="17"/>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29761C0">
      <w:pPr>
        <w:pStyle w:val="17"/>
        <w:spacing w:line="500" w:lineRule="exact"/>
        <w:rPr>
          <w:rFonts w:hint="eastAsia" w:ascii="黑体" w:hAnsi="黑体" w:eastAsia="黑体" w:cs="黑体"/>
          <w:b w:val="0"/>
          <w:bCs/>
          <w:sz w:val="28"/>
          <w:szCs w:val="28"/>
        </w:rPr>
      </w:pPr>
    </w:p>
    <w:p w14:paraId="58F51ABF">
      <w:pPr>
        <w:pStyle w:val="17"/>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605A33A3">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8"/>
          <w:szCs w:val="48"/>
          <w:lang w:eastAsia="zh-CN"/>
        </w:rPr>
        <w:t>华容县花兰窖电力排灌站</w:t>
      </w:r>
      <w:r>
        <w:rPr>
          <w:rFonts w:hint="eastAsia" w:ascii="方正小标宋_GBK" w:hAnsi="方正小标宋_GBK" w:eastAsia="方正小标宋_GBK" w:cs="方正小标宋_GBK"/>
          <w:sz w:val="48"/>
          <w:szCs w:val="48"/>
        </w:rPr>
        <w:t>概况</w:t>
      </w:r>
    </w:p>
    <w:p w14:paraId="441734A6">
      <w:pPr>
        <w:pStyle w:val="18"/>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3252F40">
      <w:pPr>
        <w:widowControl/>
        <w:spacing w:line="600" w:lineRule="exact"/>
        <w:ind w:firstLine="640" w:firstLineChars="200"/>
        <w:rPr>
          <w:rFonts w:hint="eastAsia" w:ascii="Times New Roman" w:hAnsi="Times New Roman" w:eastAsia="仿宋_GB2312" w:cs="仿宋_GB2312"/>
          <w:bCs/>
          <w:kern w:val="0"/>
          <w:sz w:val="32"/>
          <w:szCs w:val="32"/>
          <w:lang w:val="zh-CN" w:eastAsia="zh-CN"/>
        </w:rPr>
      </w:pPr>
      <w:r>
        <w:rPr>
          <w:rFonts w:hint="eastAsia" w:ascii="Times New Roman" w:hAnsi="Times New Roman" w:eastAsia="仿宋_GB2312" w:cs="仿宋_GB2312"/>
          <w:bCs/>
          <w:kern w:val="0"/>
          <w:sz w:val="32"/>
          <w:szCs w:val="32"/>
          <w:lang w:val="en-US" w:eastAsia="zh-CN"/>
        </w:rPr>
        <w:t>1，</w:t>
      </w:r>
      <w:r>
        <w:rPr>
          <w:rFonts w:hint="eastAsia" w:ascii="Times New Roman" w:hAnsi="Times New Roman" w:eastAsia="仿宋_GB2312" w:cs="仿宋_GB2312"/>
          <w:bCs/>
          <w:kern w:val="0"/>
          <w:sz w:val="32"/>
          <w:szCs w:val="32"/>
          <w:lang w:val="zh-CN" w:eastAsia="zh-CN"/>
        </w:rPr>
        <w:t>负责机务管理、设备运行、设备检修，确保排灌适时开机。</w:t>
      </w:r>
    </w:p>
    <w:p w14:paraId="3FB90B0E">
      <w:pPr>
        <w:widowControl/>
        <w:spacing w:line="600" w:lineRule="exact"/>
        <w:ind w:firstLine="640" w:firstLineChars="200"/>
        <w:rPr>
          <w:rFonts w:hint="eastAsia" w:ascii="Times New Roman" w:hAnsi="Times New Roman" w:eastAsia="仿宋_GB2312" w:cs="仿宋_GB2312"/>
          <w:bCs/>
          <w:kern w:val="0"/>
          <w:sz w:val="32"/>
          <w:szCs w:val="32"/>
          <w:lang w:val="zh-CN" w:eastAsia="zh-CN"/>
        </w:rPr>
      </w:pPr>
      <w:r>
        <w:rPr>
          <w:rFonts w:hint="eastAsia" w:ascii="Times New Roman" w:hAnsi="Times New Roman" w:eastAsia="仿宋_GB2312" w:cs="仿宋_GB2312"/>
          <w:bCs/>
          <w:kern w:val="0"/>
          <w:sz w:val="32"/>
          <w:szCs w:val="32"/>
          <w:lang w:val="en-US" w:eastAsia="zh-CN"/>
        </w:rPr>
        <w:t>2，</w:t>
      </w:r>
      <w:r>
        <w:rPr>
          <w:rFonts w:hint="eastAsia" w:ascii="Times New Roman" w:hAnsi="Times New Roman" w:eastAsia="仿宋_GB2312" w:cs="仿宋_GB2312"/>
          <w:bCs/>
          <w:kern w:val="0"/>
          <w:sz w:val="32"/>
          <w:szCs w:val="32"/>
          <w:lang w:val="zh-CN" w:eastAsia="zh-CN"/>
        </w:rPr>
        <w:t>负责排区工程管理、掌握雨情、水情，搞好排灌调度，确保工程安全，充分发挥工程效益。</w:t>
      </w:r>
    </w:p>
    <w:p w14:paraId="0E4A6706">
      <w:pPr>
        <w:widowControl/>
        <w:spacing w:line="600" w:lineRule="exact"/>
        <w:ind w:firstLine="640" w:firstLineChars="200"/>
        <w:rPr>
          <w:rFonts w:hint="eastAsia" w:ascii="Times New Roman" w:hAnsi="Times New Roman" w:eastAsia="仿宋_GB2312" w:cs="仿宋_GB2312"/>
          <w:bCs/>
          <w:kern w:val="0"/>
          <w:sz w:val="32"/>
          <w:szCs w:val="32"/>
          <w:lang w:val="zh-CN" w:eastAsia="zh-CN"/>
        </w:rPr>
      </w:pP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lang w:val="zh-CN" w:eastAsia="zh-CN"/>
        </w:rPr>
        <w:t>掌握本区域排灌工程运行情况，熟悉排灌工程的规划、设计、施工和管理运行等资料，以及历年检修与改造的有关情况。</w:t>
      </w:r>
    </w:p>
    <w:p w14:paraId="4C52BAA5">
      <w:pPr>
        <w:widowControl/>
        <w:spacing w:line="600" w:lineRule="exact"/>
        <w:ind w:firstLine="640" w:firstLineChars="200"/>
        <w:rPr>
          <w:rFonts w:hint="eastAsia" w:ascii="Times New Roman" w:hAnsi="Times New Roman" w:eastAsia="仿宋_GB2312" w:cs="仿宋_GB2312"/>
          <w:bCs/>
          <w:kern w:val="0"/>
          <w:sz w:val="32"/>
          <w:szCs w:val="32"/>
          <w:lang w:val="zh-CN" w:eastAsia="zh-CN"/>
        </w:rPr>
      </w:pP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lang w:val="zh-CN" w:eastAsia="zh-CN"/>
        </w:rPr>
        <w:t>进行工程检查观测、维护管理，随时掌握排灌工程运行动态，消除设备工程故障。</w:t>
      </w:r>
    </w:p>
    <w:p w14:paraId="2C4AC1E5">
      <w:pPr>
        <w:widowControl/>
        <w:spacing w:line="600" w:lineRule="exact"/>
        <w:ind w:firstLine="640" w:firstLineChars="200"/>
        <w:rPr>
          <w:rFonts w:hint="eastAsia" w:ascii="Times New Roman" w:hAnsi="Times New Roman" w:eastAsia="仿宋_GB2312" w:cs="仿宋_GB2312"/>
          <w:bCs/>
          <w:kern w:val="0"/>
          <w:sz w:val="32"/>
          <w:szCs w:val="32"/>
          <w:lang w:val="zh-CN" w:eastAsia="zh-CN"/>
        </w:rPr>
      </w:pPr>
      <w:r>
        <w:rPr>
          <w:rFonts w:hint="eastAsia" w:ascii="Times New Roman" w:hAnsi="Times New Roman" w:eastAsia="仿宋_GB2312" w:cs="仿宋_GB2312"/>
          <w:bCs/>
          <w:kern w:val="0"/>
          <w:sz w:val="32"/>
          <w:szCs w:val="32"/>
          <w:lang w:val="en-US" w:eastAsia="zh-CN"/>
        </w:rPr>
        <w:t>5，</w:t>
      </w:r>
      <w:r>
        <w:rPr>
          <w:rFonts w:hint="eastAsia" w:ascii="Times New Roman" w:hAnsi="Times New Roman" w:eastAsia="仿宋_GB2312" w:cs="仿宋_GB2312"/>
          <w:bCs/>
          <w:kern w:val="0"/>
          <w:sz w:val="32"/>
          <w:szCs w:val="32"/>
          <w:lang w:val="zh-CN" w:eastAsia="zh-CN"/>
        </w:rPr>
        <w:t>协调和处理好排区水事纠纷。</w:t>
      </w:r>
    </w:p>
    <w:p w14:paraId="10A692E8">
      <w:pPr>
        <w:widowControl/>
        <w:spacing w:line="600" w:lineRule="exact"/>
        <w:ind w:firstLine="640" w:firstLineChars="200"/>
        <w:rPr>
          <w:rFonts w:hint="eastAsia" w:ascii="Times New Roman" w:hAnsi="Times New Roman" w:eastAsia="仿宋_GB2312" w:cs="仿宋_GB2312"/>
          <w:bCs/>
          <w:kern w:val="0"/>
          <w:sz w:val="32"/>
          <w:szCs w:val="32"/>
          <w:lang w:val="zh-CN" w:eastAsia="zh-CN"/>
        </w:rPr>
      </w:pPr>
      <w:r>
        <w:rPr>
          <w:rFonts w:hint="eastAsia" w:ascii="Times New Roman" w:hAnsi="Times New Roman" w:eastAsia="仿宋_GB2312" w:cs="仿宋_GB2312"/>
          <w:bCs/>
          <w:kern w:val="0"/>
          <w:sz w:val="32"/>
          <w:szCs w:val="32"/>
          <w:lang w:val="en-US" w:eastAsia="zh-CN"/>
        </w:rPr>
        <w:t>6，</w:t>
      </w:r>
      <w:r>
        <w:rPr>
          <w:rFonts w:hint="eastAsia" w:ascii="Times New Roman" w:hAnsi="Times New Roman" w:eastAsia="仿宋_GB2312" w:cs="仿宋_GB2312"/>
          <w:bCs/>
          <w:kern w:val="0"/>
          <w:sz w:val="32"/>
          <w:szCs w:val="32"/>
          <w:lang w:val="zh-CN" w:eastAsia="zh-CN"/>
        </w:rPr>
        <w:t>开展机电排灌工程技术革新。</w:t>
      </w:r>
    </w:p>
    <w:p w14:paraId="0626CD79">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p>
    <w:p w14:paraId="2B9AE213">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p>
    <w:p w14:paraId="2B695A1B">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p>
    <w:p w14:paraId="5A5F52EA">
      <w:pPr>
        <w:widowControl/>
        <w:numPr>
          <w:ilvl w:val="0"/>
          <w:numId w:val="2"/>
        </w:numPr>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机构设置及决算单位构成</w:t>
      </w:r>
    </w:p>
    <w:p w14:paraId="2B296F0D">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华容县花兰窖电力排灌站</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eastAsia="zh-CN"/>
        </w:rPr>
        <w:t>办公室，机电股，生产技术股，花兰窖大泵站，北景港泵站，三汊河泵站，向阳泵站，移灵庙泵站。</w:t>
      </w:r>
    </w:p>
    <w:p w14:paraId="01178FAE">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华容县花兰窖电力排灌站</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华容县花兰窖电力排灌站</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决算，没有下属单位。</w:t>
      </w:r>
    </w:p>
    <w:p w14:paraId="77215807">
      <w:pPr>
        <w:jc w:val="left"/>
        <w:rPr>
          <w:rFonts w:ascii="仿宋_GB2312" w:eastAsia="仿宋_GB2312" w:hAnsiTheme="minorEastAsia"/>
          <w:sz w:val="28"/>
          <w:szCs w:val="32"/>
        </w:rPr>
      </w:pPr>
    </w:p>
    <w:p w14:paraId="3FA6651F">
      <w:pPr>
        <w:pStyle w:val="17"/>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755102AE">
      <w:pPr>
        <w:pStyle w:val="17"/>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6B2A95E2">
      <w:pPr>
        <w:pStyle w:val="17"/>
        <w:jc w:val="center"/>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详见附件表格</w:t>
      </w:r>
    </w:p>
    <w:p w14:paraId="122E694E">
      <w:pPr>
        <w:pStyle w:val="17"/>
        <w:jc w:val="center"/>
        <w:rPr>
          <w:rFonts w:hint="eastAsia" w:ascii="方正小标宋_GBK" w:hAnsi="方正小标宋_GBK" w:eastAsia="方正小标宋_GBK" w:cs="方正小标宋_GBK"/>
          <w:sz w:val="48"/>
          <w:szCs w:val="48"/>
        </w:rPr>
      </w:pPr>
    </w:p>
    <w:p w14:paraId="4AD396FC">
      <w:pPr>
        <w:pStyle w:val="17"/>
        <w:jc w:val="center"/>
        <w:rPr>
          <w:rFonts w:hint="eastAsia" w:ascii="方正小标宋_GBK" w:hAnsi="方正小标宋_GBK" w:eastAsia="方正小标宋_GBK" w:cs="方正小标宋_GBK"/>
          <w:sz w:val="48"/>
          <w:szCs w:val="48"/>
        </w:rPr>
      </w:pPr>
    </w:p>
    <w:p w14:paraId="01D11896">
      <w:pPr>
        <w:pStyle w:val="17"/>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5AAD48DB">
      <w:pPr>
        <w:pStyle w:val="17"/>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w:t>
      </w:r>
      <w:r>
        <w:rPr>
          <w:rFonts w:hint="eastAsia" w:ascii="方正小标宋_GBK" w:hAnsi="方正小标宋_GBK" w:eastAsia="方正小标宋_GBK" w:cs="方正小标宋_GBK"/>
          <w:sz w:val="48"/>
          <w:szCs w:val="48"/>
          <w:lang w:val="en-US" w:eastAsia="zh-CN"/>
        </w:rPr>
        <w:t>3</w:t>
      </w:r>
      <w:r>
        <w:rPr>
          <w:rFonts w:hint="eastAsia" w:ascii="方正小标宋_GBK" w:hAnsi="方正小标宋_GBK" w:eastAsia="方正小标宋_GBK" w:cs="方正小标宋_GBK"/>
          <w:sz w:val="48"/>
          <w:szCs w:val="48"/>
        </w:rPr>
        <w:t>年度部门决算情况说明</w:t>
      </w:r>
    </w:p>
    <w:p w14:paraId="329510A1">
      <w:pPr>
        <w:widowControl/>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78E224E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731.45</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101.42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12.18</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val="en-US" w:eastAsia="zh-CN"/>
        </w:rPr>
        <w:t>2023年单位新增退休人员3人，相关经费减少。</w:t>
      </w:r>
    </w:p>
    <w:p w14:paraId="4652A5F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p>
    <w:p w14:paraId="524D807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E78D78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731.45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724.10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7.35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p>
    <w:p w14:paraId="5F8960D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p>
    <w:p w14:paraId="2E519DC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BFB1CC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731.45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731.45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12DE62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p>
    <w:p w14:paraId="3D22DEE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9CBE925">
      <w:pPr>
        <w:pStyle w:val="17"/>
        <w:keepNext w:val="0"/>
        <w:keepLines w:val="0"/>
        <w:pageBreakBefore w:val="0"/>
        <w:widowControl w:val="0"/>
        <w:kinsoku/>
        <w:wordWrap/>
        <w:overflowPunct/>
        <w:topLinePunct w:val="0"/>
        <w:bidi w:val="0"/>
        <w:snapToGrid/>
        <w:spacing w:line="600" w:lineRule="exact"/>
        <w:ind w:firstLine="64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724.10</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60.26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7.68</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val="en-US" w:eastAsia="zh-CN"/>
        </w:rPr>
        <w:t>2023年单位新增退休人员3人，相关经费减少</w:t>
      </w:r>
      <w:r>
        <w:rPr>
          <w:rFonts w:hint="eastAsia" w:ascii="Times New Roman" w:hAnsi="Times New Roman" w:eastAsia="仿宋_GB2312"/>
          <w:sz w:val="32"/>
          <w:szCs w:val="32"/>
        </w:rPr>
        <w:t>。</w:t>
      </w:r>
    </w:p>
    <w:p w14:paraId="2CC22ABB">
      <w:pPr>
        <w:pStyle w:val="17"/>
        <w:keepNext w:val="0"/>
        <w:keepLines w:val="0"/>
        <w:pageBreakBefore w:val="0"/>
        <w:widowControl w:val="0"/>
        <w:kinsoku/>
        <w:wordWrap/>
        <w:overflowPunct/>
        <w:topLinePunct w:val="0"/>
        <w:bidi w:val="0"/>
        <w:snapToGrid/>
        <w:spacing w:line="600" w:lineRule="exact"/>
        <w:ind w:firstLine="640"/>
        <w:textAlignment w:val="auto"/>
        <w:rPr>
          <w:rFonts w:hint="default" w:ascii="Times New Roman" w:hAnsi="Times New Roman" w:eastAsia="仿宋_GB2312"/>
          <w:sz w:val="32"/>
          <w:szCs w:val="32"/>
          <w:lang w:val="en-US"/>
        </w:rPr>
      </w:pPr>
    </w:p>
    <w:p w14:paraId="0E78A67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866F50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08F2BA0">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724.10</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highlight w:val="none"/>
          <w:lang w:val="en-US" w:eastAsia="zh-CN"/>
        </w:rPr>
        <w:t>60.26</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highlight w:val="none"/>
          <w:lang w:val="en-US" w:eastAsia="zh-CN"/>
        </w:rPr>
        <w:t>7.68</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val="en-US" w:eastAsia="zh-CN"/>
        </w:rPr>
        <w:t>2023年单位新增退休人员3人，相关经费减少</w:t>
      </w:r>
      <w:r>
        <w:rPr>
          <w:rFonts w:hint="eastAsia" w:ascii="Times New Roman" w:hAnsi="Times New Roman" w:eastAsia="仿宋_GB2312"/>
          <w:sz w:val="32"/>
          <w:szCs w:val="32"/>
        </w:rPr>
        <w:t>。</w:t>
      </w:r>
    </w:p>
    <w:p w14:paraId="45ED44CE">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p>
    <w:p w14:paraId="37119F40">
      <w:pPr>
        <w:pStyle w:val="17"/>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50179B8C">
      <w:pPr>
        <w:pStyle w:val="17"/>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724.10</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60.00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8.29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664.10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91.71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D536C5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p>
    <w:p w14:paraId="40BD6ED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4D09CBE1">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年度财政拨款支出年初预算数为</w:t>
      </w:r>
      <w:r>
        <w:rPr>
          <w:rFonts w:hint="eastAsia" w:ascii="Times New Roman" w:hAnsi="Times New Roman" w:eastAsia="仿宋_GB2312"/>
          <w:sz w:val="32"/>
          <w:szCs w:val="32"/>
          <w:highlight w:val="none"/>
          <w:lang w:val="en-US" w:eastAsia="zh-CN"/>
        </w:rPr>
        <w:t>601.90</w:t>
      </w:r>
      <w:r>
        <w:rPr>
          <w:rFonts w:hint="eastAsia" w:ascii="Times New Roman" w:hAnsi="Times New Roman" w:eastAsia="仿宋_GB2312"/>
          <w:sz w:val="32"/>
          <w:szCs w:val="32"/>
          <w:highlight w:val="none"/>
        </w:rPr>
        <w:t>万元，支出决算数为</w:t>
      </w:r>
      <w:r>
        <w:rPr>
          <w:rFonts w:hint="eastAsia" w:ascii="Times New Roman" w:hAnsi="Times New Roman" w:eastAsia="仿宋_GB2312"/>
          <w:sz w:val="32"/>
          <w:szCs w:val="32"/>
          <w:highlight w:val="none"/>
          <w:lang w:val="en-US" w:eastAsia="zh-CN"/>
        </w:rPr>
        <w:t>724.10</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120.30</w:t>
      </w:r>
      <w:r>
        <w:rPr>
          <w:rFonts w:hint="eastAsia" w:ascii="Times New Roman" w:hAnsi="Times New Roman" w:eastAsia="仿宋_GB2312"/>
          <w:sz w:val="32"/>
          <w:szCs w:val="32"/>
          <w:highlight w:val="none"/>
        </w:rPr>
        <w:t>%，其中：</w:t>
      </w:r>
    </w:p>
    <w:p w14:paraId="38A3E4F6">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eastAsia="zh-CN"/>
        </w:rPr>
        <w:t>城乡社区支出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其他城乡社区支出</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其他城乡社区支出</w:t>
      </w:r>
      <w:r>
        <w:rPr>
          <w:rFonts w:hint="eastAsia" w:ascii="Times New Roman" w:hAnsi="Times New Roman" w:eastAsia="仿宋_GB2312"/>
          <w:sz w:val="32"/>
          <w:szCs w:val="32"/>
          <w:highlight w:val="none"/>
        </w:rPr>
        <w:t>（项）。</w:t>
      </w:r>
    </w:p>
    <w:p w14:paraId="4BED1967">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60.00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业务工作任务增加，调整预算，财政追拨其他城乡社区支出经费。</w:t>
      </w:r>
    </w:p>
    <w:p w14:paraId="7E27B7B2">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p>
    <w:p w14:paraId="340BD694">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hint="eastAsia" w:ascii="Times New Roman" w:hAnsi="Times New Roman" w:eastAsia="仿宋_GB2312"/>
          <w:sz w:val="32"/>
          <w:szCs w:val="32"/>
          <w:highlight w:val="none"/>
          <w:lang w:eastAsia="zh-CN"/>
        </w:rPr>
        <w:t>农林水支出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水利</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水利工程运行与维护</w:t>
      </w:r>
      <w:r>
        <w:rPr>
          <w:rFonts w:hint="eastAsia" w:ascii="Times New Roman" w:hAnsi="Times New Roman" w:eastAsia="仿宋_GB2312"/>
          <w:sz w:val="32"/>
          <w:szCs w:val="32"/>
          <w:highlight w:val="none"/>
        </w:rPr>
        <w:t>（项）。</w:t>
      </w:r>
    </w:p>
    <w:p w14:paraId="3098FCCF">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12.00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业务工作任务增加，调整预算，财政追拨水利工程运行与维护经费。</w:t>
      </w:r>
    </w:p>
    <w:p w14:paraId="55D63C16">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p>
    <w:p w14:paraId="1A3B5BE8">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农林水支出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水利</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其他水利支出</w:t>
      </w:r>
      <w:r>
        <w:rPr>
          <w:rFonts w:hint="eastAsia" w:ascii="Times New Roman" w:hAnsi="Times New Roman" w:eastAsia="仿宋_GB2312"/>
          <w:sz w:val="32"/>
          <w:szCs w:val="32"/>
          <w:highlight w:val="none"/>
        </w:rPr>
        <w:t>（项）。</w:t>
      </w:r>
    </w:p>
    <w:p w14:paraId="50023F7A">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601.90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652.10</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108.34</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业务工作任务增加，调整预算，财政追拨其他水利支出经费。</w:t>
      </w:r>
    </w:p>
    <w:p w14:paraId="3DD5360E">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p>
    <w:p w14:paraId="47A4DC9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BC26ED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724.10</w:t>
      </w:r>
      <w:r>
        <w:rPr>
          <w:rFonts w:hint="eastAsia" w:ascii="Times New Roman" w:hAnsi="Times New Roman" w:eastAsia="仿宋_GB2312"/>
          <w:sz w:val="32"/>
          <w:szCs w:val="32"/>
        </w:rPr>
        <w:t>万元，其中：</w:t>
      </w:r>
    </w:p>
    <w:p w14:paraId="58737A0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 xml:space="preserve"> </w:t>
      </w:r>
      <w:r>
        <w:rPr>
          <w:rFonts w:hint="eastAsia" w:ascii="Times New Roman" w:hAnsi="Times New Roman" w:eastAsia="仿宋_GB2312"/>
          <w:sz w:val="32"/>
          <w:szCs w:val="32"/>
          <w:lang w:val="en-US" w:eastAsia="zh-CN"/>
        </w:rPr>
        <w:t>592.50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81.83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val="zh-CN"/>
        </w:rPr>
        <w:t>、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lang w:eastAsia="zh-CN"/>
        </w:rPr>
        <w:t>。</w:t>
      </w:r>
    </w:p>
    <w:p w14:paraId="25335183">
      <w:pPr>
        <w:keepNext/>
        <w:keepLines/>
        <w:ind w:firstLine="643"/>
        <w:jc w:val="left"/>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131.60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18.17</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val="en-US"/>
        </w:rPr>
        <w:t>、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r>
        <w:rPr>
          <w:rFonts w:hint="eastAsia" w:ascii="Times New Roman" w:hAnsi="Times New Roman" w:eastAsia="仿宋_GB2312"/>
          <w:sz w:val="32"/>
          <w:szCs w:val="32"/>
          <w:lang w:val="en-US" w:eastAsia="zh-CN"/>
        </w:rPr>
        <w:t xml:space="preserve">      </w:t>
      </w:r>
    </w:p>
    <w:p w14:paraId="5AA569CC">
      <w:pPr>
        <w:keepNext/>
        <w:keepLines/>
        <w:ind w:firstLine="643"/>
        <w:jc w:val="left"/>
        <w:rPr>
          <w:rFonts w:hint="default" w:ascii="Times New Roman" w:hAnsi="Times New Roman" w:eastAsia="仿宋_GB2312"/>
          <w:sz w:val="32"/>
          <w:szCs w:val="32"/>
          <w:lang w:val="en-US" w:eastAsia="zh-CN"/>
        </w:rPr>
      </w:pPr>
    </w:p>
    <w:p w14:paraId="463DFEC8">
      <w:pPr>
        <w:pStyle w:val="17"/>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32D752DB">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36B6D6C6">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“三公”经费财政拨款支出预算为</w:t>
      </w:r>
      <w:r>
        <w:rPr>
          <w:rFonts w:hint="eastAsia" w:ascii="Times New Roman" w:hAnsi="Times New Roman" w:eastAsia="仿宋_GB2312"/>
          <w:sz w:val="32"/>
          <w:szCs w:val="32"/>
          <w:highlight w:val="none"/>
          <w:lang w:val="en-US" w:eastAsia="zh-CN"/>
        </w:rPr>
        <w:t>0.30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0.30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zh-CN"/>
        </w:rPr>
        <w:t xml:space="preserve"> 决算数与预算数一致，我单位严格按预算执行决算。</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0.01</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3.23</w:t>
      </w:r>
      <w:r>
        <w:rPr>
          <w:rFonts w:hint="eastAsia" w:ascii="Times New Roman" w:hAnsi="Times New Roman" w:eastAsia="仿宋_GB2312"/>
          <w:sz w:val="32"/>
          <w:szCs w:val="32"/>
          <w:highlight w:val="none"/>
        </w:rPr>
        <w:t>%,减少的主要原因是认真贯彻落实中央八项规定精神和厉行节约要求，从严控制“三公”经费开支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其中：</w:t>
      </w:r>
    </w:p>
    <w:p w14:paraId="3787CC79">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因公出国（境）费支出预算为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0%。</w:t>
      </w:r>
    </w:p>
    <w:p w14:paraId="742F81FF">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公务接待费支出预算为</w:t>
      </w:r>
      <w:r>
        <w:rPr>
          <w:rFonts w:hint="eastAsia" w:ascii="Times New Roman" w:hAnsi="Times New Roman" w:eastAsia="仿宋_GB2312"/>
          <w:sz w:val="32"/>
          <w:szCs w:val="32"/>
          <w:highlight w:val="none"/>
          <w:lang w:val="en-US" w:eastAsia="zh-CN"/>
        </w:rPr>
        <w:t>0.30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0.30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zh-CN"/>
        </w:rPr>
        <w:t>决算数与预算数一致，我单位严格按预算执行决算。</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0.01</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3.23</w:t>
      </w:r>
      <w:r>
        <w:rPr>
          <w:rFonts w:hint="eastAsia" w:ascii="Times New Roman" w:hAnsi="Times New Roman" w:eastAsia="仿宋_GB2312"/>
          <w:sz w:val="32"/>
          <w:szCs w:val="32"/>
          <w:highlight w:val="none"/>
        </w:rPr>
        <w:t>%,减少的主要原因是认真贯彻落实中央八项规定精神和厉行节约要求，从严控制“三公”经费开支</w:t>
      </w:r>
      <w:r>
        <w:rPr>
          <w:rFonts w:hint="eastAsia" w:ascii="Times New Roman" w:hAnsi="Times New Roman" w:eastAsia="仿宋_GB2312"/>
          <w:sz w:val="32"/>
          <w:szCs w:val="32"/>
          <w:highlight w:val="none"/>
          <w:lang w:eastAsia="zh-CN"/>
        </w:rPr>
        <w:t>。</w:t>
      </w:r>
    </w:p>
    <w:p w14:paraId="4A238CE4">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公务用车购置费支出预算为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0%。</w:t>
      </w:r>
    </w:p>
    <w:p w14:paraId="0DCF200E">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公务用车运行维护费支出预算为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0%。</w:t>
      </w:r>
    </w:p>
    <w:p w14:paraId="091EC84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p>
    <w:p w14:paraId="372E0DA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（二）“三公”经费财政拨款支出决算具体情况说明</w:t>
      </w:r>
    </w:p>
    <w:p w14:paraId="42830BCF">
      <w:pPr>
        <w:pStyle w:val="17"/>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年度“三公”经费财政拨款支出决算中，公务接待费支出决算</w:t>
      </w:r>
      <w:r>
        <w:rPr>
          <w:rFonts w:hint="eastAsia" w:ascii="Times New Roman" w:hAnsi="Times New Roman" w:eastAsia="仿宋_GB2312"/>
          <w:sz w:val="32"/>
          <w:szCs w:val="32"/>
          <w:highlight w:val="none"/>
          <w:lang w:val="en-US" w:eastAsia="zh-CN"/>
        </w:rPr>
        <w:t>0.30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因公出国（境）费支出决算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公务用车购置费及运行维护费支出决算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%。其中：</w:t>
      </w:r>
    </w:p>
    <w:p w14:paraId="3A5162E8">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highlight w:val="none"/>
          <w:lang w:val="en-US"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因公出国（境）费支出决算为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万元，全年安排因公出国（境）团组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个，累计</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人次。</w:t>
      </w:r>
    </w:p>
    <w:p w14:paraId="227CE5DD">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2、公务接待费支出决算为</w:t>
      </w:r>
      <w:r>
        <w:rPr>
          <w:rFonts w:hint="eastAsia" w:ascii="Times New Roman" w:hAnsi="Times New Roman" w:eastAsia="仿宋_GB2312"/>
          <w:sz w:val="32"/>
          <w:szCs w:val="32"/>
          <w:highlight w:val="none"/>
          <w:lang w:val="en-US" w:eastAsia="zh-CN"/>
        </w:rPr>
        <w:t>0.30</w:t>
      </w:r>
      <w:r>
        <w:rPr>
          <w:rFonts w:hint="eastAsia" w:ascii="Times New Roman" w:hAnsi="Times New Roman" w:eastAsia="仿宋_GB2312"/>
          <w:sz w:val="32"/>
          <w:szCs w:val="32"/>
          <w:highlight w:val="none"/>
        </w:rPr>
        <w:t>万元，全年共接待来访团组</w:t>
      </w: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个、来宾</w:t>
      </w:r>
      <w:r>
        <w:rPr>
          <w:rFonts w:hint="eastAsia" w:ascii="Times New Roman" w:hAnsi="Times New Roman" w:eastAsia="仿宋_GB2312"/>
          <w:sz w:val="32"/>
          <w:szCs w:val="32"/>
          <w:highlight w:val="none"/>
          <w:lang w:val="en-US" w:eastAsia="zh-CN"/>
        </w:rPr>
        <w:t>34</w:t>
      </w:r>
      <w:r>
        <w:rPr>
          <w:rFonts w:hint="eastAsia" w:ascii="Times New Roman" w:hAnsi="Times New Roman" w:eastAsia="仿宋_GB2312"/>
          <w:sz w:val="32"/>
          <w:szCs w:val="32"/>
          <w:highlight w:val="none"/>
        </w:rPr>
        <w:t>人次，主要是</w:t>
      </w:r>
      <w:r>
        <w:rPr>
          <w:rFonts w:hint="eastAsia" w:ascii="Times New Roman" w:hAnsi="Times New Roman" w:eastAsia="仿宋_GB2312"/>
          <w:sz w:val="32"/>
          <w:szCs w:val="32"/>
          <w:highlight w:val="none"/>
          <w:lang w:eastAsia="zh-CN"/>
        </w:rPr>
        <w:t>机电设备厂家上门安装</w:t>
      </w:r>
      <w:r>
        <w:rPr>
          <w:rFonts w:hint="eastAsia" w:ascii="Times New Roman" w:hAnsi="Times New Roman" w:eastAsia="仿宋_GB2312"/>
          <w:sz w:val="32"/>
          <w:szCs w:val="32"/>
          <w:highlight w:val="none"/>
          <w:lang w:val="en-US" w:eastAsia="zh-CN"/>
        </w:rPr>
        <w:t>和</w:t>
      </w:r>
      <w:r>
        <w:rPr>
          <w:rFonts w:hint="eastAsia" w:ascii="Times New Roman" w:hAnsi="Times New Roman" w:eastAsia="仿宋_GB2312"/>
          <w:sz w:val="32"/>
          <w:szCs w:val="32"/>
          <w:highlight w:val="none"/>
          <w:lang w:eastAsia="zh-CN"/>
        </w:rPr>
        <w:t>维修</w:t>
      </w:r>
      <w:r>
        <w:rPr>
          <w:rFonts w:hint="eastAsia" w:ascii="Times New Roman" w:hAnsi="Times New Roman" w:eastAsia="仿宋_GB2312"/>
          <w:sz w:val="32"/>
          <w:szCs w:val="32"/>
          <w:highlight w:val="none"/>
          <w:lang w:val="en-US" w:eastAsia="zh-CN"/>
        </w:rPr>
        <w:t>时</w:t>
      </w:r>
      <w:r>
        <w:rPr>
          <w:rFonts w:hint="eastAsia" w:ascii="Times New Roman" w:hAnsi="Times New Roman" w:eastAsia="仿宋_GB2312"/>
          <w:sz w:val="32"/>
          <w:szCs w:val="32"/>
          <w:highlight w:val="none"/>
        </w:rPr>
        <w:t>发生的接待支出。</w:t>
      </w:r>
    </w:p>
    <w:p w14:paraId="0BE6EFE5">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3、公务用车购置费及运行维护费支出决算为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万元，其中：公务用车购置费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，本</w:t>
      </w:r>
      <w:r>
        <w:rPr>
          <w:rFonts w:hint="eastAsia" w:ascii="Times New Roman" w:hAnsi="Times New Roman" w:eastAsia="仿宋_GB2312"/>
          <w:sz w:val="32"/>
          <w:szCs w:val="32"/>
          <w:highlight w:val="none"/>
        </w:rPr>
        <w:t>单位更新公务用车</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公务用车运行维护费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万元，截止202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年12月31日，我单位开支财政拨款的公务用车保有量为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p>
    <w:p w14:paraId="7009BFC9">
      <w:pPr>
        <w:pStyle w:val="10"/>
        <w:rPr>
          <w:rFonts w:hint="eastAsia"/>
          <w:lang w:val="en-US" w:eastAsia="zh-CN"/>
        </w:rPr>
      </w:pPr>
    </w:p>
    <w:p w14:paraId="65EBA93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46E710B">
      <w:pPr>
        <w:spacing w:beforeLines="0" w:afterLines="0"/>
        <w:ind w:firstLine="640"/>
        <w:rPr>
          <w:rFonts w:hint="eastAsia" w:ascii="Times New Roman" w:hAnsi="Times New Roman" w:eastAsia="仿宋_GB2312"/>
          <w:sz w:val="32"/>
          <w:szCs w:val="32"/>
          <w:lang w:val="zh-CN"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w:t>
      </w:r>
      <w:r>
        <w:rPr>
          <w:rFonts w:hint="eastAsia" w:ascii="Times New Roman" w:hAnsi="Times New Roman" w:eastAsia="仿宋_GB2312"/>
          <w:sz w:val="32"/>
          <w:szCs w:val="32"/>
          <w:lang w:val="en-US" w:eastAsia="zh-CN"/>
        </w:rPr>
        <w:t>出0万元，项目支出0万元；年末结转和结余0万元。2023年</w:t>
      </w:r>
      <w:r>
        <w:rPr>
          <w:rFonts w:hint="eastAsia" w:ascii="Times New Roman" w:hAnsi="Times New Roman" w:eastAsia="仿宋_GB2312"/>
          <w:sz w:val="32"/>
          <w:szCs w:val="32"/>
          <w:lang w:val="zh-CN" w:eastAsia="zh-CN"/>
        </w:rPr>
        <w:t>本单位没有使用政府性基金预算财政拨款安排的收支。</w:t>
      </w:r>
    </w:p>
    <w:p w14:paraId="30198D33">
      <w:pPr>
        <w:spacing w:beforeLines="0" w:afterLines="0"/>
        <w:ind w:firstLine="640"/>
        <w:rPr>
          <w:rFonts w:hint="eastAsia" w:ascii="Times New Roman" w:hAnsi="Times New Roman" w:eastAsia="仿宋_GB2312"/>
          <w:sz w:val="32"/>
          <w:szCs w:val="32"/>
          <w:lang w:val="en-US" w:eastAsia="zh-CN"/>
        </w:rPr>
      </w:pPr>
    </w:p>
    <w:p w14:paraId="0EAFB28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九、国有资本经营预算财政拨款支出决算情况</w:t>
      </w:r>
    </w:p>
    <w:p w14:paraId="4562C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5155E69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bookmarkStart w:id="0" w:name="_GoBack"/>
      <w:bookmarkEnd w:id="0"/>
    </w:p>
    <w:p w14:paraId="3FF3C2F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十、关于机关运行经费支出说明</w:t>
      </w:r>
    </w:p>
    <w:p w14:paraId="0F7DEF39">
      <w:pPr>
        <w:keepNext/>
        <w:keepLines/>
        <w:spacing w:beforeLines="0" w:afterLines="0"/>
        <w:ind w:firstLine="64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本单位是非参公管理的事业单位，</w:t>
      </w:r>
      <w:r>
        <w:rPr>
          <w:rFonts w:hint="eastAsia" w:ascii="Times New Roman" w:hAnsi="Times New Roman" w:eastAsia="仿宋_GB2312"/>
          <w:sz w:val="32"/>
          <w:szCs w:val="32"/>
          <w:lang w:val="en-US" w:eastAsia="zh-CN"/>
        </w:rPr>
        <w:t>无机关运行经费支出。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w:t>
      </w:r>
    </w:p>
    <w:p w14:paraId="4C78071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p>
    <w:p w14:paraId="11BC774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十一、一般性支出情况说明</w:t>
      </w:r>
    </w:p>
    <w:p w14:paraId="0B9660C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0.15</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职工事业管理平台上的</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职工继续教育培训，用于党校培训，人数</w:t>
      </w:r>
      <w:r>
        <w:rPr>
          <w:rFonts w:hint="eastAsia" w:ascii="Times New Roman" w:hAnsi="Times New Roman" w:eastAsia="仿宋_GB2312"/>
          <w:sz w:val="32"/>
          <w:szCs w:val="32"/>
          <w:lang w:val="en-US" w:eastAsia="zh-CN"/>
        </w:rPr>
        <w:t>1人，内容为预备党员的培训；</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390A47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FF0000"/>
          <w:kern w:val="0"/>
          <w:sz w:val="32"/>
          <w:szCs w:val="32"/>
          <w:lang w:val="en-US" w:eastAsia="zh-CN" w:bidi="ar-SA"/>
        </w:rPr>
      </w:pPr>
    </w:p>
    <w:p w14:paraId="515B526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十二、关于政府采购支出说明</w:t>
      </w:r>
    </w:p>
    <w:p w14:paraId="37AEA87B">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100.15</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24.61</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36.07</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39.47</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100.15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24.61</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24.57</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5DAC6924">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p>
    <w:p w14:paraId="354731A3">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十三、关于国有资产占用情况说明</w:t>
      </w:r>
    </w:p>
    <w:p w14:paraId="0B77E37A">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090FA614">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p>
    <w:p w14:paraId="6CD4CE5E">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十四、关于2023年度预算绩效情况的说明</w:t>
      </w:r>
    </w:p>
    <w:p w14:paraId="583B6151">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19582AE">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本单位根据预算绩效管理要求，在财政部门的指导下积极推进预算绩效管理工作，我单位以实现绩效目标为导向，以财政支出绩效评价为手段，提高财政资金使用效益，扎实有效推进了本单位的预算绩效管理工作，并取得了一定的成效。</w:t>
      </w:r>
    </w:p>
    <w:p w14:paraId="09A472F7">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黑体"/>
          <w:color w:val="000000"/>
          <w:kern w:val="0"/>
          <w:sz w:val="32"/>
          <w:szCs w:val="32"/>
          <w:lang w:val="en-US" w:eastAsia="zh-CN" w:bidi="ar-SA"/>
        </w:rPr>
      </w:pPr>
    </w:p>
    <w:p w14:paraId="2E8C16D2">
      <w:pPr>
        <w:pStyle w:val="17"/>
        <w:keepNext w:val="0"/>
        <w:keepLines w:val="0"/>
        <w:pageBreakBefore w:val="0"/>
        <w:widowControl w:val="0"/>
        <w:numPr>
          <w:ilvl w:val="0"/>
          <w:numId w:val="4"/>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319D6CA4">
      <w:pPr>
        <w:widowControl w:val="0"/>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楷体" w:hAnsi="楷体" w:eastAsia="楷体" w:cs="楷体"/>
          <w:b/>
          <w:bCs/>
          <w:sz w:val="32"/>
          <w:szCs w:val="32"/>
          <w:lang w:val="en-US" w:eastAsia="zh-CN"/>
        </w:rPr>
        <w:t xml:space="preserve"> </w:t>
      </w:r>
      <w:r>
        <w:rPr>
          <w:rFonts w:hint="eastAsia" w:ascii="Times New Roman" w:hAnsi="Times New Roman" w:eastAsia="仿宋_GB2312" w:cs="黑体"/>
          <w:color w:val="000000"/>
          <w:kern w:val="0"/>
          <w:sz w:val="32"/>
          <w:szCs w:val="32"/>
          <w:lang w:val="en-US" w:eastAsia="zh-CN" w:bidi="ar-SA"/>
        </w:rPr>
        <w:t>根据预算绩效管理要求，我单位组织开展了本年度整体支出绩效评价，涉及一般公共预算支出724.10万元，政府性基金预算支出0万元。从评价情况来看，按照年初目标任务，加强排灌区5处泵站的水利设施和机电设备的保养及维护。通过日常维护和冬季大维修， 及时维修保养设备，保证设备正常运行。同时各泵站做好日常调度，联合运行按时完成各项指标任务，及时排涝抗旱，减少灾害损失，确保排灌区内农业生产，确保排灌区广大人民的生命财产安全。</w:t>
      </w:r>
    </w:p>
    <w:p w14:paraId="5D5941B6">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default" w:ascii="楷体" w:hAnsi="楷体" w:eastAsia="楷体" w:cs="楷体"/>
          <w:b/>
          <w:bCs/>
          <w:sz w:val="32"/>
          <w:szCs w:val="32"/>
          <w:lang w:val="en-US" w:eastAsia="zh-CN"/>
        </w:rPr>
      </w:pPr>
    </w:p>
    <w:p w14:paraId="3B04E7DA">
      <w:pPr>
        <w:pStyle w:val="17"/>
        <w:keepNext w:val="0"/>
        <w:keepLines w:val="0"/>
        <w:pageBreakBefore w:val="0"/>
        <w:widowControl w:val="0"/>
        <w:numPr>
          <w:ilvl w:val="0"/>
          <w:numId w:val="4"/>
        </w:numPr>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存在的问题及原因分析</w:t>
      </w:r>
    </w:p>
    <w:p w14:paraId="22CD5BB5">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leftChars="200"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本单位绩效管理工作还存在绩效目标编制不够全面，绩效指标量化不够，预算执行监控力度不强，在今后的工作中需要进一步加以改进和完善。需要进一步规范财务核算，加强预算执行情况的监管力度；绩效管理制度体系薄弱，需要进一步完善，推进制度落实。</w:t>
      </w:r>
    </w:p>
    <w:p w14:paraId="48DB1628">
      <w:pPr>
        <w:pStyle w:val="17"/>
        <w:jc w:val="both"/>
        <w:rPr>
          <w:sz w:val="72"/>
          <w:szCs w:val="72"/>
        </w:rPr>
      </w:pPr>
    </w:p>
    <w:p w14:paraId="20BB930C">
      <w:pPr>
        <w:pStyle w:val="17"/>
        <w:jc w:val="both"/>
        <w:rPr>
          <w:sz w:val="72"/>
          <w:szCs w:val="72"/>
        </w:rPr>
      </w:pPr>
    </w:p>
    <w:p w14:paraId="20F34F1D">
      <w:pPr>
        <w:pStyle w:val="17"/>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5F33C57B">
      <w:pPr>
        <w:pStyle w:val="17"/>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697CD697">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财政拨款收入：指本级财政当年拨付的资金。</w:t>
      </w:r>
    </w:p>
    <w:p w14:paraId="1B3C1249">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政府性基金预算财政拨款收入：指本级财政当年拨付的政府性基金预算资金。</w:t>
      </w:r>
    </w:p>
    <w:p w14:paraId="59D34A22">
      <w:pPr>
        <w:keepNext/>
        <w:keepLines/>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其他收入：指除上述“财政拨款收入”、“上级补助收入”、“事业收入”、“经营收入”、“附属单位上缴收入”等以外的收入。</w:t>
      </w:r>
    </w:p>
    <w:p w14:paraId="0E701499">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上年结转和结余：指以前年度尚未完成、结转到本年按有关规定继续使用的资金。</w:t>
      </w:r>
    </w:p>
    <w:p w14:paraId="2D68477B">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年末结转和结余资金：指本年度或以前年度预算安排、因客观条件发生变化无法按原计划实施，需要延迟到以后年度按有关规定继续使用的资金。</w:t>
      </w:r>
    </w:p>
    <w:p w14:paraId="2217D043">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1608CEB9">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农林水支出（类）：是指用于农林水事务支出，包括保障机构正常运转、完成日常和特定的工作任务或事业发展目标的支出。</w:t>
      </w:r>
    </w:p>
    <w:p w14:paraId="2907FBD3">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城乡社区支出（类）：是指用于城乡社区事务支出，包括保障机构正常运转、完成日常和特定的工作任务或事业发展目标的支出。</w:t>
      </w:r>
    </w:p>
    <w:p w14:paraId="31CB6507">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粮油物资储备支出（类）：是指用于粮油物资储备方面的支出，包括保障机构正常运转、完成日常和特定的工作任务或事业发展目标的支出。</w:t>
      </w:r>
    </w:p>
    <w:p w14:paraId="5676C1F2">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其他支出（类）：是指用于反映除上述项目以外其他不能划分到具体功能科目中的支出项目，包括保障机构正常运转、完成日常和特定的工作任务或事业发展目标的支出。</w:t>
      </w:r>
    </w:p>
    <w:p w14:paraId="15660B70">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基本支出：指保障机构正常运转、完成支日常工作任务而发生的人员支出和公用支出。</w:t>
      </w:r>
    </w:p>
    <w:p w14:paraId="0B2D585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项目支出：指在基本支出之外为完成特定行政任务和事业发展目标所发生的支出。</w:t>
      </w:r>
    </w:p>
    <w:p w14:paraId="600BC59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8A0A085">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政府采购 ：是指国家各级政府为从事日常的政务活动或为了满足公共服务的目的，利用国家财政性资金和政府借款购买货物、工程和服务的行为。</w:t>
      </w:r>
    </w:p>
    <w:p w14:paraId="39F71EC4">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工资福利支出：反映单位开支的在职职工和编制外长期聘用人员的各类劳动报酬，以及为上述人员缴纳的各项社会保险费等。</w:t>
      </w:r>
    </w:p>
    <w:p w14:paraId="7FCC725B">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25851F0F">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14:paraId="09E48C55">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奖金：反映机关工作人员年终一次性奖金。</w:t>
      </w:r>
    </w:p>
    <w:p w14:paraId="3B0782E8">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伙食补助费：反映单位发给职工的伙食补助费，如误餐补助等。</w:t>
      </w:r>
    </w:p>
    <w:p w14:paraId="5F4FDF8D">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绩效工资：反映事业单位工作人员的绩效工资。</w:t>
      </w:r>
    </w:p>
    <w:p w14:paraId="31320E5A">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机关事业单位基本养老保险缴费：反映机关事业单位缴纳的基本养老保险费。由单位代扣的工作人员基本养老保险缴费，不在此科目反映。</w:t>
      </w:r>
    </w:p>
    <w:p w14:paraId="40DD90E3">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职工基本医疗保险缴费：反映单位为职工缴纳的基本医疗保险费。</w:t>
      </w:r>
    </w:p>
    <w:p w14:paraId="075D3846">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其他社会保障缴费：反映单位为职工缴纳的基本医疗、失业、工伤、生育等社会保险费，残疾人就业保障金，军队（含武警）为军人缴纳的伤亡、退役医疗等社会保险费。</w:t>
      </w:r>
    </w:p>
    <w:p w14:paraId="073DC78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住房公积金：反映行政事业单位按人力资源和社会保障部、财政部规定的基本工资和津贴补贴以及规定比例为职工缴纳的住房公积金。</w:t>
      </w:r>
    </w:p>
    <w:p w14:paraId="5C95F943">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699A663D">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商品和服务支出：反映单位购买商品和服务的支出（不包括用于购置固定资产的支出、战略性和应急储备支出）。</w:t>
      </w:r>
    </w:p>
    <w:p w14:paraId="71FF3CEE">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办公费：反映单位购买按财务会计制度规定不符合固定资产确认标准的日常办公用品、书报杂志等支出。</w:t>
      </w:r>
    </w:p>
    <w:p w14:paraId="6200BA29">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印刷费：反映单位的印刷费支出。</w:t>
      </w:r>
    </w:p>
    <w:p w14:paraId="119DC2E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邮电费：反映单位开支的信函、包裹、货物等物品的邮寄费及电话费、电报费、传真费、网络通讯费等。</w:t>
      </w:r>
    </w:p>
    <w:p w14:paraId="17D415E4">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差旅费：反映单位工作人员出差发生的城市间交通费、住宿费、伙食补贴费和市内交通费。</w:t>
      </w:r>
    </w:p>
    <w:p w14:paraId="44F940B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维修(护)费：反映单位日常开支的固定资产（不包括车船等交通工具）修理和维护费用，网络信息系统运行与维护费用，以及按规定提取的修购基金。</w:t>
      </w:r>
    </w:p>
    <w:p w14:paraId="564DC543">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会议费：反映会议中按规定开支的住宿费、伙食费、会议室租金、交通费、文件印刷费、医药费等。</w:t>
      </w:r>
    </w:p>
    <w:p w14:paraId="302990F0">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培训费：反映除因公出国（境）培训费以外的各类培训支出。</w:t>
      </w:r>
    </w:p>
    <w:p w14:paraId="66C176A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公务接待费：反映单位按规定开支的各类公务接待（含外宾接待）费用。</w:t>
      </w:r>
    </w:p>
    <w:p w14:paraId="0C6F1A48">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6EFC48F">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劳务费：反映支付给单位和个人的劳务费用，如临时聘用人员、钟点工工资，稿费、翻译费，评审费等。</w:t>
      </w:r>
    </w:p>
    <w:p w14:paraId="62F186DE">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工会经费：反映单位按规定提取的工会经费。</w:t>
      </w:r>
    </w:p>
    <w:p w14:paraId="240B43A8">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其他交通费用：反映单位除公务用车运行维护费以外的其他交通费用。如公务交通补贴，租车费用、出租车费用，飞机、船舶等的燃料费、维修费、保险费等。</w:t>
      </w:r>
    </w:p>
    <w:p w14:paraId="66D88CB9">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其他商品和服务支出：反映上述科目未包括的日常公用支出。如行政赔偿费和诉讼费、国内组织的会员费、来访费、广告宣传、其他劳务费及离休人员特需费、公用经费等。</w:t>
      </w:r>
    </w:p>
    <w:p w14:paraId="70D55FF4">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对个人和家庭的补助：反映政府用于对个人和家庭的补助支出。</w:t>
      </w:r>
    </w:p>
    <w:p w14:paraId="0A69AD9B">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抚恤金：反映按规定开支的烈士遗属、牺牲病故人员遗属的一次性和定期抚恤金，伤残人员的抚恤金，离退休人员等其他人员的各项抚恤金。</w:t>
      </w:r>
    </w:p>
    <w:p w14:paraId="379CB0E1">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奖励金：反映政府各部门的奖励支出，如对个体私营经济的奖励、计划生育目标责任奖励、独生子女父母奖励等。</w:t>
      </w:r>
    </w:p>
    <w:p w14:paraId="544DD06A">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其他对个人和家庭的补助支出：反映未包括在上述科目的对个人和家庭的补助支出，</w:t>
      </w:r>
    </w:p>
    <w:p w14:paraId="6E91718D">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办公设备购置：反映用于购置并按财务会计制度规定纳入固定资产核算范围的办公家具和办公设备的支出，以及按规定提取的修购基金。</w:t>
      </w:r>
    </w:p>
    <w:p w14:paraId="69E1642D">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2A05BB51">
      <w:pPr>
        <w:pStyle w:val="17"/>
        <w:jc w:val="both"/>
        <w:rPr>
          <w:rFonts w:hint="eastAsia" w:ascii="方正小标宋_GBK" w:hAnsi="方正小标宋_GBK" w:eastAsia="方正小标宋_GBK" w:cs="方正小标宋_GBK"/>
          <w:sz w:val="48"/>
          <w:szCs w:val="48"/>
        </w:rPr>
      </w:pPr>
    </w:p>
    <w:p w14:paraId="16D9356E">
      <w:pPr>
        <w:pStyle w:val="17"/>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w:t>
      </w:r>
      <w:r>
        <w:rPr>
          <w:rFonts w:hint="eastAsia" w:ascii="方正小标宋_GBK" w:hAnsi="方正小标宋_GBK" w:eastAsia="方正小标宋_GBK" w:cs="方正小标宋_GBK"/>
          <w:sz w:val="48"/>
          <w:szCs w:val="48"/>
          <w:lang w:eastAsia="zh-CN"/>
        </w:rPr>
        <w:t>五</w:t>
      </w:r>
      <w:r>
        <w:rPr>
          <w:rFonts w:hint="eastAsia" w:ascii="方正小标宋_GBK" w:hAnsi="方正小标宋_GBK" w:eastAsia="方正小标宋_GBK" w:cs="方正小标宋_GBK"/>
          <w:sz w:val="48"/>
          <w:szCs w:val="48"/>
        </w:rPr>
        <w:t>部分</w:t>
      </w:r>
    </w:p>
    <w:p w14:paraId="06D1C505">
      <w:pPr>
        <w:pStyle w:val="17"/>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附</w:t>
      </w:r>
      <w:r>
        <w:rPr>
          <w:rFonts w:hint="eastAsia" w:ascii="方正小标宋_GBK" w:hAnsi="方正小标宋_GBK" w:eastAsia="方正小标宋_GBK" w:cs="方正小标宋_GBK"/>
          <w:sz w:val="48"/>
          <w:szCs w:val="48"/>
          <w:lang w:val="en-US" w:eastAsia="zh-CN"/>
        </w:rPr>
        <w:t xml:space="preserve"> </w:t>
      </w:r>
      <w:r>
        <w:rPr>
          <w:rFonts w:hint="eastAsia" w:ascii="方正小标宋_GBK" w:hAnsi="方正小标宋_GBK" w:eastAsia="方正小标宋_GBK" w:cs="方正小标宋_GBK"/>
          <w:sz w:val="48"/>
          <w:szCs w:val="48"/>
          <w:lang w:eastAsia="zh-CN"/>
        </w:rPr>
        <w:t>件</w:t>
      </w:r>
    </w:p>
    <w:p w14:paraId="6EAF45B9">
      <w:pPr>
        <w:pStyle w:val="17"/>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华容县花兰窖电力排灌站2023年度部门决算公开表格</w:t>
      </w:r>
    </w:p>
    <w:p w14:paraId="092346F5">
      <w:pPr>
        <w:pStyle w:val="17"/>
        <w:keepNext w:val="0"/>
        <w:keepLines w:val="0"/>
        <w:pageBreakBefore w:val="0"/>
        <w:widowControl w:val="0"/>
        <w:kinsoku/>
        <w:wordWrap/>
        <w:overflowPunct/>
        <w:topLinePunct w:val="0"/>
        <w:bidi w:val="0"/>
        <w:snapToGrid/>
        <w:spacing w:line="600" w:lineRule="exact"/>
        <w:ind w:firstLine="640" w:firstLineChars="200"/>
        <w:jc w:val="left"/>
        <w:textAlignment w:val="auto"/>
        <w:rPr>
          <w:sz w:val="72"/>
          <w:szCs w:val="72"/>
        </w:rPr>
      </w:pPr>
      <w:r>
        <w:rPr>
          <w:rFonts w:hint="eastAsia" w:ascii="楷体" w:hAnsi="楷体" w:eastAsia="楷体" w:cs="楷体"/>
          <w:b/>
          <w:bCs/>
          <w:sz w:val="32"/>
          <w:szCs w:val="32"/>
          <w:lang w:eastAsia="zh-CN"/>
        </w:rPr>
        <w:t>二、</w:t>
      </w:r>
      <w:r>
        <w:rPr>
          <w:rFonts w:hint="eastAsia" w:ascii="Times New Roman" w:hAnsi="Times New Roman" w:eastAsia="仿宋_GB2312"/>
          <w:sz w:val="32"/>
          <w:szCs w:val="32"/>
          <w:lang w:val="en-US" w:eastAsia="zh-CN"/>
        </w:rPr>
        <w:t>华容县花兰窖电力排灌站2023年度部门整体支出绩效自评报告。</w:t>
      </w:r>
    </w:p>
    <w:p w14:paraId="40002528">
      <w:pPr>
        <w:pStyle w:val="17"/>
        <w:jc w:val="center"/>
        <w:rPr>
          <w:sz w:val="72"/>
          <w:szCs w:val="72"/>
        </w:rPr>
      </w:pPr>
    </w:p>
    <w:p w14:paraId="18E9DE9F">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C6F64"/>
    <w:multiLevelType w:val="singleLevel"/>
    <w:tmpl w:val="AFAC6F64"/>
    <w:lvl w:ilvl="0" w:tentative="0">
      <w:start w:val="7"/>
      <w:numFmt w:val="chineseCounting"/>
      <w:suff w:val="nothing"/>
      <w:lvlText w:val="%1、"/>
      <w:lvlJc w:val="left"/>
      <w:rPr>
        <w:rFonts w:hint="eastAsia"/>
      </w:rPr>
    </w:lvl>
  </w:abstractNum>
  <w:abstractNum w:abstractNumId="1">
    <w:nsid w:val="C20582D4"/>
    <w:multiLevelType w:val="singleLevel"/>
    <w:tmpl w:val="C20582D4"/>
    <w:lvl w:ilvl="0" w:tentative="0">
      <w:start w:val="2"/>
      <w:numFmt w:val="chineseCounting"/>
      <w:suff w:val="nothing"/>
      <w:lvlText w:val="%1、"/>
      <w:lvlJc w:val="left"/>
      <w:rPr>
        <w:rFonts w:hint="eastAsia"/>
      </w:rPr>
    </w:lvl>
  </w:abstractNum>
  <w:abstractNum w:abstractNumId="2">
    <w:nsid w:val="F225CBD0"/>
    <w:multiLevelType w:val="singleLevel"/>
    <w:tmpl w:val="F225CBD0"/>
    <w:lvl w:ilvl="0" w:tentative="0">
      <w:start w:val="2"/>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OTk2MDg2NTdkNDY5MTE3YmFiZmFkMjkyMzBhNDc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977E9F"/>
    <w:rsid w:val="03307FF9"/>
    <w:rsid w:val="0AE07C6B"/>
    <w:rsid w:val="0BB63EA2"/>
    <w:rsid w:val="1ADF14EB"/>
    <w:rsid w:val="1C3F71DF"/>
    <w:rsid w:val="1D97DEFF"/>
    <w:rsid w:val="1DFF72E5"/>
    <w:rsid w:val="1EFC6F07"/>
    <w:rsid w:val="22E709C7"/>
    <w:rsid w:val="26880BA4"/>
    <w:rsid w:val="2A0A479D"/>
    <w:rsid w:val="2FDF85B8"/>
    <w:rsid w:val="2FFFEE04"/>
    <w:rsid w:val="34DF85B0"/>
    <w:rsid w:val="3B8F36BC"/>
    <w:rsid w:val="41920A92"/>
    <w:rsid w:val="46444C08"/>
    <w:rsid w:val="491FF225"/>
    <w:rsid w:val="4B046357"/>
    <w:rsid w:val="4DC51FFD"/>
    <w:rsid w:val="4E395582"/>
    <w:rsid w:val="4FFD214C"/>
    <w:rsid w:val="506208E0"/>
    <w:rsid w:val="5777D4F5"/>
    <w:rsid w:val="578978D6"/>
    <w:rsid w:val="58442DB3"/>
    <w:rsid w:val="59DD8326"/>
    <w:rsid w:val="5DEF592A"/>
    <w:rsid w:val="5FC6BB1E"/>
    <w:rsid w:val="5FF720F1"/>
    <w:rsid w:val="65A969C2"/>
    <w:rsid w:val="67AF5D43"/>
    <w:rsid w:val="67FF5C0B"/>
    <w:rsid w:val="6D281506"/>
    <w:rsid w:val="6EFC0924"/>
    <w:rsid w:val="6FB74722"/>
    <w:rsid w:val="6FD53713"/>
    <w:rsid w:val="6FEF8B7E"/>
    <w:rsid w:val="71A6591B"/>
    <w:rsid w:val="72B71411"/>
    <w:rsid w:val="737D59BA"/>
    <w:rsid w:val="755270A3"/>
    <w:rsid w:val="7557109C"/>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4"/>
    <w:qFormat/>
    <w:uiPriority w:val="0"/>
    <w:pPr>
      <w:widowControl/>
      <w:spacing w:before="100" w:beforeAutospacing="1" w:after="100" w:afterAutospacing="1"/>
      <w:jc w:val="left"/>
    </w:pPr>
    <w:rPr>
      <w:rFonts w:ascii="宋体" w:hAnsi="宋体" w:cs="宋体"/>
      <w:kern w:val="0"/>
      <w:sz w:val="24"/>
    </w:rPr>
  </w:style>
  <w:style w:type="paragraph" w:customStyle="1" w:styleId="4">
    <w:name w:val="正文首行缩进1"/>
    <w:basedOn w:val="1"/>
    <w:qFormat/>
    <w:uiPriority w:val="0"/>
    <w:pPr>
      <w:spacing w:after="120"/>
      <w:ind w:firstLine="100" w:firstLineChars="100"/>
    </w:pPr>
  </w:style>
  <w:style w:type="paragraph" w:styleId="5">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10"/>
    <w:semiHidden/>
    <w:qFormat/>
    <w:uiPriority w:val="0"/>
    <w:pPr>
      <w:snapToGrid w:val="0"/>
      <w:jc w:val="left"/>
    </w:pPr>
    <w:rPr>
      <w:sz w:val="18"/>
      <w:szCs w:val="18"/>
    </w:rPr>
  </w:style>
  <w:style w:type="paragraph" w:styleId="10">
    <w:name w:val="Body Text First Indent 2"/>
    <w:basedOn w:val="5"/>
    <w:unhideWhenUsed/>
    <w:qFormat/>
    <w:uiPriority w:val="99"/>
    <w:pPr>
      <w:ind w:firstLine="420" w:firstLineChars="200"/>
    </w:p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w:basedOn w:val="3"/>
    <w:next w:val="1"/>
    <w:qFormat/>
    <w:uiPriority w:val="0"/>
    <w:pPr>
      <w:adjustRightInd w:val="0"/>
      <w:snapToGrid w:val="0"/>
      <w:spacing w:after="0" w:line="360" w:lineRule="auto"/>
      <w:ind w:firstLine="100" w:firstLineChars="100"/>
    </w:pPr>
    <w:rPr>
      <w:rFonts w:eastAsia="宋体"/>
      <w:sz w:val="28"/>
      <w:szCs w:val="20"/>
    </w:rPr>
  </w:style>
  <w:style w:type="character" w:customStyle="1" w:styleId="15">
    <w:name w:val="页眉 Char"/>
    <w:basedOn w:val="14"/>
    <w:link w:val="8"/>
    <w:qFormat/>
    <w:uiPriority w:val="99"/>
    <w:rPr>
      <w:sz w:val="18"/>
      <w:szCs w:val="18"/>
    </w:rPr>
  </w:style>
  <w:style w:type="character" w:customStyle="1" w:styleId="16">
    <w:name w:val="页脚 Char"/>
    <w:basedOn w:val="14"/>
    <w:link w:val="7"/>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6"/>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6813</Words>
  <Characters>7170</Characters>
  <Lines>63</Lines>
  <Paragraphs>18</Paragraphs>
  <TotalTime>0</TotalTime>
  <ScaleCrop>false</ScaleCrop>
  <LinksUpToDate>false</LinksUpToDate>
  <CharactersWithSpaces>7193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2025-12-16T12:46:41Z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