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EECE1" w:themeColor="background2"/>
  <w:body>
    <w:p w14:paraId="6BA2E64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E85B69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华容县长江洞庭湖水利事务中心</w:t>
      </w:r>
      <w:r>
        <w:rPr>
          <w:rFonts w:hint="eastAsia" w:ascii="方正小标宋_GBK" w:hAnsi="方正小标宋_GBK" w:eastAsia="方正小标宋_GBK" w:cs="方正小标宋_GBK"/>
          <w:sz w:val="84"/>
          <w:szCs w:val="84"/>
        </w:rPr>
        <w:t>部门决算</w:t>
      </w:r>
    </w:p>
    <w:p w14:paraId="2E15E088">
      <w:pPr>
        <w:pStyle w:val="13"/>
        <w:spacing w:line="500" w:lineRule="exact"/>
        <w:jc w:val="both"/>
        <w:rPr>
          <w:b/>
          <w:sz w:val="36"/>
          <w:szCs w:val="28"/>
        </w:rPr>
      </w:pPr>
    </w:p>
    <w:p w14:paraId="4A7A36B8">
      <w:pPr>
        <w:pStyle w:val="13"/>
        <w:spacing w:line="500" w:lineRule="exact"/>
        <w:jc w:val="center"/>
        <w:rPr>
          <w:b/>
          <w:sz w:val="36"/>
          <w:szCs w:val="28"/>
        </w:rPr>
      </w:pPr>
      <w:r>
        <w:rPr>
          <w:rFonts w:hint="eastAsia"/>
          <w:b/>
          <w:sz w:val="36"/>
          <w:szCs w:val="28"/>
        </w:rPr>
        <w:t>目录</w:t>
      </w:r>
    </w:p>
    <w:p w14:paraId="67341C5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第一部分</w:t>
      </w:r>
      <w:r>
        <w:rPr>
          <w:rFonts w:hint="eastAsia" w:ascii="仿宋_GB2312" w:hAnsi="仿宋_GB2312" w:eastAsia="仿宋_GB2312" w:cs="仿宋_GB2312"/>
          <w:sz w:val="28"/>
          <w:szCs w:val="28"/>
          <w:lang w:val="en-US" w:eastAsia="zh-CN"/>
        </w:rPr>
        <w:t xml:space="preserve"> 华容县长江洞庭湖水利事务中心</w:t>
      </w:r>
      <w:r>
        <w:rPr>
          <w:rFonts w:hint="eastAsia" w:ascii="仿宋_GB2312" w:hAnsi="仿宋_GB2312" w:eastAsia="仿宋_GB2312" w:cs="仿宋_GB2312"/>
          <w:sz w:val="28"/>
          <w:szCs w:val="28"/>
        </w:rPr>
        <w:t>概况</w:t>
      </w:r>
    </w:p>
    <w:p w14:paraId="6AE1B65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A6BE3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286610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D425F9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A57074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7C9A54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D3C09E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DE56F5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B1A07A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5573AC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69C8E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F308EF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7679BB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2AE1CD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65A5905">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E29598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51F4F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F90020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22DE4C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94481D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628C4E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27A6F9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0C8D081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2F5C11B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7B7029C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6A9AA146">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1A0689BE">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2F38ACE7">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BD8228E">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716BDD4">
      <w:pPr>
        <w:pStyle w:val="13"/>
        <w:spacing w:line="500" w:lineRule="exact"/>
        <w:rPr>
          <w:rFonts w:hint="eastAsia" w:ascii="黑体" w:hAnsi="黑体" w:eastAsia="黑体" w:cs="黑体"/>
          <w:b w:val="0"/>
          <w:bCs/>
          <w:sz w:val="28"/>
          <w:szCs w:val="28"/>
        </w:rPr>
      </w:pPr>
    </w:p>
    <w:p w14:paraId="054B6A96">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3C38FCD8">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val="en-US" w:eastAsia="zh-CN"/>
        </w:rPr>
        <w:t>华容县长江洞庭湖水利事务中心</w:t>
      </w:r>
      <w:r>
        <w:rPr>
          <w:rFonts w:hint="eastAsia" w:ascii="方正小标宋_GBK" w:hAnsi="方正小标宋_GBK" w:eastAsia="方正小标宋_GBK" w:cs="方正小标宋_GBK"/>
          <w:sz w:val="48"/>
          <w:szCs w:val="48"/>
        </w:rPr>
        <w:t>概况</w:t>
      </w:r>
    </w:p>
    <w:p w14:paraId="5DBDDB6C">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4C0167C">
      <w:pPr>
        <w:widowControl/>
        <w:spacing w:line="600" w:lineRule="exact"/>
        <w:ind w:firstLine="1280" w:firstLineChars="400"/>
        <w:rPr>
          <w:rFonts w:hint="eastAsia" w:ascii="Times New Roman" w:hAnsi="Times New Roman" w:eastAsia="仿宋_GB2312" w:cs="仿宋_GB2312"/>
          <w:sz w:val="32"/>
          <w:szCs w:val="32"/>
        </w:rPr>
      </w:pPr>
      <w:r>
        <w:rPr>
          <w:rFonts w:hint="eastAsia" w:ascii="Times New Roman" w:hAnsi="Times New Roman" w:eastAsia="仿宋_GB2312" w:cs="仿宋_GB2312"/>
          <w:bCs/>
          <w:kern w:val="0"/>
          <w:sz w:val="32"/>
          <w:szCs w:val="32"/>
        </w:rPr>
        <w:t>主要职能</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负责县域内江、湖、河道、湖泊的水生态环境保护与治理等事务性研究工作。负责县域内江、湖、河道、中小型水库、水土保持、农饮等相关规划编制和相关重大水利项目的前期运作、项目建设、运行管理等事务性工作。</w:t>
      </w:r>
    </w:p>
    <w:p w14:paraId="6DF5BB6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475EEB1">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456E2CF4">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华容县长江洞庭湖水利事务中心设7个内设机构：综合部、财务部、工程事务部、河道治理部、水资源与水土保持部、质监部、规划部。</w:t>
      </w:r>
    </w:p>
    <w:p w14:paraId="758C51C0">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华容县长江洞庭湖水利事务中心</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单位</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决算，没有下属单位。</w:t>
      </w:r>
    </w:p>
    <w:p w14:paraId="77F41769">
      <w:pPr>
        <w:jc w:val="left"/>
        <w:rPr>
          <w:rFonts w:ascii="仿宋_GB2312" w:eastAsia="仿宋_GB2312" w:hAnsiTheme="minorEastAsia"/>
          <w:sz w:val="28"/>
          <w:szCs w:val="32"/>
        </w:rPr>
      </w:pPr>
    </w:p>
    <w:p w14:paraId="4CC17E92">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0D3CC37D">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06727AC0">
      <w:pPr>
        <w:pStyle w:val="13"/>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6462DB5C">
      <w:pPr>
        <w:pStyle w:val="13"/>
        <w:jc w:val="center"/>
        <w:rPr>
          <w:rFonts w:hint="eastAsia" w:ascii="方正小标宋_GBK" w:hAnsi="方正小标宋_GBK" w:eastAsia="方正小标宋_GBK" w:cs="方正小标宋_GBK"/>
          <w:sz w:val="48"/>
          <w:szCs w:val="48"/>
        </w:rPr>
      </w:pPr>
    </w:p>
    <w:p w14:paraId="2929F6C7">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33B89D89">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11D33172">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2264BE6">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default" w:ascii="Times New Roman" w:hAnsi="Times New Roman" w:eastAsia="仿宋_GB2312"/>
          <w:color w:val="000000" w:themeColor="text1"/>
          <w:sz w:val="32"/>
          <w:szCs w:val="32"/>
          <w:highlight w:val="yellow"/>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542</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142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32"/>
          <w:highlight w:val="none"/>
          <w:shd w:val="clear" w:fill="FFFFFF" w:themeFill="background1"/>
          <w14:textFill>
            <w14:solidFill>
              <w14:schemeClr w14:val="tx1"/>
            </w14:solidFill>
          </w14:textFill>
        </w:rPr>
        <w:t>主要是因为</w:t>
      </w:r>
      <w:r>
        <w:rPr>
          <w:rFonts w:hint="eastAsia" w:ascii="Times New Roman" w:hAnsi="Times New Roman" w:eastAsia="仿宋_GB2312"/>
          <w:color w:val="000000" w:themeColor="text1"/>
          <w:sz w:val="32"/>
          <w:szCs w:val="32"/>
          <w:highlight w:val="none"/>
          <w:shd w:val="clear" w:fill="FFFFFF" w:themeFill="background1"/>
          <w:lang w:val="en-US" w:eastAsia="zh-CN"/>
          <w14:textFill>
            <w14:solidFill>
              <w14:schemeClr w14:val="tx1"/>
            </w14:solidFill>
          </w14:textFill>
        </w:rPr>
        <w:t>本单位工作职能改变，单位合并、人员增加。</w:t>
      </w:r>
    </w:p>
    <w:p w14:paraId="1D3746CB">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二、收入决算情况说明</w:t>
      </w:r>
    </w:p>
    <w:p w14:paraId="378689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w:t>
      </w:r>
      <w:r>
        <w:rPr>
          <w:rFonts w:hint="eastAsia" w:ascii="Times New Roman" w:hAnsi="Times New Roman" w:eastAsia="仿宋_GB2312"/>
          <w:sz w:val="32"/>
          <w:szCs w:val="32"/>
          <w:lang w:val="en-US" w:eastAsia="zh-CN"/>
        </w:rPr>
        <w:t>542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519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p>
    <w:p w14:paraId="5CB7D5B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CFC8F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542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96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D50BA2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FC07E6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542</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142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本年度人员增加</w:t>
      </w:r>
      <w:r>
        <w:rPr>
          <w:rFonts w:hint="eastAsia" w:ascii="Times New Roman" w:hAnsi="Times New Roman" w:eastAsia="仿宋_GB2312"/>
          <w:sz w:val="32"/>
          <w:szCs w:val="32"/>
          <w:highlight w:val="none"/>
          <w:lang w:eastAsia="zh-CN"/>
        </w:rPr>
        <w:t>。</w:t>
      </w:r>
    </w:p>
    <w:p w14:paraId="559C301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8B649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B1765A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81</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38</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本年度人员增加</w:t>
      </w:r>
      <w:r>
        <w:rPr>
          <w:rFonts w:hint="eastAsia" w:ascii="Times New Roman" w:hAnsi="Times New Roman" w:eastAsia="仿宋_GB2312"/>
          <w:sz w:val="32"/>
          <w:szCs w:val="32"/>
          <w:highlight w:val="none"/>
          <w:lang w:eastAsia="zh-CN"/>
        </w:rPr>
        <w:t>。</w:t>
      </w:r>
    </w:p>
    <w:p w14:paraId="5FD4B131">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1E9D9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438</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用于农林水</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438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占100%。</w:t>
      </w:r>
    </w:p>
    <w:p w14:paraId="659DF5DD">
      <w:pPr>
        <w:pStyle w:val="13"/>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10451F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424</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，支出决算数为</w:t>
      </w:r>
      <w:r>
        <w:rPr>
          <w:rFonts w:hint="eastAsia" w:ascii="Times New Roman" w:hAnsi="Times New Roman" w:eastAsia="仿宋_GB2312"/>
          <w:sz w:val="32"/>
          <w:szCs w:val="32"/>
          <w:lang w:val="en-US" w:eastAsia="zh-CN"/>
        </w:rPr>
        <w:t>438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103%.</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424</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438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103</w:t>
      </w:r>
      <w:r>
        <w:rPr>
          <w:rFonts w:hint="eastAsia" w:ascii="Times New Roman" w:hAnsi="Times New Roman" w:eastAsia="仿宋_GB2312"/>
          <w:sz w:val="32"/>
          <w:szCs w:val="32"/>
        </w:rPr>
        <w:t>%，决算数大于年初预算数的</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本年度人员增加</w:t>
      </w:r>
      <w:r>
        <w:rPr>
          <w:rFonts w:hint="eastAsia" w:ascii="Times New Roman" w:hAnsi="Times New Roman" w:eastAsia="仿宋_GB2312"/>
          <w:sz w:val="32"/>
          <w:szCs w:val="32"/>
          <w:highlight w:val="none"/>
          <w:lang w:eastAsia="zh-CN"/>
        </w:rPr>
        <w:t>。</w:t>
      </w:r>
    </w:p>
    <w:p w14:paraId="6842055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FF0000"/>
          <w:sz w:val="32"/>
          <w:szCs w:val="32"/>
        </w:rPr>
      </w:pPr>
    </w:p>
    <w:p w14:paraId="3FA93F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6B5A99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438</w:t>
      </w:r>
      <w:r>
        <w:rPr>
          <w:rFonts w:hint="eastAsia" w:ascii="Times New Roman" w:hAnsi="Times New Roman" w:eastAsia="仿宋_GB2312"/>
          <w:sz w:val="32"/>
          <w:szCs w:val="32"/>
        </w:rPr>
        <w:t>万元，其中：</w:t>
      </w:r>
    </w:p>
    <w:p w14:paraId="33F5C77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380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86</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val="zh-CN"/>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14:paraId="2F128635">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olor w:val="FF0000"/>
          <w:sz w:val="32"/>
          <w:szCs w:val="32"/>
          <w:lang w:eastAsia="zh-CN"/>
        </w:rPr>
      </w:pPr>
    </w:p>
    <w:p w14:paraId="25335183">
      <w:pPr>
        <w:keepNext/>
        <w:keepLines/>
        <w:ind w:firstLine="643"/>
        <w:jc w:val="left"/>
        <w:rPr>
          <w:rFonts w:hint="eastAsia" w:ascii="宋体" w:hAnsi="宋体" w:eastAsia="宋体"/>
          <w:color w:val="auto"/>
          <w:kern w:val="0"/>
          <w:sz w:val="32"/>
          <w:szCs w:val="24"/>
          <w:highlight w:val="white"/>
          <w:lang w:val="en-US"/>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54</w:t>
      </w:r>
      <w:r>
        <w:rPr>
          <w:rFonts w:hint="eastAsia" w:ascii="Times New Roman" w:hAnsi="Times New Roman" w:eastAsia="仿宋_GB2312"/>
          <w:sz w:val="32"/>
          <w:szCs w:val="32"/>
        </w:rPr>
        <w:t>万元，主要包括办公费、印刷费、咨询费、手续费</w:t>
      </w:r>
      <w:r>
        <w:rPr>
          <w:rFonts w:hint="eastAsia" w:ascii="Times New Roman" w:hAnsi="Times New Roman" w:eastAsia="仿宋_GB2312"/>
          <w:sz w:val="32"/>
          <w:szCs w:val="32"/>
          <w:lang w:val="en-US"/>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5719D108">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b/>
          <w:color w:val="FF0000"/>
          <w:sz w:val="32"/>
          <w:szCs w:val="32"/>
        </w:rPr>
      </w:pPr>
    </w:p>
    <w:p w14:paraId="6C51D88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rPr>
      </w:pPr>
      <w:r>
        <w:rPr>
          <w:rFonts w:hint="eastAsia" w:ascii="黑体" w:hAnsi="黑体" w:eastAsia="黑体" w:cs="黑体"/>
          <w:b w:val="0"/>
          <w:bCs/>
          <w:sz w:val="32"/>
          <w:szCs w:val="32"/>
        </w:rPr>
        <w:t>七、财政拨款三公经费支出决算情况说明</w:t>
      </w:r>
    </w:p>
    <w:p w14:paraId="20288D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6277A4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本单位职能改变，相应的检查及各项工作的开展增加接待开支，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增加0.49</w:t>
      </w:r>
      <w:r>
        <w:rPr>
          <w:rFonts w:hint="eastAsia" w:ascii="Times New Roman" w:hAnsi="Times New Roman" w:eastAsia="仿宋_GB2312"/>
          <w:sz w:val="32"/>
          <w:szCs w:val="32"/>
        </w:rPr>
        <w:t>万</w:t>
      </w:r>
      <w:r>
        <w:rPr>
          <w:rFonts w:hint="eastAsia" w:ascii="Times New Roman" w:hAnsi="Times New Roman" w:eastAsia="仿宋_GB2312"/>
          <w:sz w:val="32"/>
          <w:szCs w:val="32"/>
          <w:lang w:val="en-US" w:eastAsia="zh-CN"/>
        </w:rPr>
        <w:t>。</w:t>
      </w:r>
    </w:p>
    <w:p w14:paraId="4A7058E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73FCC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与上年比增加0.49万元</w:t>
      </w:r>
      <w:r>
        <w:rPr>
          <w:rFonts w:hint="eastAsia" w:ascii="Times New Roman" w:hAnsi="Times New Roman" w:eastAsia="仿宋_GB2312"/>
          <w:sz w:val="32"/>
          <w:szCs w:val="32"/>
        </w:rPr>
        <w:t>与的主要原因是</w:t>
      </w:r>
      <w:r>
        <w:rPr>
          <w:rFonts w:hint="eastAsia" w:ascii="Times New Roman" w:hAnsi="Times New Roman" w:eastAsia="仿宋_GB2312"/>
          <w:sz w:val="32"/>
          <w:szCs w:val="32"/>
          <w:lang w:val="en-US" w:eastAsia="zh-CN"/>
        </w:rPr>
        <w:t>项目检查接待开支增加</w:t>
      </w:r>
      <w:r>
        <w:rPr>
          <w:rFonts w:hint="eastAsia" w:ascii="Times New Roman" w:hAnsi="Times New Roman" w:eastAsia="仿宋_GB2312"/>
          <w:sz w:val="32"/>
          <w:szCs w:val="32"/>
        </w:rPr>
        <w:t>。</w:t>
      </w:r>
    </w:p>
    <w:p w14:paraId="7498940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252110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FC9FC9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51A81E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4674077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r>
        <w:rPr>
          <w:rFonts w:hint="eastAsia" w:ascii="Times New Roman" w:hAnsi="Times New Roman" w:eastAsia="仿宋_GB2312"/>
          <w:sz w:val="32"/>
          <w:szCs w:val="32"/>
          <w:lang w:eastAsia="zh-CN"/>
        </w:rPr>
        <w:t>无。</w:t>
      </w:r>
    </w:p>
    <w:p w14:paraId="242FD71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单位项目检查</w:t>
      </w:r>
      <w:r>
        <w:rPr>
          <w:rFonts w:hint="eastAsia" w:ascii="Times New Roman" w:hAnsi="Times New Roman" w:eastAsia="仿宋_GB2312"/>
          <w:sz w:val="32"/>
          <w:szCs w:val="32"/>
        </w:rPr>
        <w:t>发生的接待支出。</w:t>
      </w:r>
    </w:p>
    <w:p w14:paraId="74636339">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CEA5BE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3868CBB">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olor w:val="FF0000"/>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8D48AE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九、国有资本经营预算财政拨款支出决算情况</w:t>
      </w:r>
    </w:p>
    <w:p w14:paraId="6EBA667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bookmarkStart w:id="0" w:name="_GoBack"/>
      <w:bookmarkEnd w:id="0"/>
      <w:r>
        <w:rPr>
          <w:rFonts w:hint="eastAsia" w:ascii="Times New Roman" w:hAnsi="Times New Roman" w:eastAsia="仿宋_GB2312"/>
          <w:sz w:val="32"/>
          <w:szCs w:val="32"/>
          <w:lang w:eastAsia="zh-CN"/>
        </w:rPr>
        <w:t>2023年本单位没有使用国有资本经营预算安排的支出。</w:t>
      </w:r>
    </w:p>
    <w:p w14:paraId="004F622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十、关于机关运行经费支出说明</w:t>
      </w:r>
    </w:p>
    <w:p w14:paraId="0F7DEF3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本单位是非参公管理的事业单位，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1BC774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十一、一般性支出情况说明</w:t>
      </w:r>
    </w:p>
    <w:p w14:paraId="70ABE1F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FF0000"/>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71DF60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十二、关于政府采购支出说明</w:t>
      </w:r>
    </w:p>
    <w:p w14:paraId="37AEA87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58.5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5.91</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52.59</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5.91</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%，工程采购授予中小企业合同金额</w:t>
      </w:r>
      <w:r>
        <w:rPr>
          <w:rFonts w:hint="eastAsia" w:ascii="Times New Roman" w:hAnsi="Times New Roman" w:eastAsia="仿宋_GB2312"/>
          <w:color w:val="auto"/>
          <w:sz w:val="32"/>
          <w:szCs w:val="32"/>
          <w:lang w:val="en-US" w:eastAsia="zh-CN"/>
        </w:rPr>
        <w:t>58.5万元。</w:t>
      </w:r>
      <w:r>
        <w:rPr>
          <w:rFonts w:hint="eastAsia" w:ascii="Times New Roman" w:hAnsi="Times New Roman" w:eastAsia="仿宋_GB2312"/>
          <w:color w:val="auto"/>
          <w:sz w:val="32"/>
          <w:szCs w:val="32"/>
        </w:rPr>
        <w:t>占工程支出金额的</w:t>
      </w:r>
      <w:r>
        <w:rPr>
          <w:rFonts w:hint="eastAsia" w:ascii="Times New Roman" w:hAnsi="Times New Roman" w:eastAsia="仿宋_GB2312"/>
          <w:color w:val="auto"/>
          <w:sz w:val="32"/>
          <w:szCs w:val="32"/>
          <w:lang w:val="en-US" w:eastAsia="zh-CN"/>
        </w:rPr>
        <w:t>90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51E9C59">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5CAEE86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highlight w:val="none"/>
        </w:rPr>
        <w:t>其他用车主要是</w:t>
      </w:r>
      <w:r>
        <w:rPr>
          <w:rFonts w:hint="eastAsia" w:ascii="Times New Roman" w:hAnsi="Times New Roman" w:eastAsia="仿宋_GB2312"/>
          <w:color w:val="auto"/>
          <w:sz w:val="32"/>
          <w:szCs w:val="32"/>
          <w:highlight w:val="none"/>
          <w:lang w:eastAsia="zh-CN"/>
        </w:rPr>
        <w:t>无</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0498FDC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7A52FA0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（一）绩效管理工作开展情况</w:t>
      </w:r>
      <w:r>
        <w:rPr>
          <w:rFonts w:hint="eastAsia" w:ascii="Times New Roman" w:hAnsi="Times New Roman" w:eastAsia="仿宋_GB2312" w:cs="黑体"/>
          <w:color w:val="000000"/>
          <w:kern w:val="0"/>
          <w:sz w:val="32"/>
          <w:szCs w:val="32"/>
          <w:lang w:val="en-US" w:eastAsia="zh-CN" w:bidi="ar-SA"/>
        </w:rPr>
        <w:t xml:space="preserve"> </w:t>
      </w:r>
    </w:p>
    <w:p w14:paraId="0E2AA4F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楷体" w:hAnsi="楷体" w:eastAsia="楷体" w:cs="楷体"/>
          <w:b/>
          <w:bCs/>
          <w:sz w:val="32"/>
          <w:szCs w:val="32"/>
          <w:lang w:val="en-US" w:eastAsia="zh-CN"/>
        </w:rPr>
      </w:pPr>
      <w:r>
        <w:rPr>
          <w:rFonts w:hint="eastAsia" w:ascii="Times New Roman" w:hAnsi="Times New Roman" w:eastAsia="仿宋_GB2312" w:cs="黑体"/>
          <w:color w:val="000000"/>
          <w:kern w:val="0"/>
          <w:sz w:val="32"/>
          <w:szCs w:val="32"/>
          <w:lang w:val="en-US" w:eastAsia="zh-CN" w:bidi="ar-SA"/>
        </w:rPr>
        <w:t>根据预算绩效管理要求，我单位组织开展了本年度整体支出绩效评价，希望本单位能够组织绩效专门培训，加深各级管理人员对绩效管理工作的认识，以提高单位的资金使用率。</w:t>
      </w:r>
    </w:p>
    <w:p w14:paraId="627D026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F474F83">
      <w:pPr>
        <w:widowControl/>
        <w:spacing w:line="600" w:lineRule="exact"/>
        <w:ind w:firstLine="320" w:firstLineChars="1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黑体"/>
          <w:color w:val="000000"/>
          <w:kern w:val="0"/>
          <w:sz w:val="32"/>
          <w:szCs w:val="32"/>
          <w:lang w:val="en-US" w:eastAsia="zh-CN" w:bidi="ar-SA"/>
        </w:rPr>
        <w:t xml:space="preserve">  根据预算绩效管理要求，我单位组织开展了本年度整体支出绩效评价，涉及一般公共预算支出542万元。根据单位目标管理要求，</w:t>
      </w:r>
      <w:r>
        <w:rPr>
          <w:rFonts w:hint="eastAsia" w:ascii="Times New Roman" w:hAnsi="Times New Roman" w:eastAsia="仿宋_GB2312" w:cs="仿宋_GB2312"/>
          <w:bCs/>
          <w:kern w:val="0"/>
          <w:sz w:val="32"/>
          <w:szCs w:val="32"/>
          <w:lang w:val="en-US" w:eastAsia="zh-CN"/>
        </w:rPr>
        <w:t>负责县域内江、湖、河道、湖泊的水生态环境保护与治理等事务性研究工作。</w:t>
      </w:r>
    </w:p>
    <w:p w14:paraId="44297E40">
      <w:pPr>
        <w:widowControl/>
        <w:spacing w:line="600" w:lineRule="exact"/>
        <w:ind w:firstLine="320" w:firstLineChars="1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负责县域内江、湖、河道、中小型水库、水土保持、农饮等相关规划编制和相关重大水利项目的前期运作、项目建设、运行管理等事务性工作。</w:t>
      </w:r>
    </w:p>
    <w:p w14:paraId="5D13FFB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2CD5BB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leftChars="200"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本单位绩效管理工作还存在绩效目标编制不够全面，绩效指标量化不够，预算执行监控力度不强，在今后的工作中需要进一步加以改进和完善。需要进一步规范财务核算，加强预算执行情况的监管力度；绩效管理制度体系薄弱，需要进一步完善，推进制度落实。</w:t>
      </w:r>
    </w:p>
    <w:p w14:paraId="3F5668A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00869FF6">
      <w:pPr>
        <w:pStyle w:val="13"/>
        <w:jc w:val="both"/>
        <w:rPr>
          <w:sz w:val="72"/>
          <w:szCs w:val="72"/>
        </w:rPr>
      </w:pPr>
    </w:p>
    <w:p w14:paraId="7343362C">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40FA3B44">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697CD697">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政拨款收入：指本级财政当年拨付的资金</w:t>
      </w:r>
    </w:p>
    <w:p w14:paraId="59D34A22">
      <w:pPr>
        <w:keepNext/>
        <w:keepLines/>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其他收入：指除上述“财政拨款收入”、“上级补助收入”、“事业收入”、“经营收入”、“附属单位上缴收入”等以外的收入。</w:t>
      </w:r>
    </w:p>
    <w:p w14:paraId="2217D04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1608CEB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农林水支出（类）：是指用于农林水事务支出，包括保障机构正常运转、完成日常和特定的工作任务或事业发展目标的支出。</w:t>
      </w:r>
    </w:p>
    <w:p w14:paraId="31CB6507">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粮油物资储备支出（类）：是指用于粮油物资储备方面的支出，包括保障机构正常运转、完成日常和特定的工作任务或事业发展目标的支出。</w:t>
      </w:r>
    </w:p>
    <w:p w14:paraId="5676C1F2">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14:paraId="15660B70">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基本支出：指保障机构正常运转、完成支日常工作任务而发生的人员支出和公用支出。</w:t>
      </w:r>
    </w:p>
    <w:p w14:paraId="600BC59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9F71EC4">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工资福利支出：反映单位开支的在职职工和编制外长期聘用人员的各类劳动报酬，以及为上述人员缴纳的各项社会保险费等。</w:t>
      </w:r>
    </w:p>
    <w:p w14:paraId="7FCC725B">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25851F0F">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14:paraId="09E48C55">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奖金：反映机关工作人员年终一次性奖金。</w:t>
      </w:r>
    </w:p>
    <w:p w14:paraId="3B0782E8">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伙食补助费：反映单位发给职工的伙食补助费，如误餐补助等。</w:t>
      </w:r>
    </w:p>
    <w:p w14:paraId="5F4FDF8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绩效工资：反映事业单位工作人员的绩效工资。</w:t>
      </w:r>
    </w:p>
    <w:p w14:paraId="31320E5A">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机关事业单位基本养老保险缴费：反映机关事业单位缴纳的基本养老保险费。由单位代扣的工作人员基本养老保险缴费，不在此科目反映。</w:t>
      </w:r>
    </w:p>
    <w:p w14:paraId="40DD90E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职工基本医疗保险缴费：反映单位为职工缴纳的基本医疗保险费。</w:t>
      </w:r>
    </w:p>
    <w:p w14:paraId="075D3846">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其他社会保障缴费：反映单位为职工缴纳的基本医疗、失业、工伤、生育等社会保险费，残疾人就业保障金，军队（含武警）为军人缴纳的伤亡、退役医疗等社会保险费。</w:t>
      </w:r>
    </w:p>
    <w:p w14:paraId="073DC78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住房公积金：反映行政事业单位按人力资源和社会保障部、财政部规定的基本工资和津贴补贴以及规定比例为职工缴纳的住房公积金。</w:t>
      </w:r>
    </w:p>
    <w:p w14:paraId="5C95F94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99A663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商品和服务支出：反映单位购买商品和服务的支出（不包括用于购置固定资产的支出、战略性和应急储备支出）。</w:t>
      </w:r>
    </w:p>
    <w:p w14:paraId="71FF3CEE">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办公费：反映单位购买按财务会计制度规定不符合固定资产确认标准的日常办公用品、书报杂志等支出。</w:t>
      </w:r>
    </w:p>
    <w:p w14:paraId="6200BA2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印刷费：反映单位的印刷费支出。</w:t>
      </w:r>
    </w:p>
    <w:p w14:paraId="119DC2E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邮电费：反映单位开支的信函、包裹、货物等物品的邮寄费及电话费、电报费、传真费、网络通讯费等。</w:t>
      </w:r>
    </w:p>
    <w:p w14:paraId="17D415E4">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差旅费：反映单位工作人员出差发生的城市间交通费、住宿费、伙食补贴费和市内交通费。</w:t>
      </w:r>
    </w:p>
    <w:p w14:paraId="44F940B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维修(护)费：反映单位日常开支的固定资产（不包括车船等交通工具）修理和维护费用，网络信息系统运行与维护费用，以及按规定提取的修购基金。</w:t>
      </w:r>
    </w:p>
    <w:p w14:paraId="564DC54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会议费：反映会议中按规定开支的住宿费、伙食费、会议室租金、交通费、文件印刷费、医药费等。</w:t>
      </w:r>
    </w:p>
    <w:p w14:paraId="302990F0">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培训费：反映除因公出国（境）培训费以外的各类培训支出。</w:t>
      </w:r>
    </w:p>
    <w:p w14:paraId="66C176A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公务接待费：反映单位按规定开支的各类公务接待（含外宾接待）费用。</w:t>
      </w:r>
    </w:p>
    <w:p w14:paraId="0C6F1A48">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6EFC48F">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劳务费：反映支付给单位和个人的劳务费用，如临时聘用人员、钟点工工资，稿费、翻译费，评审费等。</w:t>
      </w:r>
    </w:p>
    <w:p w14:paraId="62F186DE">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工会经费：反映单位按规定提取的工会经费。</w:t>
      </w:r>
    </w:p>
    <w:p w14:paraId="240B43A8">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其他交通费用：反映单位除公务用车运行维护费以外的其他交通费用。如公务交通补贴，租车费用、出租车费用，飞机、船舶等的燃料费、维修费、保险费等。</w:t>
      </w:r>
    </w:p>
    <w:p w14:paraId="66D88CB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其他商品和服务支出：反映上述科目未包括的日常公用支出。如行政赔偿费和诉讼费、国内组织的会员费、来访费、广告宣传、其他劳务费及离休人员特需费、公用经费等。</w:t>
      </w:r>
    </w:p>
    <w:p w14:paraId="70D55FF4">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对个人和家庭的补助：反映政府用于对个人和家庭的补助支出。</w:t>
      </w:r>
    </w:p>
    <w:p w14:paraId="0A69AD9B">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抚恤金：反映按规定开支的烈士遗属、牺牲病故人员遗属的一次性和定期抚恤金，伤残人员的抚恤金，离退休人员等其他人员的各项抚恤金。</w:t>
      </w:r>
    </w:p>
    <w:p w14:paraId="379CB0E1">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奖励金：反映政府各部门的奖励支出，如对个体私营经济的奖励、计划生育目标责任奖励、独生子女父母奖励等。</w:t>
      </w:r>
    </w:p>
    <w:p w14:paraId="544DD06A">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其他对个人和家庭的补助支出：反映未包括在上述科目的对个人和家庭的补助支出，</w:t>
      </w:r>
    </w:p>
    <w:p w14:paraId="6E91718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办公设备购置：反映用于购置并按财务会计制度规定纳入固定资产核算范围的办公家具和办公设备的支出，以及按规定提取的修购基金。</w:t>
      </w:r>
    </w:p>
    <w:p w14:paraId="69E1642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56CCA61D">
      <w:pPr>
        <w:pStyle w:val="13"/>
        <w:keepNext w:val="0"/>
        <w:keepLines w:val="0"/>
        <w:pageBreakBefore w:val="0"/>
        <w:widowControl w:val="0"/>
        <w:kinsoku/>
        <w:wordWrap/>
        <w:overflowPunct/>
        <w:topLinePunct w:val="0"/>
        <w:bidi w:val="0"/>
        <w:snapToGrid/>
        <w:spacing w:line="600" w:lineRule="exact"/>
        <w:ind w:firstLine="1440" w:firstLineChars="200"/>
        <w:textAlignment w:val="auto"/>
        <w:rPr>
          <w:rFonts w:hint="eastAsia" w:ascii="方正小标宋_GBK" w:hAnsi="方正小标宋_GBK" w:eastAsia="方正小标宋_GBK" w:cs="方正小标宋_GBK"/>
          <w:sz w:val="72"/>
          <w:szCs w:val="72"/>
        </w:rPr>
      </w:pPr>
    </w:p>
    <w:p w14:paraId="41B3F141">
      <w:pPr>
        <w:widowControl/>
        <w:ind w:firstLine="640" w:firstLineChars="200"/>
        <w:jc w:val="left"/>
        <w:rPr>
          <w:rFonts w:cs="黑体" w:asciiTheme="minorEastAsia" w:hAnsiTheme="minorEastAsia"/>
          <w:color w:val="000000"/>
          <w:kern w:val="0"/>
          <w:sz w:val="32"/>
          <w:szCs w:val="32"/>
        </w:rPr>
      </w:pPr>
    </w:p>
    <w:p w14:paraId="28DD68CE">
      <w:pPr>
        <w:ind w:firstLine="1440" w:firstLineChars="200"/>
        <w:jc w:val="left"/>
        <w:rPr>
          <w:rFonts w:hint="eastAsia" w:ascii="方正小标宋_GBK" w:hAnsi="方正小标宋_GBK" w:eastAsia="方正小标宋_GBK" w:cs="方正小标宋_GBK"/>
          <w:sz w:val="72"/>
          <w:szCs w:val="72"/>
        </w:rPr>
      </w:pPr>
    </w:p>
    <w:p w14:paraId="68FBF8DE">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58A3E117">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7E309BB8">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仿宋_GB2312" w:hAnsi="仿宋_GB2312" w:eastAsia="仿宋_GB2312" w:cs="仿宋_GB2312"/>
          <w:sz w:val="28"/>
          <w:szCs w:val="28"/>
          <w:lang w:val="en-US" w:eastAsia="zh-CN"/>
        </w:rPr>
        <w:t>华容县长江洞庭湖水利事务中心</w:t>
      </w:r>
      <w:r>
        <w:rPr>
          <w:rFonts w:hint="eastAsia" w:ascii="Times New Roman" w:hAnsi="Times New Roman" w:eastAsia="仿宋_GB2312"/>
          <w:sz w:val="32"/>
          <w:szCs w:val="32"/>
          <w:lang w:val="en-US" w:eastAsia="zh-CN"/>
        </w:rPr>
        <w:t>2023年度部门决算公开表格</w:t>
      </w:r>
    </w:p>
    <w:p w14:paraId="21DEFC27">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二、</w:t>
      </w:r>
      <w:r>
        <w:rPr>
          <w:rFonts w:hint="eastAsia" w:ascii="仿宋_GB2312" w:hAnsi="仿宋_GB2312" w:eastAsia="仿宋_GB2312" w:cs="仿宋_GB2312"/>
          <w:sz w:val="28"/>
          <w:szCs w:val="28"/>
          <w:lang w:val="en-US" w:eastAsia="zh-CN"/>
        </w:rPr>
        <w:t>华容县长江洞庭湖水利事务中心</w:t>
      </w:r>
      <w:r>
        <w:rPr>
          <w:rFonts w:hint="eastAsia" w:ascii="Times New Roman" w:hAnsi="Times New Roman" w:eastAsia="仿宋_GB2312"/>
          <w:sz w:val="32"/>
          <w:szCs w:val="32"/>
          <w:lang w:val="en-US" w:eastAsia="zh-CN"/>
        </w:rPr>
        <w:t>2023年度整体支出绩效自评报告。</w:t>
      </w:r>
    </w:p>
    <w:p w14:paraId="2ED97755">
      <w:pPr>
        <w:pStyle w:val="13"/>
        <w:ind w:firstLine="1280" w:firstLineChars="400"/>
        <w:rPr>
          <w:rFonts w:hint="eastAsia" w:cs="黑体" w:asciiTheme="minorEastAsia" w:hAnsiTheme="minorEastAsia" w:eastAsiaTheme="minorEastAsia"/>
          <w:color w:val="000000"/>
          <w:kern w:val="0"/>
          <w:sz w:val="32"/>
          <w:szCs w:val="32"/>
          <w:lang w:val="en-US" w:eastAsia="zh-CN" w:bidi="ar-SA"/>
        </w:rPr>
      </w:pPr>
    </w:p>
    <w:p w14:paraId="5454DC3E">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3A63795E">
      <w:pPr>
        <w:pStyle w:val="13"/>
        <w:jc w:val="center"/>
        <w:rPr>
          <w:sz w:val="72"/>
          <w:szCs w:val="72"/>
        </w:rPr>
      </w:pPr>
    </w:p>
    <w:p w14:paraId="77C85708">
      <w:pPr>
        <w:pStyle w:val="13"/>
        <w:jc w:val="center"/>
        <w:rPr>
          <w:sz w:val="72"/>
          <w:szCs w:val="72"/>
        </w:rPr>
      </w:pPr>
    </w:p>
    <w:p w14:paraId="1253EEC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MWY5NjY0NGVmNzU5MTk1OWE1MTQ3ZGRlZjkyYTg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7634FB"/>
    <w:rsid w:val="04E92909"/>
    <w:rsid w:val="05031314"/>
    <w:rsid w:val="051807CD"/>
    <w:rsid w:val="052B3616"/>
    <w:rsid w:val="05A818BE"/>
    <w:rsid w:val="06197838"/>
    <w:rsid w:val="08513E1D"/>
    <w:rsid w:val="0BC4547A"/>
    <w:rsid w:val="106124FD"/>
    <w:rsid w:val="112540BD"/>
    <w:rsid w:val="121A7864"/>
    <w:rsid w:val="127C2401"/>
    <w:rsid w:val="13426006"/>
    <w:rsid w:val="138B28B7"/>
    <w:rsid w:val="195357E7"/>
    <w:rsid w:val="1D97DEFF"/>
    <w:rsid w:val="1DFF72E5"/>
    <w:rsid w:val="1EFC6F07"/>
    <w:rsid w:val="23CB47D9"/>
    <w:rsid w:val="256D7E2C"/>
    <w:rsid w:val="25B967D4"/>
    <w:rsid w:val="29A278B2"/>
    <w:rsid w:val="2A044B35"/>
    <w:rsid w:val="2CE316A2"/>
    <w:rsid w:val="2E3153C2"/>
    <w:rsid w:val="2FDF85B8"/>
    <w:rsid w:val="2FFFEE04"/>
    <w:rsid w:val="319177BD"/>
    <w:rsid w:val="32383F92"/>
    <w:rsid w:val="334212B2"/>
    <w:rsid w:val="34DF85B0"/>
    <w:rsid w:val="399A7CBE"/>
    <w:rsid w:val="3B1B48C3"/>
    <w:rsid w:val="3B8F36BC"/>
    <w:rsid w:val="3BC91D58"/>
    <w:rsid w:val="40183D14"/>
    <w:rsid w:val="40646BE9"/>
    <w:rsid w:val="40A77278"/>
    <w:rsid w:val="40CB7C19"/>
    <w:rsid w:val="43047462"/>
    <w:rsid w:val="43537423"/>
    <w:rsid w:val="44EA2615"/>
    <w:rsid w:val="46C9765A"/>
    <w:rsid w:val="47B75973"/>
    <w:rsid w:val="47FE4EA5"/>
    <w:rsid w:val="491FF225"/>
    <w:rsid w:val="49951CE4"/>
    <w:rsid w:val="4C75686F"/>
    <w:rsid w:val="4D875DE8"/>
    <w:rsid w:val="4DD645F6"/>
    <w:rsid w:val="4E395582"/>
    <w:rsid w:val="4FD13381"/>
    <w:rsid w:val="4FFD214C"/>
    <w:rsid w:val="577755A6"/>
    <w:rsid w:val="5777D4F5"/>
    <w:rsid w:val="585775AD"/>
    <w:rsid w:val="59DD8326"/>
    <w:rsid w:val="5DCD5A3D"/>
    <w:rsid w:val="5DEF592A"/>
    <w:rsid w:val="5FC6BB1E"/>
    <w:rsid w:val="5FF720F1"/>
    <w:rsid w:val="65157ADF"/>
    <w:rsid w:val="654F0B04"/>
    <w:rsid w:val="67AF5D43"/>
    <w:rsid w:val="67FF5C0B"/>
    <w:rsid w:val="6D281506"/>
    <w:rsid w:val="6EFC0924"/>
    <w:rsid w:val="6F1D062A"/>
    <w:rsid w:val="6FB74722"/>
    <w:rsid w:val="6FEF8B7E"/>
    <w:rsid w:val="70251E8E"/>
    <w:rsid w:val="71231C41"/>
    <w:rsid w:val="71A6591B"/>
    <w:rsid w:val="737D59BA"/>
    <w:rsid w:val="73875397"/>
    <w:rsid w:val="74AD16C3"/>
    <w:rsid w:val="75B4332C"/>
    <w:rsid w:val="76223B12"/>
    <w:rsid w:val="76E9284A"/>
    <w:rsid w:val="77C37683"/>
    <w:rsid w:val="7809068D"/>
    <w:rsid w:val="78842DCB"/>
    <w:rsid w:val="79FF515B"/>
    <w:rsid w:val="7C0073A8"/>
    <w:rsid w:val="7DFA22B6"/>
    <w:rsid w:val="7E674299"/>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3"/>
    <w:unhideWhenUsed/>
    <w:qFormat/>
    <w:uiPriority w:val="99"/>
    <w:pPr>
      <w:ind w:firstLine="420" w:firstLineChars="200"/>
    </w:p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5856</Words>
  <Characters>6060</Characters>
  <Lines>63</Lines>
  <Paragraphs>18</Paragraphs>
  <TotalTime>154</TotalTime>
  <ScaleCrop>false</ScaleCrop>
  <LinksUpToDate>false</LinksUpToDate>
  <CharactersWithSpaces>6083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2025-12-16T12:41:19Z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A44412F8788B41928B83C8C28B73A1D3_13</vt:lpwstr>
  </property>
  <property fmtid="{D5CDD505-2E9C-101B-9397-08002B2CF9AE}" pid="4" name="KSOTemplateDocerSaveRecord">
    <vt:lpwstr>eyJoZGlkIjoiYWNjNTk2OTRjYzEzNTI3Yzk4MDU3ZTg2ZjlhODM2NDAiLCJ1c2VySWQiOiIxNDkyNDM0OTU4In0=</vt:lpwstr>
  </property>
</Properties>
</file>