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80" w:lineRule="exact"/>
        <w:jc w:val="left"/>
        <w:rPr>
          <w:rFonts w:ascii="仿宋_GB2312" w:hAnsi="仿宋_GB2312" w:eastAsia="仿宋_GB2312" w:cs="仿宋_GB2312"/>
          <w:spacing w:val="-4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附件3</w:t>
      </w:r>
    </w:p>
    <w:p>
      <w:pPr>
        <w:spacing w:line="251" w:lineRule="auto"/>
        <w:rPr>
          <w:rFonts w:ascii="Arial"/>
        </w:rPr>
      </w:pPr>
    </w:p>
    <w:p>
      <w:pPr>
        <w:spacing w:line="251" w:lineRule="auto"/>
        <w:rPr>
          <w:rFonts w:ascii="Arial"/>
        </w:rPr>
      </w:pPr>
    </w:p>
    <w:p>
      <w:pPr>
        <w:rPr>
          <w:rFonts w:ascii="Arial"/>
        </w:rPr>
      </w:pPr>
    </w:p>
    <w:p>
      <w:pPr>
        <w:pStyle w:val="2"/>
      </w:pPr>
    </w:p>
    <w:p/>
    <w:p>
      <w:pPr>
        <w:spacing w:before="223" w:line="218" w:lineRule="auto"/>
        <w:jc w:val="center"/>
        <w:rPr>
          <w:rFonts w:ascii="方正小标宋简体" w:hAnsi="方正小标宋简体" w:eastAsia="方正小标宋简体" w:cs="方正小标宋简体"/>
          <w:sz w:val="52"/>
          <w:szCs w:val="52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8"/>
          <w:szCs w:val="48"/>
        </w:rPr>
        <w:t>2023年度华容县梅田湖镇梅田中学部门整体支出</w:t>
      </w:r>
      <w:r>
        <w:rPr>
          <w:rFonts w:hint="eastAsia" w:ascii="方正小标宋简体" w:hAnsi="方正小标宋简体" w:eastAsia="方正小标宋简体" w:cs="方正小标宋简体"/>
          <w:spacing w:val="-3"/>
          <w:sz w:val="52"/>
          <w:szCs w:val="52"/>
        </w:rPr>
        <w:t>绩效自评报告</w:t>
      </w: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4" w:lineRule="auto"/>
        <w:rPr>
          <w:rFonts w:ascii="Arial"/>
        </w:rPr>
      </w:pPr>
    </w:p>
    <w:p>
      <w:pPr>
        <w:spacing w:line="244" w:lineRule="auto"/>
        <w:rPr>
          <w:rFonts w:ascii="Arial"/>
        </w:rPr>
      </w:pPr>
    </w:p>
    <w:p>
      <w:pPr>
        <w:pStyle w:val="4"/>
        <w:spacing w:before="100" w:line="221" w:lineRule="auto"/>
        <w:ind w:firstLine="600" w:firstLineChars="20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  <w:u w:val="single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u w:val="single"/>
          <w:lang w:eastAsia="zh-CN"/>
        </w:rPr>
        <w:t>华容县梅田湖镇梅田中学</w:t>
      </w:r>
      <w:r>
        <w:rPr>
          <w:rFonts w:hint="eastAsia" w:ascii="仿宋_GB2312" w:hAnsi="仿宋_GB2312" w:eastAsia="仿宋_GB2312" w:cs="仿宋_GB2312"/>
          <w:sz w:val="32"/>
          <w:szCs w:val="32"/>
          <w:u w:val="single"/>
        </w:rPr>
        <w:t xml:space="preserve"> </w:t>
      </w:r>
      <w:r>
        <w:rPr>
          <w:rFonts w:hint="eastAsia" w:ascii="仿宋_GB2312" w:hAnsi="仿宋_GB2312" w:eastAsia="仿宋_GB2312" w:cs="仿宋_GB2312"/>
          <w:sz w:val="32"/>
          <w:szCs w:val="32"/>
          <w:u w:val="single"/>
          <w:lang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u w:val="single"/>
        </w:rPr>
        <w:t xml:space="preserve">  </w:t>
      </w:r>
    </w:p>
    <w:p>
      <w:pPr>
        <w:spacing w:before="228" w:line="222" w:lineRule="auto"/>
        <w:jc w:val="center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2024年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5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>23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sectPr>
          <w:footerReference r:id="rId3" w:type="default"/>
          <w:pgSz w:w="11905" w:h="16838"/>
          <w:pgMar w:top="1364" w:right="1701" w:bottom="1984" w:left="1701" w:header="850" w:footer="1077" w:gutter="0"/>
          <w:pgNumType w:fmt="numberInDash" w:start="1"/>
          <w:cols w:space="0" w:num="1"/>
          <w:docGrid w:type="lines" w:linePitch="314" w:charSpace="0"/>
        </w:sectPr>
      </w:pPr>
      <w:r>
        <w:br w:type="page"/>
      </w:r>
    </w:p>
    <w:p>
      <w:pPr>
        <w:spacing w:line="580" w:lineRule="exact"/>
        <w:jc w:val="both"/>
        <w:rPr>
          <w:rFonts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2"/>
      </w:pPr>
    </w:p>
    <w:p>
      <w:pPr>
        <w:spacing w:line="58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8"/>
          <w:szCs w:val="48"/>
        </w:rPr>
        <w:t>华容县梅田湖镇梅田中学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部门整体支出</w:t>
      </w: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</w:rPr>
      </w:pPr>
    </w:p>
    <w:p>
      <w:pPr>
        <w:spacing w:line="284" w:lineRule="auto"/>
        <w:rPr>
          <w:rFonts w:ascii="Arial"/>
        </w:rPr>
      </w:pPr>
    </w:p>
    <w:p>
      <w:pPr>
        <w:pStyle w:val="2"/>
      </w:pPr>
    </w:p>
    <w:p>
      <w:pPr>
        <w:spacing w:before="101" w:line="228" w:lineRule="auto"/>
        <w:ind w:left="648"/>
        <w:rPr>
          <w:rFonts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一、部门基本情况</w:t>
      </w:r>
    </w:p>
    <w:p>
      <w:pPr>
        <w:pStyle w:val="2"/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1.宣传贯彻执行党和国家的教育方针、教育政策、教育法律和法规，贯彻执行上级教育行政部门的各项规章制度。</w:t>
      </w:r>
    </w:p>
    <w:p>
      <w:pPr>
        <w:pStyle w:val="2"/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2.在政府和上级教育主管部门的领导下，争取资金改善办学条件，为师生的学习和工作提供优美和谐的环境。</w:t>
      </w:r>
    </w:p>
    <w:p>
      <w:pPr>
        <w:pStyle w:val="2"/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>
      <w:pPr>
        <w:pStyle w:val="2"/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4.按照九年义务教育课程计划，开齐课程，开足课时，认真实施中小学的教育教学管理，全面推进素质教育，全面提高教育教学质量。</w:t>
      </w:r>
    </w:p>
    <w:p>
      <w:pPr>
        <w:spacing w:before="216" w:line="226" w:lineRule="auto"/>
        <w:ind w:left="648"/>
        <w:rPr>
          <w:rFonts w:ascii="黑体" w:hAnsi="黑体" w:eastAsia="黑体" w:cs="黑体"/>
          <w:spacing w:val="-2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ind w:firstLine="643" w:firstLineChars="200"/>
        <w:rPr>
          <w:rFonts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2023年度财政拨款基本支出167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3</w:t>
      </w:r>
      <w:r>
        <w:rPr>
          <w:rFonts w:hint="eastAsia" w:ascii="新宋体" w:hAnsi="新宋体" w:eastAsia="新宋体" w:cs="新宋体"/>
          <w:bCs/>
          <w:sz w:val="28"/>
          <w:szCs w:val="28"/>
        </w:rPr>
        <w:t>.79万元，其中：人员经费1403.72万元，主要包括：（基本工资、津贴补贴、奖金、社会保障缴费、伙食补助费、其他工资福利支出、离休费、退休费、生活补助、医疗费、住房公积金、其他对个人和家庭的补助支出等）；公用经费27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0</w:t>
      </w:r>
      <w:bookmarkStart w:id="0" w:name="_GoBack"/>
      <w:bookmarkEnd w:id="0"/>
      <w:r>
        <w:rPr>
          <w:rFonts w:hint="eastAsia" w:ascii="新宋体" w:hAnsi="新宋体" w:eastAsia="新宋体" w:cs="新宋体"/>
          <w:bCs/>
          <w:sz w:val="28"/>
          <w:szCs w:val="28"/>
        </w:rPr>
        <w:t>.08万元，主要包括：（办公费、印刷费、咨询费、电费、邮电费、差旅费、因公出国（境）费、维修（护）费、租赁费、会议费、培训费、公务接待费、劳务费、其他交通费用、其他商品和服务支出、办公设备购置、其他支出等。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“三公”经费支出情况：严格按照财政局下发文件标准执行，严格控制支出，2023年，“三公”经费支出为0万元，主要原因是：厉行节约，严格管控。公务用车购置及运行维护费完成0元，与上年无变化，原因是公车无。</w:t>
      </w:r>
    </w:p>
    <w:p>
      <w:pPr>
        <w:ind w:firstLine="643" w:firstLineChars="200"/>
        <w:rPr>
          <w:rFonts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（二）项目支出情况</w:t>
      </w:r>
    </w:p>
    <w:p>
      <w:pPr>
        <w:pStyle w:val="13"/>
        <w:widowControl/>
        <w:spacing w:line="500" w:lineRule="exact"/>
        <w:ind w:firstLine="56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1、专项资金安排落实、总投入等情况分析</w:t>
      </w:r>
    </w:p>
    <w:p>
      <w:pPr>
        <w:pStyle w:val="13"/>
        <w:widowControl/>
        <w:spacing w:line="500" w:lineRule="exact"/>
        <w:ind w:firstLine="56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2023年度项目支出506.07万元，主要包括：学校校舍维修改造专项等，以上经费全部落实到位，保证了相关专项工作实施。</w:t>
      </w:r>
    </w:p>
    <w:p>
      <w:pPr>
        <w:pStyle w:val="13"/>
        <w:widowControl/>
        <w:spacing w:line="500" w:lineRule="exact"/>
        <w:ind w:firstLine="56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2、专项资金实际使用情况分析</w:t>
      </w:r>
    </w:p>
    <w:p>
      <w:pPr>
        <w:pStyle w:val="13"/>
        <w:widowControl/>
        <w:spacing w:line="500" w:lineRule="exact"/>
        <w:ind w:firstLine="56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>
      <w:pPr>
        <w:pStyle w:val="13"/>
        <w:widowControl/>
        <w:spacing w:line="500" w:lineRule="exact"/>
        <w:ind w:firstLine="56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3、专项资金管理情况分析</w:t>
      </w:r>
    </w:p>
    <w:p>
      <w:pPr>
        <w:pStyle w:val="13"/>
        <w:widowControl/>
        <w:spacing w:line="500" w:lineRule="exact"/>
        <w:ind w:firstLine="56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我校财政专项资金逐年增加，为规避财政风险，提高财政专项资金使用效益，确保财政专项资金安全运行，对财政专项资金管理做法如下：一是做到“四个坚持”即:坚持专项资金实行开票、经办、审核、审批、记账等职责严格分离；坚持支出先报批、后经办，经严格审核后，再审批付款，最后交会计人员制单、记账；坚持专项资金凭用款计划、项目进度及专户存款情况，审核拨付资金；坚持把好票据签章关，严格票据销号，对已开完的票据及时销号，防止票据丢失、挪用公款，严禁一人保管支付款项所需要的全部印章。二是专项资金实行使用公示制，资金使用明细全部上网公开，提高了财政专项资金使用的透明度，有力保证了专款专用。三是规范了财政专项资金会计基础工作，提高了会计信息质量，为政府决策提供了参考依据。</w:t>
      </w:r>
    </w:p>
    <w:p>
      <w:pPr>
        <w:spacing w:before="224" w:line="227" w:lineRule="auto"/>
        <w:ind w:left="649"/>
        <w:rPr>
          <w:rFonts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三、政府性基金预算支出情况</w:t>
      </w:r>
    </w:p>
    <w:p>
      <w:pPr>
        <w:pStyle w:val="2"/>
        <w:ind w:firstLine="560" w:firstLineChars="200"/>
        <w:rPr>
          <w:rFonts w:eastAsia="新宋体"/>
          <w:sz w:val="28"/>
          <w:szCs w:val="28"/>
        </w:rPr>
      </w:pPr>
      <w:r>
        <w:rPr>
          <w:rFonts w:hint="eastAsia"/>
          <w:sz w:val="28"/>
          <w:szCs w:val="28"/>
        </w:rPr>
        <w:t>政府性基金拨款4万元，</w:t>
      </w:r>
      <w:r>
        <w:rPr>
          <w:rFonts w:hint="eastAsia" w:ascii="新宋体" w:hAnsi="新宋体" w:eastAsia="新宋体" w:cs="新宋体"/>
          <w:bCs/>
          <w:sz w:val="28"/>
          <w:szCs w:val="28"/>
        </w:rPr>
        <w:t>主要包括：学生艺体器材购置支出。</w:t>
      </w:r>
    </w:p>
    <w:p>
      <w:pPr>
        <w:spacing w:before="219" w:line="600" w:lineRule="exact"/>
        <w:ind w:left="662"/>
        <w:rPr>
          <w:rFonts w:ascii="黑体" w:hAnsi="黑体" w:eastAsia="黑体" w:cs="黑体"/>
          <w:spacing w:val="7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四、国有资本经营预算支出情况</w:t>
      </w:r>
    </w:p>
    <w:p>
      <w:pPr>
        <w:pStyle w:val="2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国有资本经营预算支出0万元。</w:t>
      </w:r>
    </w:p>
    <w:p>
      <w:pPr>
        <w:spacing w:line="227" w:lineRule="auto"/>
        <w:ind w:left="651"/>
        <w:rPr>
          <w:rFonts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五、社会保险基金预算支出情况</w:t>
      </w:r>
    </w:p>
    <w:p>
      <w:pPr>
        <w:pStyle w:val="2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社会保险基金预算支出0万元。</w:t>
      </w:r>
    </w:p>
    <w:p>
      <w:pPr>
        <w:pStyle w:val="2"/>
        <w:ind w:firstLine="672" w:firstLineChars="200"/>
        <w:rPr>
          <w:rFonts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六、部门整体支出绩效情况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2023年，我校在县委、县政府的坚强领导和县教体局的正确指导下，坚持安全和质量“两条主线”，我校教育教学各项工作持续、稳步发展。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我校严格执行经费年初预算，按照上级的要求，强化制度建设，完善预算分配机制，进一步加强经费预算的执行管理，不断提高支出的经济性、效率性、有效性和可持续性。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根据定量分析及定性分析，综合考评得分为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98.5</w:t>
      </w:r>
      <w:r>
        <w:rPr>
          <w:rFonts w:hint="eastAsia" w:ascii="新宋体" w:hAnsi="新宋体" w:eastAsia="新宋体" w:cs="新宋体"/>
          <w:bCs/>
          <w:sz w:val="28"/>
          <w:szCs w:val="28"/>
        </w:rPr>
        <w:t>分，评价等次确定为优。</w:t>
      </w:r>
    </w:p>
    <w:p>
      <w:pPr>
        <w:spacing w:before="220" w:line="600" w:lineRule="exact"/>
        <w:ind w:left="641"/>
        <w:rPr>
          <w:rFonts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七、存在的问题及原因分析</w:t>
      </w:r>
    </w:p>
    <w:p>
      <w:pPr>
        <w:widowControl/>
        <w:spacing w:line="560" w:lineRule="exact"/>
        <w:ind w:firstLine="560" w:firstLineChars="20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对项目资金开支分类需要进一步科学化、规范化，费用开支和绩效产出测得结果不够准确，需要进一步量化。预算管理、绩效管理、资金管理需要加强。</w:t>
      </w:r>
    </w:p>
    <w:p>
      <w:pPr>
        <w:spacing w:line="227" w:lineRule="auto"/>
        <w:ind w:left="643"/>
        <w:rPr>
          <w:rFonts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八、下一步改进措施</w:t>
      </w:r>
    </w:p>
    <w:p>
      <w:pPr>
        <w:widowControl/>
        <w:spacing w:line="560" w:lineRule="exact"/>
        <w:ind w:firstLine="560" w:firstLineChars="20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加强预算管理、绩效管理、资金管理等的制度建设与执行措施的改进，确保我单位绩效评价工作顺利进行。</w:t>
      </w:r>
    </w:p>
    <w:p>
      <w:pPr>
        <w:spacing w:before="219" w:line="600" w:lineRule="exact"/>
        <w:ind w:left="650"/>
        <w:rPr>
          <w:rFonts w:ascii="黑体" w:hAnsi="黑体" w:eastAsia="黑体" w:cs="黑体"/>
          <w:spacing w:val="8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pStyle w:val="2"/>
        <w:spacing w:line="560" w:lineRule="exact"/>
        <w:ind w:firstLine="560" w:firstLineChars="20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>
      <w:pPr>
        <w:pStyle w:val="2"/>
        <w:spacing w:line="560" w:lineRule="exact"/>
        <w:ind w:firstLine="560" w:firstLineChars="200"/>
      </w:pPr>
      <w:r>
        <w:rPr>
          <w:rFonts w:hint="eastAsia" w:ascii="新宋体" w:hAnsi="新宋体" w:eastAsia="新宋体" w:cs="新宋体"/>
          <w:sz w:val="28"/>
          <w:szCs w:val="28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>
      <w:pPr>
        <w:spacing w:line="226" w:lineRule="auto"/>
        <w:ind w:left="647"/>
        <w:rPr>
          <w:rFonts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</w:p>
    <w:p>
      <w:pPr>
        <w:pStyle w:val="2"/>
        <w:spacing w:line="560" w:lineRule="exact"/>
        <w:ind w:firstLine="560" w:firstLineChars="200"/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 w:start="1"/>
          <w:cols w:space="0" w:num="1"/>
          <w:docGrid w:type="lines" w:linePitch="314" w:charSpace="0"/>
        </w:sectPr>
      </w:pPr>
      <w:r>
        <w:rPr>
          <w:rFonts w:hint="eastAsia" w:ascii="新宋体" w:hAnsi="新宋体" w:eastAsia="新宋体" w:cs="新宋体"/>
          <w:sz w:val="28"/>
          <w:szCs w:val="28"/>
        </w:rPr>
        <w:t>其他需要说明的情况无。</w:t>
      </w:r>
    </w:p>
    <w:p/>
    <w:sectPr>
      <w:footerReference r:id="rId5" w:type="default"/>
      <w:pgSz w:w="11905" w:h="16838"/>
      <w:pgMar w:top="1417" w:right="1701" w:bottom="308" w:left="1701" w:header="850" w:footer="1587" w:gutter="0"/>
      <w:pgNumType w:fmt="numberInDash"/>
      <w:cols w:space="0" w:num="1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14D5E9C-4D9B-4AB8-ACD2-0924FD4D33E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7115A28F-7C0E-4505-A95D-E75040563CA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0CFABDE8-AA37-4E8F-8F2C-E9C231222215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A324DE29-7EB6-465E-8C00-18CB9E2A430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F064002A-9D4F-416C-A6BF-34327E9DEC12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6" w:fontKey="{A7D475F3-1669-4C3E-AE2D-55B9B7F6DD1E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7" w:fontKey="{7D284F7B-D9B8-48B0-9F03-DB5EE47EF715}"/>
  </w:font>
  <w:font w:name="方正小标宋简体">
    <w:altName w:val="黑体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8" w:fontKey="{D7BF3748-904E-4D71-8C37-46A05F755A9B}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  <w:embedRegular r:id="rId9" w:fontKey="{72A222EE-037C-43C2-8666-C695A3C651A4}"/>
  </w:font>
  <w:font w:name="楷体_GB2312">
    <w:altName w:val="楷体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10" w:fontKey="{4E7F0DF1-6904-48A8-9891-51864F4427E6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- 8 -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LNJWO7QAAAABQEAAA8AAAAAAAAAAQAgAAAA&#10;IgAAAGRycy9kb3ducmV2LnhtbFBLAQIUABQAAAAIAIdO4kAF3HKwEwIAABMEAAAOAAAAAAAAAAEA&#10;IAAAAB8BAABkcnMvZTJvRG9jLnhtbFBLBQYAAAAABgAGAFkBAACk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- 8 -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6"/>
  <w:embedTrueTypeFonts/>
  <w:documentProtection w:enforcement="0"/>
  <w:defaultTabStop w:val="420"/>
  <w:drawingGridHorizontalSpacing w:val="210"/>
  <w:drawingGridVerticalSpacing w:val="157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dlMGFmMThiY2Q0ODEzMzZhYzI1MWYwZDgzMDhmOGYifQ=="/>
  </w:docVars>
  <w:rsids>
    <w:rsidRoot w:val="0CCB7736"/>
    <w:rsid w:val="00020A71"/>
    <w:rsid w:val="00047FEF"/>
    <w:rsid w:val="000A3906"/>
    <w:rsid w:val="001776F1"/>
    <w:rsid w:val="00182A9A"/>
    <w:rsid w:val="002B7486"/>
    <w:rsid w:val="00410924"/>
    <w:rsid w:val="004D6F49"/>
    <w:rsid w:val="006F0A16"/>
    <w:rsid w:val="00773328"/>
    <w:rsid w:val="007D3F24"/>
    <w:rsid w:val="00821883"/>
    <w:rsid w:val="0082344C"/>
    <w:rsid w:val="00917857"/>
    <w:rsid w:val="00951882"/>
    <w:rsid w:val="00A755C2"/>
    <w:rsid w:val="00B6430E"/>
    <w:rsid w:val="00C05AC8"/>
    <w:rsid w:val="00CD4197"/>
    <w:rsid w:val="00D06DD6"/>
    <w:rsid w:val="00DF2F27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5FF600A"/>
    <w:rsid w:val="0616597F"/>
    <w:rsid w:val="06426ACC"/>
    <w:rsid w:val="066A6B5B"/>
    <w:rsid w:val="06C2792F"/>
    <w:rsid w:val="07A62D33"/>
    <w:rsid w:val="086B5F82"/>
    <w:rsid w:val="09B30F62"/>
    <w:rsid w:val="09E6794E"/>
    <w:rsid w:val="0A067AB9"/>
    <w:rsid w:val="0ABD557B"/>
    <w:rsid w:val="0B057D70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B21FBD"/>
    <w:rsid w:val="0EF755B3"/>
    <w:rsid w:val="0F17035E"/>
    <w:rsid w:val="0F4E168D"/>
    <w:rsid w:val="0F7A0392"/>
    <w:rsid w:val="0F9462D2"/>
    <w:rsid w:val="0FAF3959"/>
    <w:rsid w:val="0FD26E31"/>
    <w:rsid w:val="1020625B"/>
    <w:rsid w:val="10C41BBF"/>
    <w:rsid w:val="11404466"/>
    <w:rsid w:val="116C2770"/>
    <w:rsid w:val="11837AA9"/>
    <w:rsid w:val="11963ADD"/>
    <w:rsid w:val="11EB0F5C"/>
    <w:rsid w:val="11F20483"/>
    <w:rsid w:val="12123C76"/>
    <w:rsid w:val="12245DD7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2E11F7"/>
    <w:rsid w:val="1C34578A"/>
    <w:rsid w:val="1CA34935"/>
    <w:rsid w:val="1CC311E2"/>
    <w:rsid w:val="1D4B5AB7"/>
    <w:rsid w:val="1D5A640E"/>
    <w:rsid w:val="1DED021D"/>
    <w:rsid w:val="1E594203"/>
    <w:rsid w:val="1E676920"/>
    <w:rsid w:val="1E9351E5"/>
    <w:rsid w:val="1F391B38"/>
    <w:rsid w:val="1F7640EC"/>
    <w:rsid w:val="20176B8B"/>
    <w:rsid w:val="2065482E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3AB72AF"/>
    <w:rsid w:val="24256710"/>
    <w:rsid w:val="251E7983"/>
    <w:rsid w:val="25FE2B31"/>
    <w:rsid w:val="260D5D83"/>
    <w:rsid w:val="260E1D77"/>
    <w:rsid w:val="272C070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927575"/>
    <w:rsid w:val="2FF62815"/>
    <w:rsid w:val="304D5781"/>
    <w:rsid w:val="30FB4B41"/>
    <w:rsid w:val="310556EF"/>
    <w:rsid w:val="31621165"/>
    <w:rsid w:val="319D35B5"/>
    <w:rsid w:val="31F938DC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B85E49"/>
    <w:rsid w:val="3CCA47F2"/>
    <w:rsid w:val="3CDE0708"/>
    <w:rsid w:val="3D33006A"/>
    <w:rsid w:val="3D3954D4"/>
    <w:rsid w:val="3D545E58"/>
    <w:rsid w:val="3D5877DF"/>
    <w:rsid w:val="3DAE53BC"/>
    <w:rsid w:val="3DC371E1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2322B2"/>
    <w:rsid w:val="46963997"/>
    <w:rsid w:val="4716830A"/>
    <w:rsid w:val="47BF53CA"/>
    <w:rsid w:val="48B126BB"/>
    <w:rsid w:val="49CF255F"/>
    <w:rsid w:val="4A3239D7"/>
    <w:rsid w:val="4B2C5DCD"/>
    <w:rsid w:val="4B46D032"/>
    <w:rsid w:val="4B4B3DBC"/>
    <w:rsid w:val="4B7D1173"/>
    <w:rsid w:val="4B917335"/>
    <w:rsid w:val="4BBDFBDE"/>
    <w:rsid w:val="4BCF5C41"/>
    <w:rsid w:val="4C150E22"/>
    <w:rsid w:val="4C1F3ABF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254864"/>
    <w:rsid w:val="555952B3"/>
    <w:rsid w:val="555E0ECA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8D446F"/>
    <w:rsid w:val="56F049FE"/>
    <w:rsid w:val="56F72F7C"/>
    <w:rsid w:val="5717642E"/>
    <w:rsid w:val="57946554"/>
    <w:rsid w:val="57D80A00"/>
    <w:rsid w:val="586243BF"/>
    <w:rsid w:val="58FD3402"/>
    <w:rsid w:val="5968027A"/>
    <w:rsid w:val="5A2055FA"/>
    <w:rsid w:val="5A6D6E55"/>
    <w:rsid w:val="5AAF7799"/>
    <w:rsid w:val="5AB04BD0"/>
    <w:rsid w:val="5AF55075"/>
    <w:rsid w:val="5B5C1753"/>
    <w:rsid w:val="5BE211F7"/>
    <w:rsid w:val="5BF510BE"/>
    <w:rsid w:val="5C6C4B26"/>
    <w:rsid w:val="5D03DFF6"/>
    <w:rsid w:val="5D456833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3AE3C76"/>
    <w:rsid w:val="64147F0D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66342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3F7544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55E7C"/>
    <w:rsid w:val="7BFF9B5C"/>
    <w:rsid w:val="7C3B673F"/>
    <w:rsid w:val="7CED5089"/>
    <w:rsid w:val="7D8636B9"/>
    <w:rsid w:val="7DA57A41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eastAsia="en-US"/>
    </w:rPr>
  </w:style>
  <w:style w:type="paragraph" w:styleId="5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8">
    <w:name w:val="Table Grid"/>
    <w:basedOn w:val="7"/>
    <w:qFormat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99"/>
    <w:rPr>
      <w:rFonts w:cs="Times New Roman"/>
    </w:rPr>
  </w:style>
  <w:style w:type="character" w:customStyle="1" w:styleId="11">
    <w:name w:val="页脚 Char"/>
    <w:basedOn w:val="9"/>
    <w:link w:val="5"/>
    <w:semiHidden/>
    <w:qFormat/>
    <w:uiPriority w:val="99"/>
    <w:rPr>
      <w:sz w:val="18"/>
      <w:szCs w:val="18"/>
    </w:rPr>
  </w:style>
  <w:style w:type="character" w:customStyle="1" w:styleId="12">
    <w:name w:val="页眉 Char"/>
    <w:basedOn w:val="9"/>
    <w:link w:val="6"/>
    <w:semiHidden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semiHidden/>
    <w:qFormat/>
    <w:uiPriority w:val="0"/>
    <w:rPr>
      <w:rFonts w:ascii="Arial" w:hAnsi="Arial" w:eastAsia="Arial" w:cs="Arial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18</Pages>
  <Words>5600</Words>
  <Characters>1683</Characters>
  <Lines>14</Lines>
  <Paragraphs>14</Paragraphs>
  <TotalTime>249</TotalTime>
  <ScaleCrop>false</ScaleCrop>
  <LinksUpToDate>false</LinksUpToDate>
  <CharactersWithSpaces>7269</CharactersWithSpaces>
  <Application>WPS Office_11.8.2.8555_F1E327BC-269C-435d-A152-05C5408002CA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2024-05-27T04:40:00Z</cp:lastPrinted>
  <dcterms:modified xsi:type="dcterms:W3CDTF">2024-05-27T07:46:50Z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2052-11.8.2.8555</vt:lpwstr>
  </property>
  <property fmtid="{D5CDD505-2E9C-101B-9397-08002B2CF9AE}" pid="3" name="KSOSaveFontToCloudKey">
    <vt:lpwstr>386772509_embed</vt:lpwstr>
  </property>
  <property fmtid="{D5CDD505-2E9C-101B-9397-08002B2CF9AE}" pid="4" name="ICV">
    <vt:lpwstr>D2889223F23B492693D078D7352FFD64_13</vt:lpwstr>
  </property>
</Properties>
</file>