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2023年度</w:t>
      </w: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  <w:lang w:eastAsia="zh-CN"/>
        </w:rPr>
        <w:t>华容县实验小学</w:t>
      </w: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部门整体支出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绩效自评报告</w:t>
      </w:r>
    </w:p>
    <w:p>
      <w:pPr>
        <w:spacing w:line="283" w:lineRule="auto"/>
        <w:rPr>
          <w:rFonts w:ascii="Arial" w:hAnsi="Times New Roman" w:eastAsia="宋体" w:cs="Times New Roman"/>
          <w:sz w:val="21"/>
        </w:rPr>
      </w:pPr>
    </w:p>
    <w:p>
      <w:pPr>
        <w:spacing w:line="284" w:lineRule="auto"/>
        <w:rPr>
          <w:rFonts w:ascii="Arial" w:hAnsi="Times New Roman" w:eastAsia="宋体" w:cs="Times New Roman"/>
          <w:sz w:val="21"/>
        </w:rPr>
      </w:pPr>
    </w:p>
    <w:p>
      <w:pPr>
        <w:widowControl w:val="0"/>
        <w:snapToGrid w:val="0"/>
        <w:jc w:val="left"/>
        <w:rPr>
          <w:rFonts w:ascii="Times New Roman" w:hAnsi="Times New Roman" w:eastAsia="宋体" w:cs="Times New Roman"/>
          <w:kern w:val="2"/>
          <w:sz w:val="18"/>
          <w:szCs w:val="18"/>
          <w:lang w:val="en-US" w:eastAsia="zh-CN" w:bidi="ar-SA"/>
        </w:rPr>
      </w:pPr>
    </w:p>
    <w:p>
      <w:pPr>
        <w:spacing w:before="101" w:line="228" w:lineRule="auto"/>
        <w:ind w:left="648"/>
        <w:rPr>
          <w:rFonts w:hint="eastAsia" w:ascii="黑体" w:hAnsi="黑体" w:eastAsia="黑体" w:cs="黑体"/>
          <w:spacing w:val="5"/>
          <w:sz w:val="32"/>
          <w:szCs w:val="32"/>
        </w:rPr>
      </w:pPr>
      <w:r>
        <w:rPr>
          <w:rFonts w:hint="eastAsia" w:ascii="黑体" w:hAnsi="黑体" w:eastAsia="黑体" w:cs="黑体"/>
          <w:spacing w:val="5"/>
          <w:sz w:val="32"/>
          <w:szCs w:val="32"/>
        </w:rPr>
        <w:t>一、部门基本情况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jc w:val="left"/>
        <w:textAlignment w:val="auto"/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  <w:t>1.宣传贯彻执行党和国家的教育方针、教育政策、教育法律和法规，贯彻执行上级教育行政部门的各项规章制度。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jc w:val="left"/>
        <w:textAlignment w:val="auto"/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  <w:t>2.在政府和上级教育主管部门的领导下，争取资金改善办学条件，为师生的学习和工作提供优美和谐的环境。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jc w:val="left"/>
        <w:textAlignment w:val="auto"/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  <w:t>3.根据县级人民政府制定的教育事业发展规划，结合实际制定并组织实施本校的教育事业发展规划。按照干部和教师的职数、编制和管理权限，负责对本校的干部和教师进行管理，制定切实可行的学校工作规章制度，提高教育教学质量为目的，对干部职工的工作开展客观、公正的评价和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jc w:val="left"/>
        <w:textAlignment w:val="auto"/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  <w:t>4.按照九年义务教育课程计划，开齐课程，开足课时，认真实施中小学的教育教学管理，全面推进素质教育，全面提高教育教学质量。</w:t>
      </w:r>
    </w:p>
    <w:p>
      <w:pPr>
        <w:spacing w:before="216" w:line="226" w:lineRule="auto"/>
        <w:ind w:left="648"/>
        <w:rPr>
          <w:rFonts w:hint="eastAsia" w:ascii="黑体" w:hAnsi="黑体" w:eastAsia="黑体" w:cs="黑体"/>
          <w:spacing w:val="-2"/>
          <w:sz w:val="32"/>
          <w:szCs w:val="32"/>
        </w:rPr>
      </w:pPr>
      <w:r>
        <w:rPr>
          <w:rFonts w:hint="eastAsia" w:ascii="黑体" w:hAnsi="黑体" w:eastAsia="黑体" w:cs="黑体"/>
          <w:spacing w:val="-2"/>
          <w:sz w:val="32"/>
          <w:szCs w:val="32"/>
        </w:rPr>
        <w:t>二、一般公共预算支出情况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（一）基本支出情况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202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年度财政拨款基本支出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2311.08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万元，其中：人员经费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1851.43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万元，主要包括：（基本工资、津贴补贴、奖金、社会保障缴费、伙食补助费、其他工资福利支出、离休费、退休费、生活补助、医疗费、住房公积金、其他对个人和家庭的补助支出等）；公用经费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459.66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万元，主要包括：（办公费、印刷费、咨询费、电费、邮电费、差旅费、因公出国（境）费、维修（护）费、租赁费、会议费、培训费、公务接待费、劳务费、其他交通费用、其他商品和服务支出、办公设备购置、其他支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“三公”经费支出情况：严格按照财政局下发文件标准执行，严格控制支出，202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年，“三公”经费支出为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0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万元，比上年减少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0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万元，下降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0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%。公务用车购置及运行维护费完成0元，与上年无变化，原因是公车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无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1、专项资金安排落实、总投入等情况分析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2023年度项目支出200万元，主要包括：学校校舍维修改造专项等，以上经费全部落实到位，保证了相关专项工作实施。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2、专项资金实际使用情况分析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按照财务管理及专项使用有关规定，相关专项资金按照专项的使用范围，做到了不挪项、不挪用、不超预算使用专项经费，并按照“量入为出、量体裁衣、节约使用”的原则，做到有计划地使用专项资金。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3、专项资金管理情况分析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我校财政专项资金逐年增加，为规避财政风险，提高财政专项资金使用效益，确保财政专项资金安全运行，对财政专项资金管理做法如下：一是做到“四个坚持”即:坚持专项资金实行开票、经办、审核、审批、记账等职责严格分离；坚持支出先报批、后经办，经严格审核后，再审批付款，最后交会计人员制单、记账；坚持专项资金凭用款计划、项目进度及专户存款情况，审核拨付资金；坚持把好票据签章关，严格票据销号，对已开完的票据及时销号，防止票据丢失、挪用公款，严禁一人保管支付款项所需要的全部印章。二是专项资金实行使用公示制，资金使用明细全部上网公开，提高了财政专项资金使用的透明度，有力保证了专款专用。三是规范了财政专项资金会计基础工作，提高了会计信息质量，为政府决策提供了参考依据。</w:t>
      </w:r>
    </w:p>
    <w:p>
      <w:pPr>
        <w:spacing w:before="224" w:line="227" w:lineRule="auto"/>
        <w:ind w:left="649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三、政府性基金预算支出情况</w:t>
      </w:r>
    </w:p>
    <w:p>
      <w:pPr>
        <w:widowControl w:val="0"/>
        <w:snapToGrid w:val="0"/>
        <w:ind w:firstLine="560" w:firstLineChars="200"/>
        <w:jc w:val="left"/>
        <w:rPr>
          <w:rFonts w:hint="default" w:ascii="Times New Roman" w:hAnsi="Times New Roman" w:eastAsia="新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政府性基金拨款5万元，</w:t>
      </w:r>
      <w:r>
        <w:rPr>
          <w:rFonts w:hint="eastAsia" w:ascii="新宋体" w:hAnsi="新宋体" w:eastAsia="新宋体" w:cs="新宋体"/>
          <w:bCs/>
          <w:color w:val="auto"/>
          <w:kern w:val="2"/>
          <w:sz w:val="28"/>
          <w:szCs w:val="28"/>
          <w:lang w:val="en-US" w:eastAsia="zh-CN" w:bidi="ar-SA"/>
        </w:rPr>
        <w:t>主要包括：学生艺体器材购置支出。</w:t>
      </w:r>
    </w:p>
    <w:p>
      <w:pPr>
        <w:spacing w:before="219" w:line="600" w:lineRule="exact"/>
        <w:ind w:left="662"/>
        <w:rPr>
          <w:rFonts w:hint="eastAsia" w:ascii="黑体" w:hAnsi="黑体" w:eastAsia="黑体" w:cs="黑体"/>
          <w:spacing w:val="7"/>
          <w:position w:val="21"/>
          <w:sz w:val="32"/>
          <w:szCs w:val="32"/>
        </w:rPr>
      </w:pPr>
      <w:r>
        <w:rPr>
          <w:rFonts w:hint="eastAsia" w:ascii="黑体" w:hAnsi="黑体" w:eastAsia="黑体" w:cs="黑体"/>
          <w:spacing w:val="7"/>
          <w:position w:val="21"/>
          <w:sz w:val="32"/>
          <w:szCs w:val="32"/>
        </w:rPr>
        <w:t>四、国有资本经营预算支出情况</w:t>
      </w:r>
    </w:p>
    <w:p>
      <w:pPr>
        <w:widowControl w:val="0"/>
        <w:snapToGrid w:val="0"/>
        <w:ind w:firstLine="560" w:firstLineChars="200"/>
        <w:jc w:val="left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国有资本经营预算支出0万元。</w:t>
      </w:r>
    </w:p>
    <w:p>
      <w:pPr>
        <w:spacing w:line="227" w:lineRule="auto"/>
        <w:ind w:left="651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五、社会保险基金预算支出情况</w:t>
      </w:r>
    </w:p>
    <w:p>
      <w:pPr>
        <w:widowControl w:val="0"/>
        <w:snapToGrid w:val="0"/>
        <w:ind w:firstLine="560" w:firstLineChars="200"/>
        <w:jc w:val="left"/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社会保险基金预算支出0万元。</w:t>
      </w:r>
    </w:p>
    <w:p>
      <w:pPr>
        <w:widowControl w:val="0"/>
        <w:snapToGrid w:val="0"/>
        <w:ind w:firstLine="672" w:firstLineChars="200"/>
        <w:jc w:val="left"/>
        <w:rPr>
          <w:rFonts w:hint="eastAsia" w:ascii="黑体" w:hAnsi="黑体" w:eastAsia="黑体" w:cs="黑体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pacing w:val="8"/>
          <w:kern w:val="2"/>
          <w:sz w:val="32"/>
          <w:szCs w:val="32"/>
          <w:lang w:val="en-US" w:eastAsia="zh-CN" w:bidi="ar-SA"/>
        </w:rPr>
        <w:t>六、部门整体支出绩效情况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202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年，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我校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在县委、县政府的坚强领导和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县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教体局的正确指导下，坚持安全和质量“两条主线”，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我校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教育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教学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各项工作持续、稳步发展。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我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校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坚决执行经费预算管理，确保预算不增长，支出不超预算。在厉行节约、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反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对铺张浪费等方面，采取了有力措施，并取得了明显成效。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校长室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成员率先垂范、高度重视下，全体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教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职工积极配合，三公经费得到了很好的控制。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我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校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严格执行经费年初预算，按照上级的要求，强化制度建设，完善预算分配机制，进一步加强经费预算的执行管理，不断提高支出的经济性、效率性、有效性和可持续性。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根据定量分析及定性分析，综合考评</w:t>
      </w:r>
      <w:bookmarkStart w:id="0" w:name="_GoBack"/>
      <w:bookmarkEnd w:id="0"/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得分为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val="en-US" w:eastAsia="zh-CN"/>
        </w:rPr>
        <w:t>99.95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</w:rPr>
        <w:t>分，评价等次确定为优</w:t>
      </w:r>
      <w:r>
        <w:rPr>
          <w:rFonts w:hint="eastAsia" w:ascii="新宋体" w:hAnsi="新宋体" w:eastAsia="新宋体" w:cs="新宋体"/>
          <w:bCs/>
          <w:color w:val="auto"/>
          <w:sz w:val="28"/>
          <w:szCs w:val="28"/>
          <w:lang w:eastAsia="zh-CN"/>
        </w:rPr>
        <w:t>。</w:t>
      </w:r>
    </w:p>
    <w:p>
      <w:pPr>
        <w:spacing w:before="220" w:line="600" w:lineRule="exact"/>
        <w:ind w:left="641"/>
        <w:rPr>
          <w:rFonts w:hint="eastAsia" w:ascii="黑体" w:hAnsi="黑体" w:eastAsia="黑体" w:cs="黑体"/>
          <w:spacing w:val="9"/>
          <w:position w:val="21"/>
          <w:sz w:val="32"/>
          <w:szCs w:val="32"/>
        </w:rPr>
      </w:pPr>
      <w:r>
        <w:rPr>
          <w:rFonts w:hint="eastAsia" w:ascii="黑体" w:hAnsi="黑体" w:eastAsia="黑体" w:cs="黑体"/>
          <w:spacing w:val="9"/>
          <w:position w:val="21"/>
          <w:sz w:val="32"/>
          <w:szCs w:val="32"/>
        </w:rPr>
        <w:t>七、存在的问题及原因分析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  <w:t>对项目资金开支分类需要进一步科学化、规范化，费用开支和绩效产出测得结果不够准确，需要进一步量化。预算管理、绩效管理、资金管理需要加强。</w:t>
      </w:r>
    </w:p>
    <w:p>
      <w:pPr>
        <w:spacing w:line="227" w:lineRule="auto"/>
        <w:ind w:left="643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八、下一步改进措施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color w:val="auto"/>
          <w:sz w:val="28"/>
          <w:szCs w:val="28"/>
          <w:lang w:val="en-US" w:eastAsia="zh-CN"/>
        </w:rPr>
        <w:t>加强</w:t>
      </w:r>
      <w:r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  <w:t>预算管理、绩效管理、资金管理</w:t>
      </w:r>
      <w:r>
        <w:rPr>
          <w:rFonts w:hint="eastAsia" w:ascii="新宋体" w:hAnsi="新宋体" w:eastAsia="新宋体" w:cs="新宋体"/>
          <w:color w:val="auto"/>
          <w:sz w:val="28"/>
          <w:szCs w:val="28"/>
          <w:lang w:val="en-US" w:eastAsia="zh-CN"/>
        </w:rPr>
        <w:t>等的制度建设与执行措施的改进，确保我单位绩效评价工作顺利进行</w:t>
      </w:r>
      <w:r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  <w:t>。</w:t>
      </w:r>
    </w:p>
    <w:p>
      <w:pPr>
        <w:spacing w:before="219" w:line="600" w:lineRule="exact"/>
        <w:ind w:left="650"/>
        <w:rPr>
          <w:rFonts w:hint="eastAsia" w:ascii="黑体" w:hAnsi="黑体" w:eastAsia="黑体" w:cs="黑体"/>
          <w:spacing w:val="8"/>
          <w:position w:val="21"/>
          <w:sz w:val="32"/>
          <w:szCs w:val="32"/>
        </w:rPr>
      </w:pPr>
      <w:r>
        <w:rPr>
          <w:rFonts w:hint="eastAsia" w:ascii="黑体" w:hAnsi="黑体" w:eastAsia="黑体" w:cs="黑体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hint="eastAsia" w:ascii="黑体" w:hAnsi="黑体" w:eastAsia="黑体" w:cs="黑体"/>
          <w:spacing w:val="8"/>
          <w:position w:val="21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jc w:val="left"/>
        <w:textAlignment w:val="auto"/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1.通过对部门整体支出绩效自评结果的分析和应用，了解部门工作完成情况，针对发现的问题和瓶颈，适时地调整工作方向，提高整个部门的绩效水平。另外，借助绩效自评结果，进行绩效考核和激励，创造更好的工作氛围和激励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2.适时公开部门整体支出绩效自评结果，让教职工了解我部门的绩效评价标准和结果，有利于建立公平公正的绩效考核制度，激发教职工的工作热情和积极性，提高整体绩效水平。</w:t>
      </w:r>
    </w:p>
    <w:p>
      <w:pPr>
        <w:spacing w:line="226" w:lineRule="auto"/>
        <w:ind w:left="647"/>
        <w:rPr>
          <w:rFonts w:hint="eastAsia" w:ascii="黑体" w:hAnsi="黑体" w:eastAsia="黑体" w:cs="黑体"/>
          <w:spacing w:val="-3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</w:rPr>
        <w:t>十、其他需要说明的情况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jc w:val="left"/>
        <w:textAlignment w:val="auto"/>
        <w:rPr>
          <w:rFonts w:hint="eastAsia" w:ascii="Times New Roman" w:hAnsi="Times New Roman" w:eastAsia="新宋体" w:cs="Times New Roman"/>
          <w:color w:val="auto"/>
          <w:kern w:val="2"/>
          <w:sz w:val="18"/>
          <w:szCs w:val="18"/>
          <w:lang w:val="en-US" w:eastAsia="zh-CN" w:bidi="ar-SA"/>
        </w:rPr>
      </w:pPr>
      <w:r>
        <w:rPr>
          <w:rFonts w:hint="eastAsia" w:ascii="新宋体" w:hAnsi="新宋体" w:eastAsia="新宋体" w:cs="新宋体"/>
          <w:color w:val="auto"/>
          <w:kern w:val="2"/>
          <w:sz w:val="28"/>
          <w:szCs w:val="28"/>
          <w:lang w:val="en-US" w:eastAsia="zh-CN" w:bidi="ar-SA"/>
        </w:rPr>
        <w:t>其他需要说明的情况无。</w:t>
      </w:r>
    </w:p>
    <w:p>
      <w:pPr>
        <w:widowControl w:val="0"/>
        <w:snapToGrid w:val="0"/>
        <w:jc w:val="left"/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before="1" w:line="174" w:lineRule="auto"/>
      <w:ind w:left="8576"/>
      <w:jc w:val="both"/>
      <w:rPr>
        <w:rFonts w:ascii="仿宋" w:hAnsi="仿宋" w:eastAsia="仿宋" w:cs="仿宋"/>
        <w:kern w:val="2"/>
        <w:sz w:val="28"/>
        <w:szCs w:val="28"/>
        <w:lang w:val="en-US" w:eastAsia="en-US" w:bidi="ar-SA"/>
      </w:rPr>
    </w:pPr>
    <w:r>
      <w:rPr>
        <w:rFonts w:ascii="仿宋" w:hAnsi="仿宋" w:eastAsia="仿宋" w:cs="仿宋"/>
        <w:kern w:val="2"/>
        <w:sz w:val="28"/>
        <w:szCs w:val="31"/>
        <w:lang w:val="en-US"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10</w: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tzQzU3AgAAcQ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zqGCvSNPQwkVJXerRCu297&#10;nntTnEHTmW5SvOWbGqVsmQ8PzGE0UD4eT7jHUkqDlKa3KKmM+/Kv8xiPjsFLSYNRy6nGy6JEvtfo&#10;JADDYLjB2A+GPqo7g9lFc1BLMnHBBTmYpTPqM17UKuaAi2mOTDkNg3kXunHHi+RitUpBR+vqQ9Vd&#10;wBxaFrZ6Z3lME6XydnUMkDYpHgXqVEGn4gaTmHrWv5o46n/uU9Tj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7c0M1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  <w:t>10</w:t>
                    </w:r>
                    <w:r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03FEE"/>
    <w:rsid w:val="047C69F1"/>
    <w:rsid w:val="3560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2024-05-23T07:22:00Z</dcterms:created>
  <dc:creator>幸运</dc:creator>
  <cp:lastModifiedBy>幸运</cp:lastModifiedBy>
  <dcterms:modified xsi:type="dcterms:W3CDTF">2024-05-23T08:34:20Z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236C05C8E1604FA4B656360A3E13D761</vt:lpwstr>
  </property>
</Properties>
</file>