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E25568">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14:paraId="611607D5">
      <w:pPr>
        <w:spacing w:line="348" w:lineRule="auto"/>
        <w:jc w:val="center"/>
        <w:rPr>
          <w:rFonts w:eastAsia="方正小标宋简体"/>
          <w:bCs/>
          <w:sz w:val="42"/>
          <w:szCs w:val="42"/>
        </w:rPr>
      </w:pPr>
    </w:p>
    <w:p w14:paraId="2EB08DB7">
      <w:pPr>
        <w:spacing w:line="800" w:lineRule="exact"/>
        <w:jc w:val="center"/>
        <w:rPr>
          <w:rFonts w:eastAsia="方正小标宋简体"/>
          <w:bCs/>
          <w:sz w:val="46"/>
          <w:szCs w:val="46"/>
        </w:rPr>
      </w:pPr>
      <w:r>
        <w:rPr>
          <w:rFonts w:hint="eastAsia" w:eastAsia="方正小标宋简体"/>
          <w:bCs/>
          <w:sz w:val="46"/>
          <w:szCs w:val="46"/>
        </w:rPr>
        <w:t>华容县2021年度部门整体支出</w:t>
      </w:r>
    </w:p>
    <w:p w14:paraId="18DA30CE">
      <w:pPr>
        <w:spacing w:line="800" w:lineRule="exact"/>
        <w:jc w:val="center"/>
        <w:rPr>
          <w:rFonts w:eastAsia="方正小标宋简体"/>
          <w:bCs/>
          <w:sz w:val="46"/>
          <w:szCs w:val="46"/>
        </w:rPr>
      </w:pPr>
      <w:r>
        <w:rPr>
          <w:rFonts w:hint="eastAsia" w:eastAsia="方正小标宋简体"/>
          <w:bCs/>
          <w:sz w:val="46"/>
          <w:szCs w:val="46"/>
        </w:rPr>
        <w:t>绩效评价自评报告</w:t>
      </w:r>
    </w:p>
    <w:p w14:paraId="25C34AEE">
      <w:pPr>
        <w:rPr>
          <w:rFonts w:eastAsia="仿宋_GB2312"/>
          <w:b/>
          <w:sz w:val="32"/>
        </w:rPr>
      </w:pPr>
    </w:p>
    <w:p w14:paraId="367C5BD0">
      <w:pPr>
        <w:rPr>
          <w:rFonts w:eastAsia="仿宋_GB2312"/>
          <w:b/>
          <w:sz w:val="32"/>
        </w:rPr>
      </w:pPr>
    </w:p>
    <w:p w14:paraId="2E5283C5">
      <w:pPr>
        <w:rPr>
          <w:rFonts w:eastAsia="仿宋_GB2312"/>
          <w:b/>
          <w:sz w:val="32"/>
        </w:rPr>
      </w:pPr>
    </w:p>
    <w:p w14:paraId="6AC5AC85">
      <w:pPr>
        <w:spacing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华容县发改局                  </w:t>
      </w:r>
    </w:p>
    <w:p w14:paraId="3916E5B8">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107001                  </w:t>
      </w:r>
    </w:p>
    <w:p w14:paraId="4E0D1C05">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14:paraId="2274ED95">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14:paraId="430D140D">
      <w:pPr>
        <w:spacing w:line="720" w:lineRule="exact"/>
        <w:ind w:firstLine="2188" w:firstLineChars="690"/>
        <w:rPr>
          <w:rFonts w:eastAsia="仿宋_GB2312"/>
          <w:sz w:val="32"/>
        </w:rPr>
      </w:pPr>
    </w:p>
    <w:p w14:paraId="4BD1285D">
      <w:pPr>
        <w:spacing w:line="720" w:lineRule="exact"/>
        <w:ind w:firstLine="2188" w:firstLineChars="690"/>
        <w:rPr>
          <w:rFonts w:eastAsia="仿宋_GB2312"/>
          <w:sz w:val="32"/>
        </w:rPr>
      </w:pPr>
    </w:p>
    <w:p w14:paraId="3C99397D">
      <w:pPr>
        <w:spacing w:line="720" w:lineRule="exact"/>
        <w:ind w:firstLine="2188" w:firstLineChars="690"/>
        <w:rPr>
          <w:rFonts w:eastAsia="仿宋_GB2312"/>
          <w:sz w:val="32"/>
        </w:rPr>
      </w:pPr>
    </w:p>
    <w:p w14:paraId="0273CC4D">
      <w:pPr>
        <w:spacing w:line="348" w:lineRule="auto"/>
        <w:jc w:val="center"/>
        <w:rPr>
          <w:rFonts w:eastAsia="仿宋_GB2312"/>
          <w:sz w:val="32"/>
        </w:rPr>
      </w:pPr>
      <w:r>
        <w:rPr>
          <w:rFonts w:hint="eastAsia" w:eastAsia="仿宋_GB2312"/>
          <w:sz w:val="32"/>
        </w:rPr>
        <w:t>报告日期：  2022 年6 月13日</w:t>
      </w:r>
    </w:p>
    <w:p w14:paraId="79B6161C">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5"/>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14:paraId="630DE1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14:paraId="529E6E5E">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14:paraId="0C715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14:paraId="605A45D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14:paraId="79C5C3A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黎丽萍</w:t>
            </w:r>
          </w:p>
        </w:tc>
        <w:tc>
          <w:tcPr>
            <w:tcW w:w="1479" w:type="dxa"/>
            <w:vAlign w:val="center"/>
          </w:tcPr>
          <w:p w14:paraId="253C0C7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14:paraId="6AA2D51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4188323</w:t>
            </w:r>
          </w:p>
        </w:tc>
      </w:tr>
      <w:tr w14:paraId="2B182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14:paraId="4CD0BD3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14:paraId="78BB274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38</w:t>
            </w:r>
          </w:p>
        </w:tc>
        <w:tc>
          <w:tcPr>
            <w:tcW w:w="1479" w:type="dxa"/>
            <w:vAlign w:val="center"/>
          </w:tcPr>
          <w:p w14:paraId="3E9E451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14:paraId="6D34ABF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52</w:t>
            </w:r>
          </w:p>
        </w:tc>
      </w:tr>
      <w:tr w14:paraId="1DDF3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948" w:hRule="atLeast"/>
          <w:jc w:val="center"/>
        </w:trPr>
        <w:tc>
          <w:tcPr>
            <w:tcW w:w="1654" w:type="dxa"/>
            <w:gridSpan w:val="2"/>
            <w:vAlign w:val="center"/>
          </w:tcPr>
          <w:p w14:paraId="6819254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14:paraId="63994230">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拟订全县国民经济和社会发展战略、中长期规划和年度计划并组织实施；2、组织编制国民经济动员、国防交通保障规划、计划；3、统筹规划和综合协调产业发展，推动全县经济结构战略性调整；4、协调平衡卫生健康、科技教育、文化旅游、体育民政等发展政策；5、推进可持续发展战略，负责节能减排的综合协调工作；6、负责全县固定资产投资管理；7、负责全县价格工作的宏观管理和综合平衡；8、完成上级交办的其他任务。</w:t>
            </w:r>
          </w:p>
        </w:tc>
      </w:tr>
      <w:tr w14:paraId="4D353A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954" w:hRule="atLeast"/>
          <w:jc w:val="center"/>
        </w:trPr>
        <w:tc>
          <w:tcPr>
            <w:tcW w:w="1654" w:type="dxa"/>
            <w:gridSpan w:val="2"/>
            <w:vAlign w:val="center"/>
          </w:tcPr>
          <w:p w14:paraId="7E2AE1D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14:paraId="712515A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14:paraId="08262E1D">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任务1、完成“十四五”规划编制年度任务；</w:t>
            </w:r>
          </w:p>
          <w:p w14:paraId="5A2FD70A">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任务2、完成争项争资年度任务；</w:t>
            </w:r>
          </w:p>
          <w:p w14:paraId="11E9B398">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任务3、完成</w:t>
            </w:r>
            <w:r>
              <w:rPr>
                <w:rFonts w:hint="eastAsia" w:ascii="仿宋_GB2312" w:hAnsi="仿宋_GB2312" w:eastAsia="仿宋_GB2312" w:cs="仿宋_GB2312"/>
                <w:color w:val="000000"/>
                <w:sz w:val="24"/>
                <w:lang w:val="en-US" w:eastAsia="zh-CN"/>
              </w:rPr>
              <w:t>固</w:t>
            </w:r>
            <w:r>
              <w:rPr>
                <w:rFonts w:hint="eastAsia" w:ascii="仿宋_GB2312" w:hAnsi="仿宋_GB2312" w:eastAsia="仿宋_GB2312" w:cs="仿宋_GB2312"/>
                <w:color w:val="000000"/>
                <w:sz w:val="24"/>
              </w:rPr>
              <w:t>定资产投资年度目标；</w:t>
            </w:r>
          </w:p>
          <w:p w14:paraId="07661AAD">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任务4、完成华容长江大保护项目年度建设任务；</w:t>
            </w:r>
          </w:p>
          <w:p w14:paraId="025E645A">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任务5、完成智慧华容PPP项目年度建设任务；</w:t>
            </w:r>
          </w:p>
          <w:p w14:paraId="05D36D27">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任务6、完成易地扶贫搬迁年度任务；</w:t>
            </w:r>
          </w:p>
          <w:p w14:paraId="47D67ABA">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任务7、完成年度成本调查和监测任务；</w:t>
            </w:r>
          </w:p>
          <w:p w14:paraId="2CD7A325">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任务8、按要求做好涉案物的鉴定工作；</w:t>
            </w:r>
          </w:p>
          <w:p w14:paraId="6EE2DE72">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任务9、完成上级交办的其他任务。</w:t>
            </w:r>
          </w:p>
        </w:tc>
      </w:tr>
      <w:tr w14:paraId="0134C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989" w:hRule="atLeast"/>
          <w:jc w:val="center"/>
        </w:trPr>
        <w:tc>
          <w:tcPr>
            <w:tcW w:w="1654" w:type="dxa"/>
            <w:gridSpan w:val="2"/>
            <w:vAlign w:val="center"/>
          </w:tcPr>
          <w:p w14:paraId="6362ACCC">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14:paraId="3475E432">
            <w:pPr>
              <w:autoSpaceDN w:val="0"/>
              <w:spacing w:line="320" w:lineRule="exact"/>
              <w:ind w:firstLine="480" w:firstLineChars="200"/>
              <w:jc w:val="left"/>
              <w:textAlignment w:val="center"/>
              <w:rPr>
                <w:rFonts w:ascii="仿宋_GB2312" w:hAnsi="仿宋_GB2312" w:eastAsia="仿宋_GB2312" w:cs="仿宋_GB2312"/>
                <w:color w:val="000000"/>
                <w:sz w:val="24"/>
              </w:rPr>
            </w:pPr>
            <w:r>
              <w:rPr>
                <w:rFonts w:hint="eastAsia" w:ascii="仿宋_GB2312" w:eastAsia="仿宋_GB2312"/>
                <w:sz w:val="24"/>
              </w:rPr>
              <w:t>2021年，县发改局在县委、县政府的坚强领导下，大力推进“一廊二中心”建设，强力推进富美华容高质量发展。全年地区生产增长8.1%,六县市排名第三，固投增长11.5%，六县市排名第三；城居收入增长8.5%，六县市排名第二。较好完成了县委、县政府下达的各项目标任务， 2021年获</w:t>
            </w:r>
            <w:r>
              <w:rPr>
                <w:rFonts w:hint="eastAsia" w:ascii="仿宋_GB2312" w:hAnsi="仿宋_GB2312" w:eastAsia="仿宋_GB2312" w:cs="仿宋_GB2312"/>
                <w:color w:val="000000"/>
                <w:sz w:val="24"/>
              </w:rPr>
              <w:t>全县“综合绩效考核”一类单位，乡村振兴优胜单位、推进产业链发展优胜单位、财税工作优胜单位。</w:t>
            </w:r>
          </w:p>
        </w:tc>
      </w:tr>
      <w:tr w14:paraId="2D6C6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6" w:hRule="atLeast"/>
          <w:jc w:val="center"/>
        </w:trPr>
        <w:tc>
          <w:tcPr>
            <w:tcW w:w="9800" w:type="dxa"/>
            <w:gridSpan w:val="17"/>
            <w:vAlign w:val="center"/>
          </w:tcPr>
          <w:p w14:paraId="265E002E">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14:paraId="30806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14:paraId="5B4BC7C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14:paraId="3AFC7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14:paraId="70453B9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14:paraId="717F9A4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14:paraId="7BE6D03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14:paraId="03645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14:paraId="537A64BC">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14:paraId="18B9E5BB">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14:paraId="267A925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14:paraId="2B2AFFB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14:paraId="2566804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14:paraId="5D350B7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14:paraId="049810C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14:paraId="575DFF2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14:paraId="1D38C51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14:paraId="498F9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14:paraId="181BF49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14:paraId="14FD548D">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787.04</w:t>
            </w:r>
          </w:p>
        </w:tc>
        <w:tc>
          <w:tcPr>
            <w:tcW w:w="1355" w:type="dxa"/>
            <w:gridSpan w:val="2"/>
            <w:tcBorders>
              <w:left w:val="single" w:color="auto" w:sz="4" w:space="0"/>
            </w:tcBorders>
            <w:vAlign w:val="center"/>
          </w:tcPr>
          <w:p w14:paraId="05CE0CC6">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14:paraId="26892762">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787.04</w:t>
            </w:r>
          </w:p>
        </w:tc>
        <w:tc>
          <w:tcPr>
            <w:tcW w:w="1705" w:type="dxa"/>
            <w:gridSpan w:val="2"/>
            <w:vAlign w:val="center"/>
          </w:tcPr>
          <w:p w14:paraId="36A6D4DF">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14:paraId="614A907D">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14:paraId="464F9BBA">
            <w:pPr>
              <w:autoSpaceDN w:val="0"/>
              <w:spacing w:line="320" w:lineRule="exact"/>
              <w:jc w:val="left"/>
              <w:textAlignment w:val="center"/>
              <w:rPr>
                <w:rFonts w:ascii="仿宋_GB2312" w:hAnsi="仿宋_GB2312" w:eastAsia="仿宋_GB2312" w:cs="仿宋_GB2312"/>
                <w:color w:val="000000"/>
                <w:sz w:val="24"/>
              </w:rPr>
            </w:pPr>
          </w:p>
        </w:tc>
      </w:tr>
      <w:tr w14:paraId="3D6B1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14:paraId="398812D8">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14:paraId="134C6A79">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787.04</w:t>
            </w:r>
          </w:p>
        </w:tc>
        <w:tc>
          <w:tcPr>
            <w:tcW w:w="1355" w:type="dxa"/>
            <w:gridSpan w:val="2"/>
            <w:tcBorders>
              <w:left w:val="single" w:color="auto" w:sz="4" w:space="0"/>
            </w:tcBorders>
            <w:vAlign w:val="center"/>
          </w:tcPr>
          <w:p w14:paraId="4C07D76D">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14:paraId="347D949E">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787.04</w:t>
            </w:r>
          </w:p>
        </w:tc>
        <w:tc>
          <w:tcPr>
            <w:tcW w:w="1705" w:type="dxa"/>
            <w:gridSpan w:val="2"/>
            <w:vAlign w:val="center"/>
          </w:tcPr>
          <w:p w14:paraId="69401F20">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14:paraId="1203D678">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14:paraId="4801081E">
            <w:pPr>
              <w:autoSpaceDN w:val="0"/>
              <w:spacing w:line="320" w:lineRule="exact"/>
              <w:jc w:val="left"/>
              <w:textAlignment w:val="center"/>
              <w:rPr>
                <w:rFonts w:ascii="仿宋_GB2312" w:hAnsi="仿宋_GB2312" w:eastAsia="仿宋_GB2312" w:cs="仿宋_GB2312"/>
                <w:color w:val="000000"/>
                <w:sz w:val="24"/>
              </w:rPr>
            </w:pPr>
          </w:p>
        </w:tc>
      </w:tr>
      <w:tr w14:paraId="49F82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14:paraId="2BC4B8F9">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14:paraId="2AC79A10">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14:paraId="0E5F4414">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14:paraId="1949CDFB">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14:paraId="26050841">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14:paraId="28CE288B">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14:paraId="63D52098">
            <w:pPr>
              <w:autoSpaceDN w:val="0"/>
              <w:spacing w:line="320" w:lineRule="exact"/>
              <w:jc w:val="left"/>
              <w:textAlignment w:val="center"/>
              <w:rPr>
                <w:rFonts w:ascii="仿宋_GB2312" w:hAnsi="仿宋_GB2312" w:eastAsia="仿宋_GB2312" w:cs="仿宋_GB2312"/>
                <w:color w:val="000000"/>
                <w:sz w:val="24"/>
              </w:rPr>
            </w:pPr>
          </w:p>
        </w:tc>
      </w:tr>
      <w:tr w14:paraId="1B0616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14:paraId="748AC676">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14:paraId="615B3425">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14:paraId="74BA8BAF">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14:paraId="6EB60AC4">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14:paraId="7EA1EA45">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14:paraId="3DC455F7">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14:paraId="01DF67FE">
            <w:pPr>
              <w:autoSpaceDN w:val="0"/>
              <w:spacing w:line="320" w:lineRule="exact"/>
              <w:jc w:val="left"/>
              <w:textAlignment w:val="center"/>
              <w:rPr>
                <w:rFonts w:ascii="仿宋_GB2312" w:hAnsi="仿宋_GB2312" w:eastAsia="仿宋_GB2312" w:cs="仿宋_GB2312"/>
                <w:color w:val="000000"/>
                <w:sz w:val="24"/>
              </w:rPr>
            </w:pPr>
          </w:p>
        </w:tc>
      </w:tr>
      <w:tr w14:paraId="157F6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14:paraId="073F6FB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14:paraId="28F6DF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14:paraId="7BCC8011">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14:paraId="7E2BA6F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14:paraId="37E7CE2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14:paraId="57FBAC3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14:paraId="03DAAA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14:paraId="0F3C941A">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14:paraId="1577BA0B">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14:paraId="62DB92A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14:paraId="0899619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14:paraId="3CB8B3E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14:paraId="4BB945F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14:paraId="5FEE48B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14:paraId="4946C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14:paraId="0966FD6A">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14:paraId="5008632F">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14:paraId="33F73668">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14:paraId="3A0F479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14:paraId="56CC488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14:paraId="3DC7707E">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14:paraId="0F00E943">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14:paraId="36E060C1">
            <w:pPr>
              <w:autoSpaceDN w:val="0"/>
              <w:spacing w:line="320" w:lineRule="exact"/>
              <w:jc w:val="center"/>
              <w:textAlignment w:val="center"/>
              <w:rPr>
                <w:rFonts w:ascii="仿宋_GB2312" w:hAnsi="仿宋_GB2312" w:eastAsia="仿宋_GB2312" w:cs="仿宋_GB2312"/>
                <w:color w:val="000000"/>
                <w:sz w:val="24"/>
              </w:rPr>
            </w:pPr>
          </w:p>
        </w:tc>
      </w:tr>
      <w:tr w14:paraId="5E41E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14:paraId="1CB4023E">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14:paraId="00797940">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787.04</w:t>
            </w:r>
          </w:p>
        </w:tc>
        <w:tc>
          <w:tcPr>
            <w:tcW w:w="1355" w:type="dxa"/>
            <w:gridSpan w:val="2"/>
            <w:tcBorders>
              <w:left w:val="single" w:color="auto" w:sz="4" w:space="0"/>
            </w:tcBorders>
            <w:vAlign w:val="center"/>
          </w:tcPr>
          <w:p w14:paraId="3D9EB470">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787.04</w:t>
            </w:r>
          </w:p>
        </w:tc>
        <w:tc>
          <w:tcPr>
            <w:tcW w:w="1080" w:type="dxa"/>
            <w:gridSpan w:val="2"/>
            <w:vAlign w:val="center"/>
          </w:tcPr>
          <w:p w14:paraId="0B4C31F1">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582.44</w:t>
            </w:r>
          </w:p>
        </w:tc>
        <w:tc>
          <w:tcPr>
            <w:tcW w:w="2160" w:type="dxa"/>
            <w:gridSpan w:val="4"/>
            <w:vAlign w:val="center"/>
          </w:tcPr>
          <w:p w14:paraId="2F11474F">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204.6</w:t>
            </w:r>
          </w:p>
        </w:tc>
        <w:tc>
          <w:tcPr>
            <w:tcW w:w="1080" w:type="dxa"/>
            <w:vAlign w:val="center"/>
          </w:tcPr>
          <w:p w14:paraId="10317595">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14:paraId="57CDC249">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14:paraId="5F5D8576">
            <w:pPr>
              <w:autoSpaceDN w:val="0"/>
              <w:spacing w:line="320" w:lineRule="exact"/>
              <w:jc w:val="center"/>
              <w:textAlignment w:val="center"/>
              <w:rPr>
                <w:rFonts w:ascii="仿宋_GB2312" w:hAnsi="仿宋_GB2312" w:eastAsia="仿宋_GB2312" w:cs="仿宋_GB2312"/>
                <w:color w:val="000000"/>
                <w:sz w:val="24"/>
              </w:rPr>
            </w:pPr>
          </w:p>
        </w:tc>
      </w:tr>
      <w:tr w14:paraId="5CBB6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14:paraId="40D70350">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14:paraId="3119A21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787.04</w:t>
            </w:r>
          </w:p>
        </w:tc>
        <w:tc>
          <w:tcPr>
            <w:tcW w:w="1355" w:type="dxa"/>
            <w:gridSpan w:val="2"/>
            <w:tcBorders>
              <w:left w:val="single" w:color="auto" w:sz="4" w:space="0"/>
            </w:tcBorders>
            <w:vAlign w:val="center"/>
          </w:tcPr>
          <w:p w14:paraId="37732A7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787.04</w:t>
            </w:r>
          </w:p>
        </w:tc>
        <w:tc>
          <w:tcPr>
            <w:tcW w:w="1080" w:type="dxa"/>
            <w:gridSpan w:val="2"/>
            <w:vAlign w:val="center"/>
          </w:tcPr>
          <w:p w14:paraId="1E89CAC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582.44</w:t>
            </w:r>
          </w:p>
        </w:tc>
        <w:tc>
          <w:tcPr>
            <w:tcW w:w="2160" w:type="dxa"/>
            <w:gridSpan w:val="4"/>
            <w:vAlign w:val="center"/>
          </w:tcPr>
          <w:p w14:paraId="6A42370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204.6</w:t>
            </w:r>
          </w:p>
        </w:tc>
        <w:tc>
          <w:tcPr>
            <w:tcW w:w="1080" w:type="dxa"/>
            <w:vAlign w:val="center"/>
          </w:tcPr>
          <w:p w14:paraId="7D373F56">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14:paraId="17E8EE9B">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14:paraId="48757325">
            <w:pPr>
              <w:autoSpaceDN w:val="0"/>
              <w:spacing w:line="320" w:lineRule="exact"/>
              <w:jc w:val="center"/>
              <w:textAlignment w:val="center"/>
              <w:rPr>
                <w:rFonts w:ascii="仿宋_GB2312" w:hAnsi="仿宋_GB2312" w:eastAsia="仿宋_GB2312" w:cs="仿宋_GB2312"/>
                <w:color w:val="000000"/>
                <w:sz w:val="24"/>
              </w:rPr>
            </w:pPr>
          </w:p>
        </w:tc>
      </w:tr>
      <w:tr w14:paraId="26BEE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14:paraId="150D1316">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14:paraId="38F4B171">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14:paraId="4C0C38C8">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14:paraId="418C9D77">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14:paraId="4C8DCD9D">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14:paraId="59467A7E">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14:paraId="60A3D221">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14:paraId="0B0FBCF1">
            <w:pPr>
              <w:autoSpaceDN w:val="0"/>
              <w:spacing w:line="320" w:lineRule="exact"/>
              <w:jc w:val="center"/>
              <w:textAlignment w:val="center"/>
              <w:rPr>
                <w:rFonts w:ascii="仿宋_GB2312" w:hAnsi="仿宋_GB2312" w:eastAsia="仿宋_GB2312" w:cs="仿宋_GB2312"/>
                <w:color w:val="000000"/>
                <w:sz w:val="24"/>
              </w:rPr>
            </w:pPr>
          </w:p>
        </w:tc>
      </w:tr>
      <w:tr w14:paraId="3AA21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14:paraId="1ACF3F3F">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14:paraId="5E1E3AE4">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14:paraId="0B32BD4B">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14:paraId="5E2CC31E">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14:paraId="79FBD8E8">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14:paraId="051702B2">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14:paraId="096D3B3B">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14:paraId="3A76A2D6">
            <w:pPr>
              <w:autoSpaceDN w:val="0"/>
              <w:spacing w:line="320" w:lineRule="exact"/>
              <w:jc w:val="center"/>
              <w:textAlignment w:val="center"/>
              <w:rPr>
                <w:rFonts w:ascii="仿宋_GB2312" w:hAnsi="仿宋_GB2312" w:eastAsia="仿宋_GB2312" w:cs="仿宋_GB2312"/>
                <w:color w:val="000000"/>
                <w:sz w:val="24"/>
              </w:rPr>
            </w:pPr>
          </w:p>
        </w:tc>
      </w:tr>
      <w:tr w14:paraId="7AA3C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14:paraId="2B7EDBBC">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14:paraId="326668B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14:paraId="31E59CA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14:paraId="53D116E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14:paraId="3C4C1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14:paraId="2B9E81B1">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14:paraId="4A2BE7C2">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14:paraId="744B053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14:paraId="7005CCC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14:paraId="2C85317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14:paraId="5B08351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14:paraId="3D403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14:paraId="1FA3E38A">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14:paraId="543963B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4.55</w:t>
            </w:r>
          </w:p>
        </w:tc>
        <w:tc>
          <w:tcPr>
            <w:tcW w:w="1355" w:type="dxa"/>
            <w:gridSpan w:val="2"/>
            <w:tcBorders>
              <w:left w:val="single" w:color="auto" w:sz="4" w:space="0"/>
            </w:tcBorders>
            <w:vAlign w:val="center"/>
          </w:tcPr>
          <w:p w14:paraId="01367836">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4.55</w:t>
            </w:r>
          </w:p>
        </w:tc>
        <w:tc>
          <w:tcPr>
            <w:tcW w:w="1080" w:type="dxa"/>
            <w:gridSpan w:val="2"/>
            <w:vAlign w:val="center"/>
          </w:tcPr>
          <w:p w14:paraId="33F3FC90">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14:paraId="3C14B57A">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14:paraId="08DCC112">
            <w:pPr>
              <w:autoSpaceDN w:val="0"/>
              <w:spacing w:line="320" w:lineRule="exact"/>
              <w:jc w:val="center"/>
              <w:textAlignment w:val="center"/>
              <w:rPr>
                <w:rFonts w:ascii="仿宋_GB2312" w:hAnsi="仿宋_GB2312" w:eastAsia="仿宋_GB2312" w:cs="仿宋_GB2312"/>
                <w:color w:val="000000"/>
                <w:sz w:val="24"/>
              </w:rPr>
            </w:pPr>
          </w:p>
        </w:tc>
      </w:tr>
      <w:tr w14:paraId="3CFA5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14:paraId="48E06417">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14:paraId="35EB51A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4.55</w:t>
            </w:r>
          </w:p>
        </w:tc>
        <w:tc>
          <w:tcPr>
            <w:tcW w:w="1355" w:type="dxa"/>
            <w:gridSpan w:val="2"/>
            <w:tcBorders>
              <w:left w:val="single" w:color="auto" w:sz="4" w:space="0"/>
            </w:tcBorders>
            <w:vAlign w:val="center"/>
          </w:tcPr>
          <w:p w14:paraId="4BC938E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4.55</w:t>
            </w:r>
          </w:p>
        </w:tc>
        <w:tc>
          <w:tcPr>
            <w:tcW w:w="1080" w:type="dxa"/>
            <w:gridSpan w:val="2"/>
            <w:vAlign w:val="center"/>
          </w:tcPr>
          <w:p w14:paraId="602CAA47">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14:paraId="1C666B1A">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14:paraId="6EBE834B">
            <w:pPr>
              <w:autoSpaceDN w:val="0"/>
              <w:spacing w:line="320" w:lineRule="exact"/>
              <w:jc w:val="center"/>
              <w:textAlignment w:val="center"/>
              <w:rPr>
                <w:rFonts w:ascii="仿宋_GB2312" w:hAnsi="仿宋_GB2312" w:eastAsia="仿宋_GB2312" w:cs="仿宋_GB2312"/>
                <w:color w:val="000000"/>
                <w:sz w:val="24"/>
              </w:rPr>
            </w:pPr>
          </w:p>
        </w:tc>
      </w:tr>
      <w:tr w14:paraId="72620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14:paraId="2D114C04">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14:paraId="39DAD844">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14:paraId="7EDFC6CD">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14:paraId="1E170E1C">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14:paraId="5A6A4D95">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14:paraId="6485A166">
            <w:pPr>
              <w:autoSpaceDN w:val="0"/>
              <w:spacing w:line="320" w:lineRule="exact"/>
              <w:jc w:val="center"/>
              <w:textAlignment w:val="center"/>
              <w:rPr>
                <w:rFonts w:ascii="仿宋_GB2312" w:hAnsi="仿宋_GB2312" w:eastAsia="仿宋_GB2312" w:cs="仿宋_GB2312"/>
                <w:color w:val="000000"/>
                <w:sz w:val="24"/>
              </w:rPr>
            </w:pPr>
          </w:p>
        </w:tc>
      </w:tr>
      <w:tr w14:paraId="53383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14:paraId="72F8B2F1">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14:paraId="47AE03D3">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14:paraId="22B40593">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14:paraId="38E30A39">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14:paraId="7EB13850">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14:paraId="1EBAEC87">
            <w:pPr>
              <w:autoSpaceDN w:val="0"/>
              <w:spacing w:line="320" w:lineRule="exact"/>
              <w:jc w:val="center"/>
              <w:textAlignment w:val="center"/>
              <w:rPr>
                <w:rFonts w:ascii="仿宋_GB2312" w:hAnsi="仿宋_GB2312" w:eastAsia="仿宋_GB2312" w:cs="仿宋_GB2312"/>
                <w:color w:val="000000"/>
                <w:sz w:val="24"/>
              </w:rPr>
            </w:pPr>
          </w:p>
        </w:tc>
      </w:tr>
      <w:tr w14:paraId="2A42B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14:paraId="57B2970A">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14:paraId="4393E84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14:paraId="6C8D911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14:paraId="33C21D6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14:paraId="401542D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14:paraId="6BE23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14:paraId="60617E7C">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14:paraId="2838359C">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14:paraId="401FE09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14:paraId="7F60FC1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14:paraId="4F99842D">
            <w:pPr>
              <w:autoSpaceDN w:val="0"/>
              <w:spacing w:line="320" w:lineRule="exact"/>
              <w:jc w:val="center"/>
              <w:textAlignment w:val="center"/>
              <w:rPr>
                <w:rFonts w:ascii="仿宋_GB2312" w:hAnsi="仿宋_GB2312" w:eastAsia="仿宋_GB2312" w:cs="仿宋_GB2312"/>
                <w:color w:val="000000"/>
                <w:sz w:val="24"/>
              </w:rPr>
            </w:pPr>
          </w:p>
        </w:tc>
      </w:tr>
      <w:tr w14:paraId="0C974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14:paraId="6FE989B4">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14:paraId="5F796C2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24.64</w:t>
            </w:r>
          </w:p>
        </w:tc>
        <w:tc>
          <w:tcPr>
            <w:tcW w:w="2435" w:type="dxa"/>
            <w:gridSpan w:val="4"/>
            <w:tcBorders>
              <w:left w:val="single" w:color="auto" w:sz="4" w:space="0"/>
            </w:tcBorders>
            <w:vAlign w:val="center"/>
          </w:tcPr>
          <w:p w14:paraId="44C8AF1A">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24.64</w:t>
            </w:r>
          </w:p>
        </w:tc>
        <w:tc>
          <w:tcPr>
            <w:tcW w:w="3644" w:type="dxa"/>
            <w:gridSpan w:val="7"/>
            <w:vAlign w:val="center"/>
          </w:tcPr>
          <w:p w14:paraId="0F717815">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14:paraId="77FF0280">
            <w:pPr>
              <w:autoSpaceDN w:val="0"/>
              <w:spacing w:line="320" w:lineRule="exact"/>
              <w:jc w:val="center"/>
              <w:textAlignment w:val="center"/>
              <w:rPr>
                <w:rFonts w:ascii="仿宋_GB2312" w:hAnsi="仿宋_GB2312" w:eastAsia="仿宋_GB2312" w:cs="仿宋_GB2312"/>
                <w:color w:val="000000"/>
                <w:sz w:val="24"/>
              </w:rPr>
            </w:pPr>
          </w:p>
        </w:tc>
      </w:tr>
      <w:tr w14:paraId="0CAB7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14:paraId="4DAA6F87">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14:paraId="5A070E7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24.64</w:t>
            </w:r>
          </w:p>
        </w:tc>
        <w:tc>
          <w:tcPr>
            <w:tcW w:w="2435" w:type="dxa"/>
            <w:gridSpan w:val="4"/>
            <w:tcBorders>
              <w:left w:val="single" w:color="auto" w:sz="4" w:space="0"/>
            </w:tcBorders>
            <w:vAlign w:val="center"/>
          </w:tcPr>
          <w:p w14:paraId="69175C4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24.64</w:t>
            </w:r>
          </w:p>
        </w:tc>
        <w:tc>
          <w:tcPr>
            <w:tcW w:w="3644" w:type="dxa"/>
            <w:gridSpan w:val="7"/>
            <w:vAlign w:val="center"/>
          </w:tcPr>
          <w:p w14:paraId="2C35D6EF">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14:paraId="16CAB169">
            <w:pPr>
              <w:autoSpaceDN w:val="0"/>
              <w:spacing w:line="320" w:lineRule="exact"/>
              <w:jc w:val="center"/>
              <w:textAlignment w:val="center"/>
              <w:rPr>
                <w:rFonts w:ascii="仿宋_GB2312" w:hAnsi="仿宋_GB2312" w:eastAsia="仿宋_GB2312" w:cs="仿宋_GB2312"/>
                <w:color w:val="000000"/>
                <w:sz w:val="24"/>
              </w:rPr>
            </w:pPr>
          </w:p>
        </w:tc>
      </w:tr>
      <w:tr w14:paraId="7A9C5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14:paraId="028F383E">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14:paraId="76C247CD">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14:paraId="74F04A1F">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14:paraId="2FBB0E6F">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14:paraId="7A5A8CA0">
            <w:pPr>
              <w:autoSpaceDN w:val="0"/>
              <w:spacing w:line="320" w:lineRule="exact"/>
              <w:jc w:val="center"/>
              <w:textAlignment w:val="center"/>
              <w:rPr>
                <w:rFonts w:ascii="仿宋_GB2312" w:hAnsi="仿宋_GB2312" w:eastAsia="仿宋_GB2312" w:cs="仿宋_GB2312"/>
                <w:color w:val="000000"/>
                <w:sz w:val="24"/>
              </w:rPr>
            </w:pPr>
          </w:p>
        </w:tc>
      </w:tr>
      <w:tr w14:paraId="4D36B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14:paraId="7FDAA4EA">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14:paraId="71F3FF68">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14:paraId="4A9C6F13">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14:paraId="221D1E87">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14:paraId="1E771765">
            <w:pPr>
              <w:autoSpaceDN w:val="0"/>
              <w:spacing w:line="320" w:lineRule="exact"/>
              <w:jc w:val="center"/>
              <w:textAlignment w:val="center"/>
              <w:rPr>
                <w:rFonts w:ascii="仿宋_GB2312" w:hAnsi="仿宋_GB2312" w:eastAsia="仿宋_GB2312" w:cs="仿宋_GB2312"/>
                <w:color w:val="000000"/>
                <w:sz w:val="24"/>
              </w:rPr>
            </w:pPr>
          </w:p>
        </w:tc>
      </w:tr>
      <w:tr w14:paraId="39F77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14:paraId="057B6696">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14:paraId="16768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14:paraId="67C0400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14:paraId="4739468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14:paraId="4A9670B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14:paraId="60E57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317" w:hRule="atLeast"/>
          <w:jc w:val="center"/>
        </w:trPr>
        <w:tc>
          <w:tcPr>
            <w:tcW w:w="1441" w:type="dxa"/>
            <w:vMerge w:val="continue"/>
            <w:vAlign w:val="center"/>
          </w:tcPr>
          <w:p w14:paraId="138C0641">
            <w:pPr>
              <w:spacing w:line="320" w:lineRule="exact"/>
              <w:rPr>
                <w:rFonts w:ascii="仿宋_GB2312" w:hAnsi="仿宋_GB2312" w:eastAsia="仿宋_GB2312" w:cs="仿宋_GB2312"/>
                <w:sz w:val="24"/>
              </w:rPr>
            </w:pPr>
          </w:p>
        </w:tc>
        <w:tc>
          <w:tcPr>
            <w:tcW w:w="3774" w:type="dxa"/>
            <w:gridSpan w:val="7"/>
            <w:vAlign w:val="center"/>
          </w:tcPr>
          <w:p w14:paraId="54981239">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目标1：完成争项争资年度任务</w:t>
            </w:r>
          </w:p>
          <w:p w14:paraId="2D102B46">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目标2：完成年度计划编制年度任务</w:t>
            </w:r>
          </w:p>
          <w:p w14:paraId="2AD4ABF6">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目标3:完成GDP、固投、城居目标</w:t>
            </w:r>
          </w:p>
          <w:p w14:paraId="0B3AF4FB">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目标4：完成易地扶贫搬迁年度任务</w:t>
            </w:r>
          </w:p>
          <w:p w14:paraId="64FBCCB4">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目标5：完成成本调查和监测任务</w:t>
            </w:r>
          </w:p>
          <w:p w14:paraId="24AD3DBA">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目标6：做好涉案物的鉴定工作</w:t>
            </w:r>
          </w:p>
          <w:p w14:paraId="74C3B571">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目标7：完成上级交办的其他任务</w:t>
            </w:r>
          </w:p>
        </w:tc>
        <w:tc>
          <w:tcPr>
            <w:tcW w:w="4585" w:type="dxa"/>
            <w:gridSpan w:val="9"/>
            <w:vAlign w:val="center"/>
          </w:tcPr>
          <w:p w14:paraId="1E9D8482">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超额完成年度争项争资任务</w:t>
            </w:r>
          </w:p>
          <w:p w14:paraId="10CAC8A2">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完成年度计划编制任务</w:t>
            </w:r>
          </w:p>
          <w:p w14:paraId="2488DFD0">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完成GDP、固投、城居目标年度任务</w:t>
            </w:r>
          </w:p>
          <w:p w14:paraId="37EB0053">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完成易地扶贫搬迁年度任务</w:t>
            </w:r>
          </w:p>
          <w:p w14:paraId="61B84600">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完成年度成本调查和监测任务</w:t>
            </w:r>
          </w:p>
          <w:p w14:paraId="05079595">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完成涉案物认证工作</w:t>
            </w:r>
          </w:p>
          <w:p w14:paraId="324BD22C">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完成县委、县政府交办的其他任务</w:t>
            </w:r>
          </w:p>
        </w:tc>
      </w:tr>
      <w:tr w14:paraId="1F6AA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11" w:hRule="atLeast"/>
          <w:jc w:val="center"/>
        </w:trPr>
        <w:tc>
          <w:tcPr>
            <w:tcW w:w="1441" w:type="dxa"/>
            <w:vMerge w:val="restart"/>
            <w:vAlign w:val="center"/>
          </w:tcPr>
          <w:p w14:paraId="76C4A38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14:paraId="679D331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14:paraId="0BCEB84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14:paraId="1EDB6CE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14:paraId="3794FD8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14:paraId="7DE1F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6388B9C2">
            <w:pPr>
              <w:spacing w:line="320" w:lineRule="exact"/>
              <w:rPr>
                <w:rFonts w:ascii="仿宋_GB2312" w:hAnsi="仿宋_GB2312" w:eastAsia="仿宋_GB2312" w:cs="仿宋_GB2312"/>
                <w:sz w:val="24"/>
              </w:rPr>
            </w:pPr>
          </w:p>
        </w:tc>
        <w:tc>
          <w:tcPr>
            <w:tcW w:w="1549" w:type="dxa"/>
            <w:gridSpan w:val="4"/>
            <w:vMerge w:val="restart"/>
            <w:vAlign w:val="center"/>
          </w:tcPr>
          <w:p w14:paraId="09C0029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14:paraId="1DB0AB7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vMerge w:val="restart"/>
            <w:vAlign w:val="center"/>
          </w:tcPr>
          <w:p w14:paraId="4C6B611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14:paraId="5C983799">
            <w:pPr>
              <w:autoSpaceDN w:val="0"/>
              <w:spacing w:line="320" w:lineRule="exact"/>
              <w:ind w:left="720" w:hanging="720" w:hangingChars="3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指标1：全县争项争资全市第三</w:t>
            </w:r>
          </w:p>
        </w:tc>
        <w:tc>
          <w:tcPr>
            <w:tcW w:w="2684" w:type="dxa"/>
            <w:gridSpan w:val="6"/>
            <w:vAlign w:val="center"/>
          </w:tcPr>
          <w:p w14:paraId="768355DA">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完成年度目标任务</w:t>
            </w:r>
          </w:p>
        </w:tc>
      </w:tr>
      <w:tr w14:paraId="1115C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577F0C55">
            <w:pPr>
              <w:spacing w:line="320" w:lineRule="exact"/>
              <w:rPr>
                <w:rFonts w:ascii="仿宋_GB2312" w:hAnsi="仿宋_GB2312" w:eastAsia="仿宋_GB2312" w:cs="仿宋_GB2312"/>
                <w:sz w:val="24"/>
              </w:rPr>
            </w:pPr>
          </w:p>
        </w:tc>
        <w:tc>
          <w:tcPr>
            <w:tcW w:w="1549" w:type="dxa"/>
            <w:gridSpan w:val="4"/>
            <w:vMerge w:val="continue"/>
            <w:vAlign w:val="center"/>
          </w:tcPr>
          <w:p w14:paraId="285440DD">
            <w:pPr>
              <w:autoSpaceDN w:val="0"/>
              <w:spacing w:line="320" w:lineRule="exact"/>
              <w:rPr>
                <w:rFonts w:ascii="仿宋_GB2312" w:hAnsi="仿宋_GB2312" w:eastAsia="仿宋_GB2312" w:cs="仿宋_GB2312"/>
                <w:sz w:val="24"/>
              </w:rPr>
            </w:pPr>
          </w:p>
        </w:tc>
        <w:tc>
          <w:tcPr>
            <w:tcW w:w="1417" w:type="dxa"/>
            <w:gridSpan w:val="2"/>
            <w:vMerge w:val="continue"/>
            <w:vAlign w:val="center"/>
          </w:tcPr>
          <w:p w14:paraId="29DDFFAB">
            <w:pPr>
              <w:spacing w:line="320" w:lineRule="exact"/>
              <w:rPr>
                <w:rFonts w:ascii="仿宋_GB2312" w:hAnsi="仿宋_GB2312" w:eastAsia="仿宋_GB2312" w:cs="仿宋_GB2312"/>
                <w:sz w:val="24"/>
              </w:rPr>
            </w:pPr>
          </w:p>
        </w:tc>
        <w:tc>
          <w:tcPr>
            <w:tcW w:w="2709" w:type="dxa"/>
            <w:gridSpan w:val="4"/>
            <w:vAlign w:val="center"/>
          </w:tcPr>
          <w:p w14:paraId="295BDC19">
            <w:pPr>
              <w:autoSpaceDN w:val="0"/>
              <w:spacing w:line="320" w:lineRule="exact"/>
              <w:ind w:left="720" w:hanging="720" w:hangingChars="3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指标2：发改系统争项争资全市第三</w:t>
            </w:r>
          </w:p>
        </w:tc>
        <w:tc>
          <w:tcPr>
            <w:tcW w:w="2684" w:type="dxa"/>
            <w:gridSpan w:val="6"/>
            <w:vAlign w:val="center"/>
          </w:tcPr>
          <w:p w14:paraId="4C7EA287">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完成目标任务</w:t>
            </w:r>
          </w:p>
        </w:tc>
      </w:tr>
      <w:tr w14:paraId="3A470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449030A0">
            <w:pPr>
              <w:spacing w:line="320" w:lineRule="exact"/>
              <w:rPr>
                <w:rFonts w:ascii="仿宋_GB2312" w:hAnsi="仿宋_GB2312" w:eastAsia="仿宋_GB2312" w:cs="仿宋_GB2312"/>
                <w:sz w:val="24"/>
              </w:rPr>
            </w:pPr>
          </w:p>
        </w:tc>
        <w:tc>
          <w:tcPr>
            <w:tcW w:w="1549" w:type="dxa"/>
            <w:gridSpan w:val="4"/>
            <w:vMerge w:val="continue"/>
            <w:vAlign w:val="center"/>
          </w:tcPr>
          <w:p w14:paraId="45EEEFB3">
            <w:pPr>
              <w:autoSpaceDN w:val="0"/>
              <w:spacing w:line="320" w:lineRule="exact"/>
              <w:rPr>
                <w:rFonts w:ascii="仿宋_GB2312" w:hAnsi="仿宋_GB2312" w:eastAsia="仿宋_GB2312" w:cs="仿宋_GB2312"/>
                <w:sz w:val="24"/>
              </w:rPr>
            </w:pPr>
          </w:p>
        </w:tc>
        <w:tc>
          <w:tcPr>
            <w:tcW w:w="1417" w:type="dxa"/>
            <w:gridSpan w:val="2"/>
            <w:vMerge w:val="restart"/>
            <w:vAlign w:val="center"/>
          </w:tcPr>
          <w:p w14:paraId="7625D8E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14:paraId="554360E8">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指标1：地区生产总值增幅</w:t>
            </w:r>
          </w:p>
        </w:tc>
        <w:tc>
          <w:tcPr>
            <w:tcW w:w="2684" w:type="dxa"/>
            <w:gridSpan w:val="6"/>
            <w:vAlign w:val="center"/>
          </w:tcPr>
          <w:p w14:paraId="35BD6EBE">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完成预期目标任务</w:t>
            </w:r>
          </w:p>
        </w:tc>
      </w:tr>
      <w:tr w14:paraId="70962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14:paraId="21091536">
            <w:pPr>
              <w:spacing w:line="320" w:lineRule="exact"/>
              <w:rPr>
                <w:rFonts w:ascii="仿宋_GB2312" w:hAnsi="仿宋_GB2312" w:eastAsia="仿宋_GB2312" w:cs="仿宋_GB2312"/>
                <w:sz w:val="24"/>
              </w:rPr>
            </w:pPr>
          </w:p>
        </w:tc>
        <w:tc>
          <w:tcPr>
            <w:tcW w:w="1549" w:type="dxa"/>
            <w:gridSpan w:val="4"/>
            <w:vMerge w:val="continue"/>
            <w:vAlign w:val="center"/>
          </w:tcPr>
          <w:p w14:paraId="3D32141C">
            <w:pPr>
              <w:autoSpaceDN w:val="0"/>
              <w:spacing w:line="320" w:lineRule="exact"/>
              <w:rPr>
                <w:rFonts w:ascii="仿宋_GB2312" w:hAnsi="仿宋_GB2312" w:eastAsia="仿宋_GB2312" w:cs="仿宋_GB2312"/>
                <w:sz w:val="24"/>
              </w:rPr>
            </w:pPr>
          </w:p>
        </w:tc>
        <w:tc>
          <w:tcPr>
            <w:tcW w:w="1417" w:type="dxa"/>
            <w:gridSpan w:val="2"/>
            <w:vMerge w:val="continue"/>
            <w:vAlign w:val="center"/>
          </w:tcPr>
          <w:p w14:paraId="53F67DFB">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14:paraId="464819E2">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指标2：固定资产投资增幅</w:t>
            </w:r>
          </w:p>
        </w:tc>
        <w:tc>
          <w:tcPr>
            <w:tcW w:w="2684" w:type="dxa"/>
            <w:gridSpan w:val="6"/>
            <w:vAlign w:val="center"/>
          </w:tcPr>
          <w:p w14:paraId="18A4F8E1">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完成预期目标任务</w:t>
            </w:r>
          </w:p>
        </w:tc>
      </w:tr>
      <w:tr w14:paraId="5FCEB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14:paraId="49EA0CFE">
            <w:pPr>
              <w:spacing w:line="320" w:lineRule="exact"/>
              <w:rPr>
                <w:rFonts w:ascii="仿宋_GB2312" w:hAnsi="仿宋_GB2312" w:eastAsia="仿宋_GB2312" w:cs="仿宋_GB2312"/>
                <w:sz w:val="24"/>
              </w:rPr>
            </w:pPr>
          </w:p>
        </w:tc>
        <w:tc>
          <w:tcPr>
            <w:tcW w:w="1549" w:type="dxa"/>
            <w:gridSpan w:val="4"/>
            <w:vMerge w:val="continue"/>
            <w:vAlign w:val="center"/>
          </w:tcPr>
          <w:p w14:paraId="06AADE53">
            <w:pPr>
              <w:autoSpaceDN w:val="0"/>
              <w:spacing w:line="320" w:lineRule="exact"/>
              <w:rPr>
                <w:rFonts w:ascii="仿宋_GB2312" w:hAnsi="仿宋_GB2312" w:eastAsia="仿宋_GB2312" w:cs="仿宋_GB2312"/>
                <w:sz w:val="24"/>
              </w:rPr>
            </w:pPr>
          </w:p>
        </w:tc>
        <w:tc>
          <w:tcPr>
            <w:tcW w:w="1417" w:type="dxa"/>
            <w:gridSpan w:val="2"/>
            <w:vMerge w:val="continue"/>
            <w:vAlign w:val="center"/>
          </w:tcPr>
          <w:p w14:paraId="1A08E77E">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14:paraId="76790E11">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指标3：城镇居民收入增幅</w:t>
            </w:r>
          </w:p>
        </w:tc>
        <w:tc>
          <w:tcPr>
            <w:tcW w:w="2684" w:type="dxa"/>
            <w:gridSpan w:val="6"/>
            <w:vAlign w:val="center"/>
          </w:tcPr>
          <w:p w14:paraId="773270CC">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完成预期目标任务</w:t>
            </w:r>
          </w:p>
        </w:tc>
      </w:tr>
      <w:tr w14:paraId="0E5E4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3A0281C4">
            <w:pPr>
              <w:spacing w:line="320" w:lineRule="exact"/>
              <w:rPr>
                <w:rFonts w:ascii="仿宋_GB2312" w:hAnsi="仿宋_GB2312" w:eastAsia="仿宋_GB2312" w:cs="仿宋_GB2312"/>
                <w:sz w:val="24"/>
              </w:rPr>
            </w:pPr>
          </w:p>
        </w:tc>
        <w:tc>
          <w:tcPr>
            <w:tcW w:w="1549" w:type="dxa"/>
            <w:gridSpan w:val="4"/>
            <w:vMerge w:val="continue"/>
            <w:vAlign w:val="center"/>
          </w:tcPr>
          <w:p w14:paraId="3A897F0C">
            <w:pPr>
              <w:autoSpaceDN w:val="0"/>
              <w:spacing w:line="320" w:lineRule="exact"/>
              <w:rPr>
                <w:rFonts w:ascii="仿宋_GB2312" w:hAnsi="仿宋_GB2312" w:eastAsia="仿宋_GB2312" w:cs="仿宋_GB2312"/>
                <w:sz w:val="24"/>
              </w:rPr>
            </w:pPr>
          </w:p>
        </w:tc>
        <w:tc>
          <w:tcPr>
            <w:tcW w:w="1417" w:type="dxa"/>
            <w:gridSpan w:val="2"/>
            <w:vMerge w:val="restart"/>
            <w:vAlign w:val="center"/>
          </w:tcPr>
          <w:p w14:paraId="1103030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14:paraId="579FCE4F">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指标1：完成年度计划编制</w:t>
            </w:r>
          </w:p>
        </w:tc>
        <w:tc>
          <w:tcPr>
            <w:tcW w:w="2684" w:type="dxa"/>
            <w:gridSpan w:val="6"/>
            <w:vAlign w:val="center"/>
          </w:tcPr>
          <w:p w14:paraId="29F0C986">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完成预期目标任务</w:t>
            </w:r>
          </w:p>
        </w:tc>
      </w:tr>
      <w:tr w14:paraId="36371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749664D5">
            <w:pPr>
              <w:spacing w:line="320" w:lineRule="exact"/>
              <w:rPr>
                <w:rFonts w:ascii="仿宋_GB2312" w:hAnsi="仿宋_GB2312" w:eastAsia="仿宋_GB2312" w:cs="仿宋_GB2312"/>
                <w:sz w:val="24"/>
              </w:rPr>
            </w:pPr>
          </w:p>
        </w:tc>
        <w:tc>
          <w:tcPr>
            <w:tcW w:w="1549" w:type="dxa"/>
            <w:gridSpan w:val="4"/>
            <w:vMerge w:val="continue"/>
            <w:vAlign w:val="center"/>
          </w:tcPr>
          <w:p w14:paraId="1D3A4627">
            <w:pPr>
              <w:autoSpaceDN w:val="0"/>
              <w:spacing w:line="320" w:lineRule="exact"/>
              <w:rPr>
                <w:rFonts w:ascii="仿宋_GB2312" w:hAnsi="仿宋_GB2312" w:eastAsia="仿宋_GB2312" w:cs="仿宋_GB2312"/>
                <w:sz w:val="24"/>
              </w:rPr>
            </w:pPr>
          </w:p>
        </w:tc>
        <w:tc>
          <w:tcPr>
            <w:tcW w:w="1417" w:type="dxa"/>
            <w:gridSpan w:val="2"/>
            <w:vMerge w:val="continue"/>
            <w:vAlign w:val="center"/>
          </w:tcPr>
          <w:p w14:paraId="00758E36">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14:paraId="1843EA2D">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指标2：监华公铁两用桥</w:t>
            </w:r>
          </w:p>
        </w:tc>
        <w:tc>
          <w:tcPr>
            <w:tcW w:w="2684" w:type="dxa"/>
            <w:gridSpan w:val="6"/>
            <w:vAlign w:val="center"/>
          </w:tcPr>
          <w:p w14:paraId="52DC6618">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按时间节点顺利推进</w:t>
            </w:r>
          </w:p>
        </w:tc>
      </w:tr>
      <w:tr w14:paraId="4FCE8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57A07CA1">
            <w:pPr>
              <w:spacing w:line="320" w:lineRule="exact"/>
              <w:rPr>
                <w:rFonts w:ascii="仿宋_GB2312" w:hAnsi="仿宋_GB2312" w:eastAsia="仿宋_GB2312" w:cs="仿宋_GB2312"/>
                <w:sz w:val="24"/>
              </w:rPr>
            </w:pPr>
          </w:p>
        </w:tc>
        <w:tc>
          <w:tcPr>
            <w:tcW w:w="1549" w:type="dxa"/>
            <w:gridSpan w:val="4"/>
            <w:vMerge w:val="continue"/>
            <w:vAlign w:val="center"/>
          </w:tcPr>
          <w:p w14:paraId="64B4F666">
            <w:pPr>
              <w:autoSpaceDN w:val="0"/>
              <w:spacing w:line="320" w:lineRule="exact"/>
              <w:rPr>
                <w:rFonts w:ascii="仿宋_GB2312" w:hAnsi="仿宋_GB2312" w:eastAsia="仿宋_GB2312" w:cs="仿宋_GB2312"/>
                <w:sz w:val="24"/>
              </w:rPr>
            </w:pPr>
          </w:p>
        </w:tc>
        <w:tc>
          <w:tcPr>
            <w:tcW w:w="1417" w:type="dxa"/>
            <w:gridSpan w:val="2"/>
            <w:vMerge w:val="restart"/>
            <w:vAlign w:val="center"/>
          </w:tcPr>
          <w:p w14:paraId="311A247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14:paraId="73C8E662">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指标1：三公经费控制严格</w:t>
            </w:r>
          </w:p>
        </w:tc>
        <w:tc>
          <w:tcPr>
            <w:tcW w:w="2684" w:type="dxa"/>
            <w:gridSpan w:val="6"/>
            <w:vAlign w:val="center"/>
          </w:tcPr>
          <w:p w14:paraId="15F99EC2">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未超预期目标</w:t>
            </w:r>
          </w:p>
        </w:tc>
      </w:tr>
      <w:tr w14:paraId="790D1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0EB06F6C">
            <w:pPr>
              <w:spacing w:line="320" w:lineRule="exact"/>
              <w:rPr>
                <w:rFonts w:ascii="仿宋_GB2312" w:hAnsi="仿宋_GB2312" w:eastAsia="仿宋_GB2312" w:cs="仿宋_GB2312"/>
                <w:sz w:val="24"/>
              </w:rPr>
            </w:pPr>
          </w:p>
        </w:tc>
        <w:tc>
          <w:tcPr>
            <w:tcW w:w="1549" w:type="dxa"/>
            <w:gridSpan w:val="4"/>
            <w:vMerge w:val="continue"/>
            <w:vAlign w:val="center"/>
          </w:tcPr>
          <w:p w14:paraId="631041AF">
            <w:pPr>
              <w:autoSpaceDN w:val="0"/>
              <w:spacing w:line="320" w:lineRule="exact"/>
              <w:rPr>
                <w:rFonts w:ascii="仿宋_GB2312" w:hAnsi="仿宋_GB2312" w:eastAsia="仿宋_GB2312" w:cs="仿宋_GB2312"/>
                <w:sz w:val="24"/>
              </w:rPr>
            </w:pPr>
          </w:p>
        </w:tc>
        <w:tc>
          <w:tcPr>
            <w:tcW w:w="1417" w:type="dxa"/>
            <w:gridSpan w:val="2"/>
            <w:vMerge w:val="continue"/>
            <w:vAlign w:val="center"/>
          </w:tcPr>
          <w:p w14:paraId="7E850333">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14:paraId="7F12901A">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指标2：项目经费控制严格</w:t>
            </w:r>
          </w:p>
        </w:tc>
        <w:tc>
          <w:tcPr>
            <w:tcW w:w="2684" w:type="dxa"/>
            <w:gridSpan w:val="6"/>
            <w:vAlign w:val="center"/>
          </w:tcPr>
          <w:p w14:paraId="027C07E3">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未超预期目标</w:t>
            </w:r>
          </w:p>
        </w:tc>
      </w:tr>
      <w:tr w14:paraId="19804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0" w:hRule="atLeast"/>
          <w:jc w:val="center"/>
        </w:trPr>
        <w:tc>
          <w:tcPr>
            <w:tcW w:w="1441" w:type="dxa"/>
            <w:vMerge w:val="continue"/>
            <w:vAlign w:val="center"/>
          </w:tcPr>
          <w:p w14:paraId="228894DD">
            <w:pPr>
              <w:spacing w:line="320" w:lineRule="exact"/>
              <w:rPr>
                <w:rFonts w:ascii="仿宋_GB2312" w:hAnsi="仿宋_GB2312" w:eastAsia="仿宋_GB2312" w:cs="仿宋_GB2312"/>
                <w:sz w:val="24"/>
              </w:rPr>
            </w:pPr>
          </w:p>
        </w:tc>
        <w:tc>
          <w:tcPr>
            <w:tcW w:w="1549" w:type="dxa"/>
            <w:gridSpan w:val="4"/>
            <w:vMerge w:val="restart"/>
            <w:vAlign w:val="center"/>
          </w:tcPr>
          <w:p w14:paraId="283FA12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14:paraId="42832C6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Merge w:val="restart"/>
            <w:vAlign w:val="center"/>
          </w:tcPr>
          <w:p w14:paraId="2812253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tcBorders>
              <w:bottom w:val="single" w:color="auto" w:sz="4" w:space="0"/>
            </w:tcBorders>
            <w:vAlign w:val="center"/>
          </w:tcPr>
          <w:p w14:paraId="631ACB35">
            <w:pPr>
              <w:autoSpaceDN w:val="0"/>
              <w:spacing w:line="320" w:lineRule="exact"/>
              <w:ind w:left="840" w:hanging="840" w:hangingChars="35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指标1：经济体制和社会体制改革</w:t>
            </w:r>
          </w:p>
        </w:tc>
        <w:tc>
          <w:tcPr>
            <w:tcW w:w="2684" w:type="dxa"/>
            <w:gridSpan w:val="6"/>
            <w:tcBorders>
              <w:bottom w:val="single" w:color="auto" w:sz="4" w:space="0"/>
            </w:tcBorders>
            <w:vAlign w:val="center"/>
          </w:tcPr>
          <w:p w14:paraId="28298059">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完成年度目标任务</w:t>
            </w:r>
          </w:p>
        </w:tc>
      </w:tr>
      <w:tr w14:paraId="1B251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90" w:hRule="atLeast"/>
          <w:jc w:val="center"/>
        </w:trPr>
        <w:tc>
          <w:tcPr>
            <w:tcW w:w="1441" w:type="dxa"/>
            <w:vMerge w:val="continue"/>
            <w:vAlign w:val="center"/>
          </w:tcPr>
          <w:p w14:paraId="4F5F4A89">
            <w:pPr>
              <w:spacing w:line="320" w:lineRule="exact"/>
              <w:rPr>
                <w:rFonts w:ascii="仿宋_GB2312" w:hAnsi="仿宋_GB2312" w:eastAsia="仿宋_GB2312" w:cs="仿宋_GB2312"/>
                <w:sz w:val="24"/>
              </w:rPr>
            </w:pPr>
          </w:p>
        </w:tc>
        <w:tc>
          <w:tcPr>
            <w:tcW w:w="1549" w:type="dxa"/>
            <w:gridSpan w:val="4"/>
            <w:vMerge w:val="continue"/>
            <w:vAlign w:val="center"/>
          </w:tcPr>
          <w:p w14:paraId="0B72B3C8">
            <w:pPr>
              <w:autoSpaceDN w:val="0"/>
              <w:spacing w:line="320" w:lineRule="exact"/>
              <w:jc w:val="center"/>
              <w:textAlignment w:val="center"/>
              <w:rPr>
                <w:rFonts w:ascii="仿宋_GB2312" w:hAnsi="仿宋_GB2312" w:eastAsia="仿宋_GB2312" w:cs="仿宋_GB2312"/>
                <w:color w:val="000000"/>
                <w:sz w:val="24"/>
              </w:rPr>
            </w:pPr>
          </w:p>
        </w:tc>
        <w:tc>
          <w:tcPr>
            <w:tcW w:w="1417" w:type="dxa"/>
            <w:gridSpan w:val="2"/>
            <w:vMerge w:val="continue"/>
            <w:vAlign w:val="center"/>
          </w:tcPr>
          <w:p w14:paraId="109487D1">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tcBorders>
              <w:top w:val="single" w:color="auto" w:sz="4" w:space="0"/>
              <w:bottom w:val="single" w:color="auto" w:sz="4" w:space="0"/>
            </w:tcBorders>
            <w:vAlign w:val="center"/>
          </w:tcPr>
          <w:p w14:paraId="2173DD3B">
            <w:pPr>
              <w:autoSpaceDN w:val="0"/>
              <w:spacing w:line="320" w:lineRule="exact"/>
              <w:ind w:left="840" w:hanging="840" w:hangingChars="35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指标2：成本调查和市场监测</w:t>
            </w:r>
          </w:p>
        </w:tc>
        <w:tc>
          <w:tcPr>
            <w:tcW w:w="2684" w:type="dxa"/>
            <w:gridSpan w:val="6"/>
            <w:tcBorders>
              <w:top w:val="single" w:color="auto" w:sz="4" w:space="0"/>
              <w:bottom w:val="single" w:color="auto" w:sz="4" w:space="0"/>
            </w:tcBorders>
            <w:vAlign w:val="center"/>
          </w:tcPr>
          <w:p w14:paraId="3E0E7327">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完成年度目标任务</w:t>
            </w:r>
          </w:p>
        </w:tc>
      </w:tr>
      <w:tr w14:paraId="64501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60" w:hRule="atLeast"/>
          <w:jc w:val="center"/>
        </w:trPr>
        <w:tc>
          <w:tcPr>
            <w:tcW w:w="1441" w:type="dxa"/>
            <w:vMerge w:val="continue"/>
            <w:vAlign w:val="center"/>
          </w:tcPr>
          <w:p w14:paraId="0A718429">
            <w:pPr>
              <w:spacing w:line="320" w:lineRule="exact"/>
              <w:rPr>
                <w:rFonts w:ascii="仿宋_GB2312" w:hAnsi="仿宋_GB2312" w:eastAsia="仿宋_GB2312" w:cs="仿宋_GB2312"/>
                <w:sz w:val="24"/>
              </w:rPr>
            </w:pPr>
          </w:p>
        </w:tc>
        <w:tc>
          <w:tcPr>
            <w:tcW w:w="1549" w:type="dxa"/>
            <w:gridSpan w:val="4"/>
            <w:vMerge w:val="continue"/>
            <w:vAlign w:val="center"/>
          </w:tcPr>
          <w:p w14:paraId="43CB66D0">
            <w:pPr>
              <w:autoSpaceDN w:val="0"/>
              <w:spacing w:line="320" w:lineRule="exact"/>
              <w:rPr>
                <w:rFonts w:ascii="仿宋_GB2312" w:hAnsi="仿宋_GB2312" w:eastAsia="仿宋_GB2312" w:cs="仿宋_GB2312"/>
                <w:sz w:val="24"/>
              </w:rPr>
            </w:pPr>
          </w:p>
        </w:tc>
        <w:tc>
          <w:tcPr>
            <w:tcW w:w="1417" w:type="dxa"/>
            <w:gridSpan w:val="2"/>
            <w:vMerge w:val="restart"/>
            <w:vAlign w:val="center"/>
          </w:tcPr>
          <w:p w14:paraId="7A7A6E3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tcBorders>
              <w:bottom w:val="single" w:color="auto" w:sz="4" w:space="0"/>
            </w:tcBorders>
            <w:vAlign w:val="center"/>
          </w:tcPr>
          <w:p w14:paraId="32F13C7E">
            <w:pPr>
              <w:autoSpaceDN w:val="0"/>
              <w:spacing w:line="320" w:lineRule="exact"/>
              <w:ind w:left="840" w:hanging="840" w:hangingChars="35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指标1：全县争项争资37.02亿元</w:t>
            </w:r>
          </w:p>
        </w:tc>
        <w:tc>
          <w:tcPr>
            <w:tcW w:w="2684" w:type="dxa"/>
            <w:gridSpan w:val="6"/>
            <w:tcBorders>
              <w:bottom w:val="single" w:color="auto" w:sz="4" w:space="0"/>
            </w:tcBorders>
            <w:vAlign w:val="center"/>
          </w:tcPr>
          <w:p w14:paraId="4178AD4C">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完成年度目标任务</w:t>
            </w:r>
          </w:p>
        </w:tc>
      </w:tr>
      <w:tr w14:paraId="3B67F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70" w:hRule="atLeast"/>
          <w:jc w:val="center"/>
        </w:trPr>
        <w:tc>
          <w:tcPr>
            <w:tcW w:w="1441" w:type="dxa"/>
            <w:vMerge w:val="continue"/>
            <w:vAlign w:val="center"/>
          </w:tcPr>
          <w:p w14:paraId="6E9AC6D3">
            <w:pPr>
              <w:spacing w:line="320" w:lineRule="exact"/>
              <w:rPr>
                <w:rFonts w:ascii="仿宋_GB2312" w:hAnsi="仿宋_GB2312" w:eastAsia="仿宋_GB2312" w:cs="仿宋_GB2312"/>
                <w:sz w:val="24"/>
              </w:rPr>
            </w:pPr>
          </w:p>
        </w:tc>
        <w:tc>
          <w:tcPr>
            <w:tcW w:w="1549" w:type="dxa"/>
            <w:gridSpan w:val="4"/>
            <w:vMerge w:val="continue"/>
            <w:vAlign w:val="center"/>
          </w:tcPr>
          <w:p w14:paraId="2B084483">
            <w:pPr>
              <w:autoSpaceDN w:val="0"/>
              <w:spacing w:line="320" w:lineRule="exact"/>
              <w:rPr>
                <w:rFonts w:ascii="仿宋_GB2312" w:hAnsi="仿宋_GB2312" w:eastAsia="仿宋_GB2312" w:cs="仿宋_GB2312"/>
                <w:sz w:val="24"/>
              </w:rPr>
            </w:pPr>
          </w:p>
        </w:tc>
        <w:tc>
          <w:tcPr>
            <w:tcW w:w="1417" w:type="dxa"/>
            <w:gridSpan w:val="2"/>
            <w:vMerge w:val="continue"/>
            <w:vAlign w:val="center"/>
          </w:tcPr>
          <w:p w14:paraId="60A5266C">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tcBorders>
              <w:top w:val="single" w:color="auto" w:sz="4" w:space="0"/>
              <w:bottom w:val="single" w:color="auto" w:sz="4" w:space="0"/>
            </w:tcBorders>
            <w:vAlign w:val="center"/>
          </w:tcPr>
          <w:p w14:paraId="5AE7258C">
            <w:pPr>
              <w:autoSpaceDN w:val="0"/>
              <w:spacing w:line="320" w:lineRule="exact"/>
              <w:ind w:left="600" w:hanging="600" w:hangingChars="25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指标2：发改系统争项争资全市第三</w:t>
            </w:r>
          </w:p>
        </w:tc>
        <w:tc>
          <w:tcPr>
            <w:tcW w:w="2684" w:type="dxa"/>
            <w:gridSpan w:val="6"/>
            <w:tcBorders>
              <w:top w:val="single" w:color="auto" w:sz="4" w:space="0"/>
              <w:bottom w:val="single" w:color="auto" w:sz="4" w:space="0"/>
            </w:tcBorders>
            <w:vAlign w:val="center"/>
          </w:tcPr>
          <w:p w14:paraId="3A1DFB3F">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完成年度目标任务</w:t>
            </w:r>
          </w:p>
        </w:tc>
      </w:tr>
      <w:tr w14:paraId="33DC4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75" w:hRule="atLeast"/>
          <w:jc w:val="center"/>
        </w:trPr>
        <w:tc>
          <w:tcPr>
            <w:tcW w:w="1441" w:type="dxa"/>
            <w:vMerge w:val="continue"/>
            <w:vAlign w:val="center"/>
          </w:tcPr>
          <w:p w14:paraId="3F3ABE14">
            <w:pPr>
              <w:spacing w:line="320" w:lineRule="exact"/>
              <w:rPr>
                <w:rFonts w:ascii="仿宋_GB2312" w:hAnsi="仿宋_GB2312" w:eastAsia="仿宋_GB2312" w:cs="仿宋_GB2312"/>
                <w:sz w:val="24"/>
              </w:rPr>
            </w:pPr>
          </w:p>
        </w:tc>
        <w:tc>
          <w:tcPr>
            <w:tcW w:w="1549" w:type="dxa"/>
            <w:gridSpan w:val="4"/>
            <w:vMerge w:val="continue"/>
            <w:vAlign w:val="center"/>
          </w:tcPr>
          <w:p w14:paraId="3C08DDA2">
            <w:pPr>
              <w:autoSpaceDN w:val="0"/>
              <w:spacing w:line="320" w:lineRule="exact"/>
              <w:rPr>
                <w:rFonts w:ascii="仿宋_GB2312" w:hAnsi="仿宋_GB2312" w:eastAsia="仿宋_GB2312" w:cs="仿宋_GB2312"/>
                <w:sz w:val="24"/>
              </w:rPr>
            </w:pPr>
          </w:p>
        </w:tc>
        <w:tc>
          <w:tcPr>
            <w:tcW w:w="1417" w:type="dxa"/>
            <w:gridSpan w:val="2"/>
            <w:vMerge w:val="restart"/>
            <w:vAlign w:val="center"/>
          </w:tcPr>
          <w:p w14:paraId="579EC03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tcBorders>
              <w:bottom w:val="single" w:color="auto" w:sz="4" w:space="0"/>
            </w:tcBorders>
            <w:vAlign w:val="center"/>
          </w:tcPr>
          <w:p w14:paraId="027D40FA">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指标1：节能减排全市第二</w:t>
            </w:r>
          </w:p>
        </w:tc>
        <w:tc>
          <w:tcPr>
            <w:tcW w:w="2684" w:type="dxa"/>
            <w:gridSpan w:val="6"/>
            <w:tcBorders>
              <w:bottom w:val="single" w:color="auto" w:sz="4" w:space="0"/>
            </w:tcBorders>
            <w:vAlign w:val="center"/>
          </w:tcPr>
          <w:p w14:paraId="69A9D798">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完成年度目标任务</w:t>
            </w:r>
          </w:p>
        </w:tc>
      </w:tr>
      <w:tr w14:paraId="22ADD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96" w:hRule="atLeast"/>
          <w:jc w:val="center"/>
        </w:trPr>
        <w:tc>
          <w:tcPr>
            <w:tcW w:w="1441" w:type="dxa"/>
            <w:vMerge w:val="continue"/>
            <w:vAlign w:val="center"/>
          </w:tcPr>
          <w:p w14:paraId="16A4AECC">
            <w:pPr>
              <w:spacing w:line="320" w:lineRule="exact"/>
              <w:rPr>
                <w:rFonts w:ascii="仿宋_GB2312" w:hAnsi="仿宋_GB2312" w:eastAsia="仿宋_GB2312" w:cs="仿宋_GB2312"/>
                <w:sz w:val="24"/>
              </w:rPr>
            </w:pPr>
          </w:p>
        </w:tc>
        <w:tc>
          <w:tcPr>
            <w:tcW w:w="1549" w:type="dxa"/>
            <w:gridSpan w:val="4"/>
            <w:vMerge w:val="continue"/>
            <w:vAlign w:val="center"/>
          </w:tcPr>
          <w:p w14:paraId="28160134">
            <w:pPr>
              <w:autoSpaceDN w:val="0"/>
              <w:spacing w:line="320" w:lineRule="exact"/>
              <w:rPr>
                <w:rFonts w:ascii="仿宋_GB2312" w:hAnsi="仿宋_GB2312" w:eastAsia="仿宋_GB2312" w:cs="仿宋_GB2312"/>
                <w:sz w:val="24"/>
              </w:rPr>
            </w:pPr>
          </w:p>
        </w:tc>
        <w:tc>
          <w:tcPr>
            <w:tcW w:w="1417" w:type="dxa"/>
            <w:gridSpan w:val="2"/>
            <w:vMerge w:val="continue"/>
            <w:vAlign w:val="center"/>
          </w:tcPr>
          <w:p w14:paraId="5CF40E6F">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tcBorders>
              <w:top w:val="single" w:color="auto" w:sz="4" w:space="0"/>
              <w:bottom w:val="single" w:color="auto" w:sz="4" w:space="0"/>
            </w:tcBorders>
            <w:vAlign w:val="center"/>
          </w:tcPr>
          <w:p w14:paraId="4A0EA950">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指标2：易地扶贫搬迁</w:t>
            </w:r>
          </w:p>
        </w:tc>
        <w:tc>
          <w:tcPr>
            <w:tcW w:w="2684" w:type="dxa"/>
            <w:gridSpan w:val="6"/>
            <w:tcBorders>
              <w:top w:val="single" w:color="auto" w:sz="4" w:space="0"/>
              <w:bottom w:val="single" w:color="auto" w:sz="4" w:space="0"/>
            </w:tcBorders>
            <w:vAlign w:val="center"/>
          </w:tcPr>
          <w:p w14:paraId="5332A917">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完成年度目标任务</w:t>
            </w:r>
          </w:p>
        </w:tc>
      </w:tr>
      <w:tr w14:paraId="700F2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30" w:hRule="atLeast"/>
          <w:jc w:val="center"/>
        </w:trPr>
        <w:tc>
          <w:tcPr>
            <w:tcW w:w="1441" w:type="dxa"/>
            <w:vMerge w:val="continue"/>
            <w:vAlign w:val="center"/>
          </w:tcPr>
          <w:p w14:paraId="77BFFEAF">
            <w:pPr>
              <w:spacing w:line="320" w:lineRule="exact"/>
              <w:rPr>
                <w:rFonts w:ascii="仿宋_GB2312" w:hAnsi="仿宋_GB2312" w:eastAsia="仿宋_GB2312" w:cs="仿宋_GB2312"/>
                <w:sz w:val="24"/>
              </w:rPr>
            </w:pPr>
          </w:p>
        </w:tc>
        <w:tc>
          <w:tcPr>
            <w:tcW w:w="1549" w:type="dxa"/>
            <w:gridSpan w:val="4"/>
            <w:vMerge w:val="continue"/>
            <w:vAlign w:val="center"/>
          </w:tcPr>
          <w:p w14:paraId="792FC955">
            <w:pPr>
              <w:autoSpaceDN w:val="0"/>
              <w:spacing w:line="320" w:lineRule="exact"/>
              <w:rPr>
                <w:rFonts w:ascii="仿宋_GB2312" w:hAnsi="仿宋_GB2312" w:eastAsia="仿宋_GB2312" w:cs="仿宋_GB2312"/>
                <w:sz w:val="24"/>
              </w:rPr>
            </w:pPr>
          </w:p>
        </w:tc>
        <w:tc>
          <w:tcPr>
            <w:tcW w:w="1417" w:type="dxa"/>
            <w:gridSpan w:val="2"/>
            <w:vMerge w:val="restart"/>
            <w:vAlign w:val="center"/>
          </w:tcPr>
          <w:p w14:paraId="4A8B98B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tcBorders>
              <w:bottom w:val="single" w:color="auto" w:sz="4" w:space="0"/>
            </w:tcBorders>
            <w:vAlign w:val="center"/>
          </w:tcPr>
          <w:p w14:paraId="6D5FB3AF">
            <w:pPr>
              <w:autoSpaceDN w:val="0"/>
              <w:spacing w:line="320" w:lineRule="exact"/>
              <w:ind w:left="960" w:hanging="960" w:hangingChars="4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指标1：行政审批、优化经济环境</w:t>
            </w:r>
          </w:p>
        </w:tc>
        <w:tc>
          <w:tcPr>
            <w:tcW w:w="2684" w:type="dxa"/>
            <w:gridSpan w:val="6"/>
            <w:tcBorders>
              <w:bottom w:val="single" w:color="auto" w:sz="4" w:space="0"/>
            </w:tcBorders>
            <w:vAlign w:val="center"/>
          </w:tcPr>
          <w:p w14:paraId="6828CE9E">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社会公众满意度95%以上</w:t>
            </w:r>
          </w:p>
        </w:tc>
      </w:tr>
      <w:tr w14:paraId="6E9A5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60" w:hRule="atLeast"/>
          <w:jc w:val="center"/>
        </w:trPr>
        <w:tc>
          <w:tcPr>
            <w:tcW w:w="1441" w:type="dxa"/>
            <w:vMerge w:val="continue"/>
            <w:vAlign w:val="center"/>
          </w:tcPr>
          <w:p w14:paraId="5E4499F7">
            <w:pPr>
              <w:spacing w:line="320" w:lineRule="exact"/>
              <w:rPr>
                <w:rFonts w:ascii="仿宋_GB2312" w:hAnsi="仿宋_GB2312" w:eastAsia="仿宋_GB2312" w:cs="仿宋_GB2312"/>
                <w:sz w:val="24"/>
              </w:rPr>
            </w:pPr>
          </w:p>
        </w:tc>
        <w:tc>
          <w:tcPr>
            <w:tcW w:w="1549" w:type="dxa"/>
            <w:gridSpan w:val="4"/>
            <w:vMerge w:val="continue"/>
            <w:vAlign w:val="center"/>
          </w:tcPr>
          <w:p w14:paraId="51C41904">
            <w:pPr>
              <w:autoSpaceDN w:val="0"/>
              <w:spacing w:line="320" w:lineRule="exact"/>
              <w:rPr>
                <w:rFonts w:ascii="仿宋_GB2312" w:hAnsi="仿宋_GB2312" w:eastAsia="仿宋_GB2312" w:cs="仿宋_GB2312"/>
                <w:sz w:val="24"/>
              </w:rPr>
            </w:pPr>
          </w:p>
        </w:tc>
        <w:tc>
          <w:tcPr>
            <w:tcW w:w="1417" w:type="dxa"/>
            <w:gridSpan w:val="2"/>
            <w:vMerge w:val="continue"/>
            <w:vAlign w:val="center"/>
          </w:tcPr>
          <w:p w14:paraId="6D84B063">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tcBorders>
              <w:top w:val="single" w:color="auto" w:sz="4" w:space="0"/>
              <w:bottom w:val="single" w:color="auto" w:sz="4" w:space="0"/>
            </w:tcBorders>
            <w:vAlign w:val="center"/>
          </w:tcPr>
          <w:p w14:paraId="5B15A3BD">
            <w:pPr>
              <w:autoSpaceDN w:val="0"/>
              <w:spacing w:line="320" w:lineRule="exact"/>
              <w:ind w:left="720" w:hanging="720" w:hangingChars="3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指标2：价格收费管理涉案物认证工作</w:t>
            </w:r>
          </w:p>
        </w:tc>
        <w:tc>
          <w:tcPr>
            <w:tcW w:w="2684" w:type="dxa"/>
            <w:gridSpan w:val="6"/>
            <w:tcBorders>
              <w:top w:val="single" w:color="auto" w:sz="4" w:space="0"/>
              <w:bottom w:val="single" w:color="auto" w:sz="4" w:space="0"/>
            </w:tcBorders>
            <w:vAlign w:val="center"/>
          </w:tcPr>
          <w:p w14:paraId="0084C8EF">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社会公众满意度95%以</w:t>
            </w:r>
          </w:p>
        </w:tc>
      </w:tr>
      <w:tr w14:paraId="05AD4C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14:paraId="2F81C16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14:paraId="290B42E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97.5分</w:t>
            </w:r>
          </w:p>
        </w:tc>
      </w:tr>
      <w:tr w14:paraId="479FE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14:paraId="22E1CCA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14:paraId="4C73E753">
            <w:pPr>
              <w:autoSpaceDN w:val="0"/>
              <w:spacing w:line="320" w:lineRule="exact"/>
              <w:jc w:val="center"/>
              <w:textAlignment w:val="center"/>
              <w:rPr>
                <w:rFonts w:ascii="仿宋_GB2312" w:hAnsi="仿宋_GB2312" w:eastAsia="仿宋_GB2312" w:cs="仿宋_GB2312"/>
                <w:color w:val="000000"/>
                <w:sz w:val="24"/>
              </w:rPr>
            </w:pPr>
          </w:p>
        </w:tc>
      </w:tr>
      <w:tr w14:paraId="52C8EA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14:paraId="78CE5900">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14:paraId="7186D9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14:paraId="735D89D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14:paraId="11C3C12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14:paraId="42A7925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14:paraId="6D067C5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14:paraId="0A321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14:paraId="5AC1DC2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张杰勇</w:t>
            </w:r>
          </w:p>
        </w:tc>
        <w:tc>
          <w:tcPr>
            <w:tcW w:w="3561" w:type="dxa"/>
            <w:gridSpan w:val="6"/>
            <w:vAlign w:val="center"/>
          </w:tcPr>
          <w:p w14:paraId="26D933C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副局长</w:t>
            </w:r>
          </w:p>
        </w:tc>
        <w:tc>
          <w:tcPr>
            <w:tcW w:w="1479" w:type="dxa"/>
            <w:vAlign w:val="center"/>
          </w:tcPr>
          <w:p w14:paraId="56B7E12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发改局</w:t>
            </w:r>
          </w:p>
        </w:tc>
        <w:tc>
          <w:tcPr>
            <w:tcW w:w="3106" w:type="dxa"/>
            <w:gridSpan w:val="8"/>
            <w:vAlign w:val="center"/>
          </w:tcPr>
          <w:p w14:paraId="677D16E7">
            <w:pPr>
              <w:autoSpaceDN w:val="0"/>
              <w:spacing w:line="320" w:lineRule="exact"/>
              <w:jc w:val="center"/>
              <w:textAlignment w:val="center"/>
              <w:rPr>
                <w:rFonts w:ascii="仿宋_GB2312" w:hAnsi="仿宋_GB2312" w:eastAsia="仿宋_GB2312" w:cs="仿宋_GB2312"/>
                <w:color w:val="000000"/>
                <w:sz w:val="24"/>
              </w:rPr>
            </w:pPr>
          </w:p>
        </w:tc>
      </w:tr>
      <w:tr w14:paraId="77F77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14:paraId="18DE146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吴  晓</w:t>
            </w:r>
          </w:p>
        </w:tc>
        <w:tc>
          <w:tcPr>
            <w:tcW w:w="3561" w:type="dxa"/>
            <w:gridSpan w:val="6"/>
            <w:vAlign w:val="center"/>
          </w:tcPr>
          <w:p w14:paraId="3678B6D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办公室主任</w:t>
            </w:r>
          </w:p>
        </w:tc>
        <w:tc>
          <w:tcPr>
            <w:tcW w:w="1479" w:type="dxa"/>
            <w:vAlign w:val="center"/>
          </w:tcPr>
          <w:p w14:paraId="0E32E47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发改局</w:t>
            </w:r>
          </w:p>
        </w:tc>
        <w:tc>
          <w:tcPr>
            <w:tcW w:w="3106" w:type="dxa"/>
            <w:gridSpan w:val="8"/>
            <w:vAlign w:val="center"/>
          </w:tcPr>
          <w:p w14:paraId="7DC38926">
            <w:pPr>
              <w:autoSpaceDN w:val="0"/>
              <w:spacing w:line="320" w:lineRule="exact"/>
              <w:jc w:val="center"/>
              <w:textAlignment w:val="center"/>
              <w:rPr>
                <w:rFonts w:ascii="仿宋_GB2312" w:hAnsi="仿宋_GB2312" w:eastAsia="仿宋_GB2312" w:cs="仿宋_GB2312"/>
                <w:color w:val="000000"/>
                <w:sz w:val="24"/>
              </w:rPr>
            </w:pPr>
          </w:p>
        </w:tc>
      </w:tr>
      <w:tr w14:paraId="6DBFF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14:paraId="1899BE2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钟  孝</w:t>
            </w:r>
          </w:p>
        </w:tc>
        <w:tc>
          <w:tcPr>
            <w:tcW w:w="3561" w:type="dxa"/>
            <w:gridSpan w:val="6"/>
            <w:vAlign w:val="center"/>
          </w:tcPr>
          <w:p w14:paraId="188A0D8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投资股股长</w:t>
            </w:r>
          </w:p>
        </w:tc>
        <w:tc>
          <w:tcPr>
            <w:tcW w:w="1479" w:type="dxa"/>
            <w:vAlign w:val="center"/>
          </w:tcPr>
          <w:p w14:paraId="5888933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发改局</w:t>
            </w:r>
          </w:p>
        </w:tc>
        <w:tc>
          <w:tcPr>
            <w:tcW w:w="3106" w:type="dxa"/>
            <w:gridSpan w:val="8"/>
            <w:vAlign w:val="center"/>
          </w:tcPr>
          <w:p w14:paraId="4320762D">
            <w:pPr>
              <w:autoSpaceDN w:val="0"/>
              <w:spacing w:line="320" w:lineRule="exact"/>
              <w:jc w:val="center"/>
              <w:textAlignment w:val="center"/>
              <w:rPr>
                <w:rFonts w:ascii="仿宋_GB2312" w:hAnsi="仿宋_GB2312" w:eastAsia="仿宋_GB2312" w:cs="仿宋_GB2312"/>
                <w:color w:val="000000"/>
                <w:sz w:val="24"/>
              </w:rPr>
            </w:pPr>
          </w:p>
        </w:tc>
      </w:tr>
      <w:tr w14:paraId="59F29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14:paraId="2F0B79F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黎丽萍</w:t>
            </w:r>
          </w:p>
        </w:tc>
        <w:tc>
          <w:tcPr>
            <w:tcW w:w="3561" w:type="dxa"/>
            <w:gridSpan w:val="6"/>
            <w:vAlign w:val="center"/>
          </w:tcPr>
          <w:p w14:paraId="4EE37C9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办公室副主任</w:t>
            </w:r>
          </w:p>
        </w:tc>
        <w:tc>
          <w:tcPr>
            <w:tcW w:w="1479" w:type="dxa"/>
            <w:vAlign w:val="center"/>
          </w:tcPr>
          <w:p w14:paraId="407DD68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发改局</w:t>
            </w:r>
          </w:p>
        </w:tc>
        <w:tc>
          <w:tcPr>
            <w:tcW w:w="3106" w:type="dxa"/>
            <w:gridSpan w:val="8"/>
            <w:vAlign w:val="center"/>
          </w:tcPr>
          <w:p w14:paraId="5C84E432">
            <w:pPr>
              <w:autoSpaceDN w:val="0"/>
              <w:spacing w:line="320" w:lineRule="exact"/>
              <w:jc w:val="center"/>
              <w:textAlignment w:val="center"/>
              <w:rPr>
                <w:rFonts w:ascii="仿宋_GB2312" w:hAnsi="仿宋_GB2312" w:eastAsia="仿宋_GB2312" w:cs="仿宋_GB2312"/>
                <w:color w:val="000000"/>
                <w:sz w:val="24"/>
              </w:rPr>
            </w:pPr>
          </w:p>
        </w:tc>
      </w:tr>
      <w:tr w14:paraId="7D7D5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091" w:hRule="atLeast"/>
          <w:jc w:val="center"/>
        </w:trPr>
        <w:tc>
          <w:tcPr>
            <w:tcW w:w="9800" w:type="dxa"/>
            <w:gridSpan w:val="17"/>
            <w:vAlign w:val="center"/>
          </w:tcPr>
          <w:p w14:paraId="70CC79C7">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14:paraId="0C121207">
            <w:pPr>
              <w:autoSpaceDN w:val="0"/>
              <w:spacing w:line="320" w:lineRule="exact"/>
              <w:jc w:val="left"/>
              <w:textAlignment w:val="center"/>
              <w:rPr>
                <w:rFonts w:ascii="仿宋_GB2312" w:hAnsi="仿宋_GB2312" w:eastAsia="仿宋_GB2312" w:cs="仿宋_GB2312"/>
                <w:color w:val="000000"/>
                <w:sz w:val="24"/>
              </w:rPr>
            </w:pPr>
          </w:p>
          <w:p w14:paraId="67BCFA4D">
            <w:pPr>
              <w:autoSpaceDN w:val="0"/>
              <w:spacing w:line="320" w:lineRule="exact"/>
              <w:jc w:val="left"/>
              <w:textAlignment w:val="center"/>
              <w:rPr>
                <w:rFonts w:ascii="仿宋_GB2312" w:hAnsi="仿宋_GB2312" w:eastAsia="仿宋_GB2312" w:cs="仿宋_GB2312"/>
                <w:color w:val="000000"/>
                <w:sz w:val="24"/>
              </w:rPr>
            </w:pPr>
          </w:p>
          <w:p w14:paraId="77A922F8">
            <w:pPr>
              <w:autoSpaceDN w:val="0"/>
              <w:spacing w:line="320" w:lineRule="exact"/>
              <w:jc w:val="left"/>
              <w:textAlignment w:val="center"/>
              <w:rPr>
                <w:rFonts w:ascii="仿宋_GB2312" w:hAnsi="仿宋_GB2312" w:eastAsia="仿宋_GB2312" w:cs="仿宋_GB2312"/>
                <w:color w:val="000000"/>
                <w:sz w:val="24"/>
              </w:rPr>
            </w:pPr>
          </w:p>
          <w:p w14:paraId="4B463674">
            <w:pPr>
              <w:autoSpaceDN w:val="0"/>
              <w:spacing w:line="320" w:lineRule="exact"/>
              <w:jc w:val="left"/>
              <w:textAlignment w:val="center"/>
              <w:rPr>
                <w:rFonts w:ascii="仿宋_GB2312" w:hAnsi="仿宋_GB2312" w:eastAsia="仿宋_GB2312" w:cs="仿宋_GB2312"/>
                <w:color w:val="000000"/>
                <w:sz w:val="24"/>
              </w:rPr>
            </w:pPr>
          </w:p>
          <w:p w14:paraId="4513906E">
            <w:pPr>
              <w:autoSpaceDN w:val="0"/>
              <w:spacing w:line="320" w:lineRule="exact"/>
              <w:jc w:val="left"/>
              <w:textAlignment w:val="center"/>
              <w:rPr>
                <w:rFonts w:ascii="仿宋_GB2312" w:hAnsi="仿宋_GB2312" w:eastAsia="仿宋_GB2312" w:cs="仿宋_GB2312"/>
                <w:color w:val="000000"/>
                <w:sz w:val="24"/>
              </w:rPr>
            </w:pPr>
          </w:p>
          <w:p w14:paraId="36C27090">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14:paraId="51C7F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127" w:hRule="atLeast"/>
          <w:jc w:val="center"/>
        </w:trPr>
        <w:tc>
          <w:tcPr>
            <w:tcW w:w="9800" w:type="dxa"/>
            <w:gridSpan w:val="17"/>
            <w:vAlign w:val="center"/>
          </w:tcPr>
          <w:p w14:paraId="236D2702">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14:paraId="6A9B2A97">
            <w:pPr>
              <w:autoSpaceDN w:val="0"/>
              <w:spacing w:line="320" w:lineRule="exact"/>
              <w:jc w:val="left"/>
              <w:textAlignment w:val="center"/>
              <w:rPr>
                <w:rFonts w:ascii="仿宋_GB2312" w:hAnsi="仿宋_GB2312" w:eastAsia="仿宋_GB2312" w:cs="仿宋_GB2312"/>
                <w:color w:val="000000"/>
                <w:sz w:val="24"/>
              </w:rPr>
            </w:pPr>
          </w:p>
          <w:p w14:paraId="3C0992EF">
            <w:pPr>
              <w:autoSpaceDN w:val="0"/>
              <w:spacing w:line="320" w:lineRule="exact"/>
              <w:jc w:val="left"/>
              <w:textAlignment w:val="center"/>
              <w:rPr>
                <w:rFonts w:ascii="仿宋_GB2312" w:hAnsi="仿宋_GB2312" w:eastAsia="仿宋_GB2312" w:cs="仿宋_GB2312"/>
                <w:color w:val="000000"/>
                <w:sz w:val="24"/>
              </w:rPr>
            </w:pPr>
          </w:p>
          <w:p w14:paraId="502A1922">
            <w:pPr>
              <w:autoSpaceDN w:val="0"/>
              <w:spacing w:line="320" w:lineRule="exact"/>
              <w:jc w:val="left"/>
              <w:textAlignment w:val="center"/>
              <w:rPr>
                <w:rFonts w:ascii="仿宋_GB2312" w:hAnsi="仿宋_GB2312" w:eastAsia="仿宋_GB2312" w:cs="仿宋_GB2312"/>
                <w:color w:val="000000"/>
                <w:sz w:val="24"/>
              </w:rPr>
            </w:pPr>
          </w:p>
          <w:p w14:paraId="1510F2B2">
            <w:pPr>
              <w:autoSpaceDN w:val="0"/>
              <w:spacing w:line="320" w:lineRule="exact"/>
              <w:jc w:val="left"/>
              <w:textAlignment w:val="center"/>
              <w:rPr>
                <w:rFonts w:ascii="仿宋_GB2312" w:hAnsi="仿宋_GB2312" w:eastAsia="仿宋_GB2312" w:cs="仿宋_GB2312"/>
                <w:color w:val="000000"/>
                <w:sz w:val="24"/>
              </w:rPr>
            </w:pPr>
          </w:p>
          <w:p w14:paraId="5D291BAF">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14:paraId="18C29AA3">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14:paraId="6675E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570" w:hRule="atLeast"/>
          <w:jc w:val="center"/>
        </w:trPr>
        <w:tc>
          <w:tcPr>
            <w:tcW w:w="9800" w:type="dxa"/>
            <w:gridSpan w:val="17"/>
            <w:vAlign w:val="center"/>
          </w:tcPr>
          <w:p w14:paraId="30BA4BC7">
            <w:pPr>
              <w:spacing w:line="320" w:lineRule="exact"/>
              <w:rPr>
                <w:rFonts w:eastAsia="仿宋_GB2312"/>
                <w:sz w:val="24"/>
              </w:rPr>
            </w:pPr>
            <w:r>
              <w:rPr>
                <w:rFonts w:hint="eastAsia" w:eastAsia="仿宋_GB2312"/>
                <w:sz w:val="24"/>
              </w:rPr>
              <w:t>财政部门归口业务科室意见：</w:t>
            </w:r>
          </w:p>
          <w:p w14:paraId="4773C917">
            <w:pPr>
              <w:spacing w:line="320" w:lineRule="exact"/>
              <w:rPr>
                <w:rFonts w:eastAsia="仿宋_GB2312"/>
                <w:sz w:val="24"/>
              </w:rPr>
            </w:pPr>
          </w:p>
          <w:p w14:paraId="3E39B852">
            <w:pPr>
              <w:spacing w:line="320" w:lineRule="exact"/>
              <w:rPr>
                <w:rFonts w:eastAsia="仿宋_GB2312"/>
                <w:sz w:val="24"/>
              </w:rPr>
            </w:pPr>
          </w:p>
          <w:p w14:paraId="3AE2D33A">
            <w:pPr>
              <w:spacing w:line="320" w:lineRule="exact"/>
              <w:rPr>
                <w:rFonts w:eastAsia="仿宋_GB2312"/>
                <w:sz w:val="24"/>
              </w:rPr>
            </w:pPr>
          </w:p>
          <w:p w14:paraId="75C51A83">
            <w:pPr>
              <w:spacing w:line="320" w:lineRule="exact"/>
              <w:rPr>
                <w:rFonts w:eastAsia="仿宋_GB2312"/>
                <w:sz w:val="24"/>
              </w:rPr>
            </w:pPr>
          </w:p>
          <w:p w14:paraId="11248931">
            <w:pPr>
              <w:spacing w:line="320" w:lineRule="exact"/>
              <w:rPr>
                <w:rFonts w:eastAsia="仿宋_GB2312"/>
                <w:sz w:val="24"/>
              </w:rPr>
            </w:pPr>
            <w:r>
              <w:rPr>
                <w:rFonts w:hint="eastAsia" w:eastAsia="仿宋_GB2312"/>
                <w:sz w:val="24"/>
              </w:rPr>
              <w:t xml:space="preserve">                                  财政部门归口业务科室负责人（签章）：</w:t>
            </w:r>
          </w:p>
          <w:p w14:paraId="6E617A80">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14:paraId="55FE3E5A">
      <w:pPr>
        <w:rPr>
          <w:rFonts w:eastAsia="仿宋_GB2312" w:cs="仿宋_GB2312"/>
          <w:bCs/>
          <w:sz w:val="28"/>
          <w:szCs w:val="28"/>
        </w:rPr>
      </w:pPr>
      <w:r>
        <w:rPr>
          <w:rFonts w:hint="eastAsia" w:eastAsia="仿宋_GB2312" w:cs="仿宋_GB2312"/>
          <w:bCs/>
          <w:sz w:val="28"/>
          <w:szCs w:val="28"/>
        </w:rPr>
        <w:t>填报人（签名）：                          联系电话：</w:t>
      </w: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14:paraId="4B88B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14:paraId="15A85F95">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14:paraId="39643DC4">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14:paraId="3823FADD">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14:paraId="6DA7707F">
            <w:pPr>
              <w:spacing w:line="520" w:lineRule="exact"/>
              <w:ind w:firstLine="643" w:firstLineChars="200"/>
              <w:rPr>
                <w:rFonts w:ascii="仿宋" w:hAnsi="仿宋" w:eastAsia="仿宋" w:cs="仿宋"/>
                <w:b/>
                <w:sz w:val="32"/>
                <w:szCs w:val="32"/>
              </w:rPr>
            </w:pPr>
            <w:r>
              <w:rPr>
                <w:rFonts w:hint="eastAsia" w:ascii="仿宋" w:hAnsi="仿宋" w:eastAsia="仿宋" w:cs="仿宋"/>
                <w:b/>
                <w:sz w:val="32"/>
                <w:szCs w:val="32"/>
              </w:rPr>
              <w:t>1、职能职责</w:t>
            </w:r>
          </w:p>
          <w:p w14:paraId="054E5C15">
            <w:pPr>
              <w:spacing w:line="520" w:lineRule="exact"/>
              <w:ind w:firstLine="640" w:firstLineChars="200"/>
              <w:rPr>
                <w:rFonts w:ascii="仿宋" w:hAnsi="仿宋" w:eastAsia="仿宋" w:cs="仿宋"/>
                <w:bCs/>
                <w:sz w:val="32"/>
                <w:szCs w:val="32"/>
              </w:rPr>
            </w:pPr>
            <w:r>
              <w:rPr>
                <w:rFonts w:hint="eastAsia" w:ascii="仿宋" w:hAnsi="仿宋" w:eastAsia="仿宋" w:cs="仿宋"/>
                <w:bCs/>
                <w:sz w:val="32"/>
                <w:szCs w:val="32"/>
              </w:rPr>
              <w:t xml:space="preserve">拟订全县国民经济和社会发展战略、中长期规划和年度计划并组织实施；组织编制国民经济动员、国防交通保障规划、计划；统筹规划和综合协调产业发展，推动全县经济结构战略性调整；协调平衡卫生健康、科技教育、文化旅游、体育民政等发展政策；推进可持续发展战略，负责节能减排的综合协调工作；负责全县固定资产投资管理；负责全县价格工作的宏观管理和综合平衡；完成上级交办的其他任务。       </w:t>
            </w:r>
          </w:p>
          <w:p w14:paraId="24908B38">
            <w:pPr>
              <w:spacing w:line="520" w:lineRule="exact"/>
              <w:ind w:firstLine="643" w:firstLineChars="200"/>
              <w:rPr>
                <w:rFonts w:ascii="仿宋" w:hAnsi="仿宋" w:eastAsia="仿宋" w:cs="仿宋"/>
                <w:b/>
                <w:sz w:val="32"/>
                <w:szCs w:val="32"/>
              </w:rPr>
            </w:pPr>
            <w:r>
              <w:rPr>
                <w:rFonts w:hint="eastAsia" w:ascii="仿宋" w:hAnsi="仿宋" w:eastAsia="仿宋" w:cs="仿宋"/>
                <w:b/>
                <w:sz w:val="32"/>
                <w:szCs w:val="32"/>
              </w:rPr>
              <w:t>2、机构设置</w:t>
            </w:r>
          </w:p>
          <w:p w14:paraId="0E3AA9C1">
            <w:pPr>
              <w:spacing w:line="520" w:lineRule="exact"/>
              <w:ind w:firstLine="640" w:firstLineChars="200"/>
              <w:rPr>
                <w:rFonts w:ascii="仿宋" w:hAnsi="仿宋" w:eastAsia="仿宋" w:cs="仿宋"/>
                <w:sz w:val="32"/>
                <w:szCs w:val="32"/>
              </w:rPr>
            </w:pPr>
            <w:r>
              <w:rPr>
                <w:rFonts w:hint="eastAsia" w:ascii="仿宋" w:hAnsi="仿宋" w:eastAsia="仿宋" w:cs="仿宋"/>
                <w:bCs/>
                <w:sz w:val="32"/>
                <w:szCs w:val="32"/>
              </w:rPr>
              <w:t>县发展和改革局设12个内设机构：办公室、政策法规股（承担县招标投标监督管理委员会办公室日常工作）、固定资产投资股、农村经济股、工业外经股（加挂园区办和综合办牌子）、基础能源股（承担国民经济动员办公室、县国防动员委员会装备动员办公室日常工作）、社会发展和财贸服务业股、资源环境和节能监察股（长江经济带和洞庭湖发展办公室）、信用信息股（加挂县争项争资领导小组办公室和县经济体制改革领导小组办公室牌子）、行政审批股、收费价管股、成本调查监审股（对外称华容县成本监审股）</w:t>
            </w:r>
            <w:r>
              <w:rPr>
                <w:rFonts w:hint="eastAsia" w:ascii="仿宋" w:hAnsi="仿宋" w:eastAsia="仿宋" w:cs="仿宋"/>
                <w:sz w:val="32"/>
                <w:szCs w:val="32"/>
              </w:rPr>
              <w:t>。</w:t>
            </w:r>
          </w:p>
          <w:p w14:paraId="673813C9">
            <w:pPr>
              <w:spacing w:line="520" w:lineRule="exact"/>
              <w:ind w:firstLine="643" w:firstLineChars="200"/>
              <w:rPr>
                <w:rFonts w:ascii="仿宋" w:hAnsi="仿宋" w:eastAsia="仿宋" w:cs="仿宋"/>
                <w:b/>
                <w:sz w:val="32"/>
                <w:szCs w:val="32"/>
              </w:rPr>
            </w:pPr>
            <w:r>
              <w:rPr>
                <w:rFonts w:hint="eastAsia" w:ascii="仿宋" w:hAnsi="仿宋" w:eastAsia="仿宋" w:cs="仿宋"/>
                <w:b/>
                <w:sz w:val="32"/>
                <w:szCs w:val="32"/>
              </w:rPr>
              <w:t>3、人员情况</w:t>
            </w:r>
          </w:p>
          <w:p w14:paraId="2ED2B8E5">
            <w:pPr>
              <w:spacing w:line="520" w:lineRule="exact"/>
              <w:ind w:firstLine="640" w:firstLineChars="200"/>
              <w:rPr>
                <w:rFonts w:ascii="仿宋" w:hAnsi="仿宋" w:eastAsia="仿宋" w:cs="仿宋"/>
                <w:bCs/>
                <w:sz w:val="32"/>
                <w:szCs w:val="32"/>
              </w:rPr>
            </w:pPr>
            <w:r>
              <w:rPr>
                <w:rFonts w:hint="eastAsia" w:ascii="仿宋" w:hAnsi="仿宋" w:eastAsia="仿宋" w:cs="仿宋"/>
                <w:sz w:val="32"/>
                <w:szCs w:val="32"/>
              </w:rPr>
              <w:t>县</w:t>
            </w:r>
            <w:r>
              <w:rPr>
                <w:rFonts w:hint="eastAsia" w:ascii="仿宋" w:hAnsi="仿宋" w:eastAsia="仿宋" w:cs="仿宋"/>
                <w:bCs/>
                <w:sz w:val="32"/>
                <w:szCs w:val="32"/>
              </w:rPr>
              <w:t>发展和改革局机关行政编制17名，其中局长1名，副局长3名。核定机关后勤服务事业编制1名，事业编制20名。2021年年末实有在职人数52人。</w:t>
            </w:r>
          </w:p>
          <w:p w14:paraId="79F17108">
            <w:pPr>
              <w:spacing w:line="560" w:lineRule="exact"/>
              <w:ind w:firstLine="560" w:firstLineChars="200"/>
              <w:rPr>
                <w:rFonts w:ascii="仿宋_GB2312" w:hAnsi="仿宋_GB2312" w:eastAsia="仿宋_GB2312" w:cs="仿宋_GB2312"/>
                <w:bCs/>
                <w:sz w:val="28"/>
                <w:szCs w:val="28"/>
              </w:rPr>
            </w:pPr>
          </w:p>
          <w:p w14:paraId="22234CD9">
            <w:pPr>
              <w:spacing w:line="560" w:lineRule="exact"/>
              <w:ind w:firstLine="560" w:firstLineChars="200"/>
              <w:rPr>
                <w:rFonts w:hint="eastAsia" w:ascii="仿宋_GB2312" w:hAnsi="仿宋_GB2312" w:eastAsia="仿宋_GB2312" w:cs="仿宋_GB2312"/>
                <w:bCs/>
                <w:sz w:val="28"/>
                <w:szCs w:val="28"/>
              </w:rPr>
            </w:pPr>
          </w:p>
          <w:p w14:paraId="0B055C64">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（二）部门（单位）整体支出规模、使用方向和主要内容、涉及范围等</w:t>
            </w:r>
          </w:p>
          <w:p w14:paraId="21D176D0">
            <w:pPr>
              <w:shd w:val="clear" w:color="auto" w:fill="FFFFFF"/>
              <w:adjustRightInd w:val="0"/>
              <w:spacing w:line="520" w:lineRule="exact"/>
              <w:ind w:firstLine="640" w:firstLineChars="200"/>
              <w:rPr>
                <w:rFonts w:ascii="仿宋" w:hAnsi="仿宋" w:eastAsia="仿宋" w:cs="仿宋"/>
                <w:color w:val="333333"/>
                <w:sz w:val="32"/>
                <w:szCs w:val="32"/>
                <w:shd w:val="clear" w:color="auto" w:fill="FFFFFF"/>
              </w:rPr>
            </w:pPr>
            <w:r>
              <w:rPr>
                <w:rFonts w:hint="eastAsia" w:ascii="仿宋" w:hAnsi="仿宋" w:eastAsia="仿宋" w:cs="仿宋"/>
                <w:color w:val="333333"/>
                <w:kern w:val="0"/>
                <w:sz w:val="32"/>
                <w:szCs w:val="32"/>
                <w:shd w:val="clear" w:color="auto" w:fill="FFFFFF"/>
              </w:rPr>
              <w:t>发改局2021年度整体支出为</w:t>
            </w:r>
            <w:r>
              <w:rPr>
                <w:rFonts w:hint="eastAsia" w:ascii="仿宋" w:hAnsi="仿宋" w:eastAsia="仿宋" w:cs="仿宋"/>
                <w:sz w:val="32"/>
                <w:szCs w:val="32"/>
                <w:lang w:val="en-US" w:eastAsia="zh-CN"/>
              </w:rPr>
              <w:t>787.04</w:t>
            </w:r>
            <w:r>
              <w:rPr>
                <w:rFonts w:hint="eastAsia" w:ascii="仿宋" w:hAnsi="仿宋" w:eastAsia="仿宋" w:cs="仿宋"/>
                <w:color w:val="333333"/>
                <w:kern w:val="0"/>
                <w:sz w:val="32"/>
                <w:szCs w:val="32"/>
                <w:shd w:val="clear" w:color="auto" w:fill="FFFFFF"/>
              </w:rPr>
              <w:t>万元</w:t>
            </w:r>
            <w:r>
              <w:rPr>
                <w:rFonts w:hint="eastAsia" w:ascii="仿宋" w:hAnsi="仿宋" w:eastAsia="仿宋" w:cs="仿宋"/>
                <w:color w:val="333333"/>
                <w:sz w:val="32"/>
                <w:szCs w:val="32"/>
                <w:shd w:val="clear" w:color="auto" w:fill="FFFFFF"/>
              </w:rPr>
              <w:t>。</w:t>
            </w:r>
          </w:p>
          <w:p w14:paraId="1E306B8E">
            <w:pPr>
              <w:numPr>
                <w:ilvl w:val="0"/>
                <w:numId w:val="1"/>
              </w:numPr>
              <w:autoSpaceDE w:val="0"/>
              <w:autoSpaceDN w:val="0"/>
              <w:adjustRightInd w:val="0"/>
              <w:spacing w:line="520" w:lineRule="exact"/>
              <w:ind w:firstLine="643" w:firstLineChars="200"/>
              <w:jc w:val="left"/>
              <w:rPr>
                <w:rFonts w:ascii="仿宋" w:hAnsi="仿宋" w:eastAsia="仿宋" w:cs="仿宋"/>
                <w:kern w:val="0"/>
                <w:sz w:val="32"/>
                <w:szCs w:val="32"/>
                <w:highlight w:val="white"/>
                <w:lang w:val="zh-CN"/>
              </w:rPr>
            </w:pPr>
            <w:r>
              <w:rPr>
                <w:rFonts w:hint="eastAsia" w:ascii="仿宋" w:hAnsi="仿宋" w:eastAsia="仿宋" w:cs="仿宋"/>
                <w:b/>
                <w:bCs/>
                <w:color w:val="333333"/>
                <w:sz w:val="32"/>
                <w:szCs w:val="32"/>
                <w:shd w:val="clear" w:color="auto" w:fill="FFFFFF"/>
              </w:rPr>
              <w:t>基本支出</w:t>
            </w:r>
            <w:r>
              <w:rPr>
                <w:rFonts w:hint="eastAsia" w:ascii="仿宋" w:hAnsi="仿宋" w:eastAsia="仿宋" w:cs="仿宋"/>
                <w:color w:val="333333"/>
                <w:sz w:val="32"/>
                <w:szCs w:val="32"/>
                <w:shd w:val="clear" w:color="auto" w:fill="FFFFFF"/>
              </w:rPr>
              <w:t>：</w:t>
            </w:r>
            <w:r>
              <w:rPr>
                <w:rFonts w:hint="eastAsia" w:ascii="仿宋" w:hAnsi="仿宋" w:eastAsia="仿宋" w:cs="仿宋"/>
                <w:sz w:val="32"/>
                <w:szCs w:val="32"/>
                <w:highlight w:val="white"/>
                <w:lang w:val="zh-CN"/>
              </w:rPr>
              <w:t>20</w:t>
            </w:r>
            <w:r>
              <w:rPr>
                <w:rFonts w:hint="eastAsia" w:ascii="仿宋" w:hAnsi="仿宋" w:eastAsia="仿宋" w:cs="仿宋"/>
                <w:sz w:val="32"/>
                <w:szCs w:val="32"/>
                <w:highlight w:val="white"/>
              </w:rPr>
              <w:t>21</w:t>
            </w:r>
            <w:r>
              <w:rPr>
                <w:rFonts w:hint="eastAsia" w:ascii="仿宋" w:hAnsi="仿宋" w:eastAsia="仿宋" w:cs="仿宋"/>
                <w:sz w:val="32"/>
                <w:szCs w:val="32"/>
                <w:highlight w:val="white"/>
                <w:lang w:val="zh-CN"/>
              </w:rPr>
              <w:t>年度</w:t>
            </w:r>
            <w:r>
              <w:rPr>
                <w:rFonts w:hint="eastAsia" w:ascii="仿宋" w:hAnsi="仿宋" w:eastAsia="仿宋" w:cs="仿宋"/>
                <w:kern w:val="0"/>
                <w:sz w:val="32"/>
                <w:szCs w:val="32"/>
                <w:highlight w:val="white"/>
              </w:rPr>
              <w:t>财政拨款基本支出7</w:t>
            </w:r>
            <w:r>
              <w:rPr>
                <w:rFonts w:hint="eastAsia" w:ascii="仿宋" w:hAnsi="仿宋" w:eastAsia="仿宋" w:cs="仿宋"/>
                <w:kern w:val="0"/>
                <w:sz w:val="32"/>
                <w:szCs w:val="32"/>
                <w:highlight w:val="white"/>
                <w:lang w:val="en-US" w:eastAsia="zh-CN"/>
              </w:rPr>
              <w:t>87.04</w:t>
            </w:r>
            <w:r>
              <w:rPr>
                <w:rFonts w:hint="eastAsia" w:ascii="仿宋" w:hAnsi="仿宋" w:eastAsia="仿宋" w:cs="仿宋"/>
                <w:kern w:val="0"/>
                <w:sz w:val="32"/>
                <w:szCs w:val="32"/>
                <w:highlight w:val="white"/>
              </w:rPr>
              <w:t>万元，其中:人员经费5</w:t>
            </w:r>
            <w:r>
              <w:rPr>
                <w:rFonts w:hint="eastAsia" w:ascii="仿宋" w:hAnsi="仿宋" w:eastAsia="仿宋" w:cs="仿宋"/>
                <w:kern w:val="0"/>
                <w:sz w:val="32"/>
                <w:szCs w:val="32"/>
                <w:highlight w:val="white"/>
                <w:lang w:val="en-US" w:eastAsia="zh-CN"/>
              </w:rPr>
              <w:t>82.44</w:t>
            </w:r>
            <w:r>
              <w:rPr>
                <w:rFonts w:hint="eastAsia" w:ascii="仿宋" w:hAnsi="仿宋" w:eastAsia="仿宋" w:cs="仿宋"/>
                <w:kern w:val="0"/>
                <w:sz w:val="32"/>
                <w:szCs w:val="32"/>
                <w:highlight w:val="white"/>
              </w:rPr>
              <w:t>万元，主要包括基本工资、津贴补贴、</w:t>
            </w:r>
            <w:r>
              <w:rPr>
                <w:rFonts w:hint="eastAsia" w:ascii="仿宋" w:hAnsi="仿宋" w:eastAsia="仿宋" w:cs="仿宋"/>
                <w:kern w:val="0"/>
                <w:sz w:val="32"/>
                <w:szCs w:val="32"/>
                <w:highlight w:val="white"/>
                <w:lang w:val="zh-CN"/>
              </w:rPr>
              <w:t>奖金、绩效工资、机关事业单位基本养老保险缴费、职工基本医疗保险缴费、其他社会保障缴费、住房公积金、其他工资福利支出、抚恤金、其他对个人和家庭的补助等，公用支出</w:t>
            </w:r>
            <w:r>
              <w:rPr>
                <w:rFonts w:hint="eastAsia" w:ascii="仿宋" w:hAnsi="仿宋" w:eastAsia="仿宋" w:cs="仿宋"/>
                <w:kern w:val="0"/>
                <w:sz w:val="32"/>
                <w:szCs w:val="32"/>
                <w:highlight w:val="white"/>
              </w:rPr>
              <w:t>2</w:t>
            </w:r>
            <w:r>
              <w:rPr>
                <w:rFonts w:hint="eastAsia" w:ascii="仿宋" w:hAnsi="仿宋" w:eastAsia="仿宋" w:cs="仿宋"/>
                <w:kern w:val="0"/>
                <w:sz w:val="32"/>
                <w:szCs w:val="32"/>
                <w:highlight w:val="white"/>
                <w:lang w:val="en-US" w:eastAsia="zh-CN"/>
              </w:rPr>
              <w:t>04.6</w:t>
            </w:r>
            <w:r>
              <w:rPr>
                <w:rFonts w:hint="eastAsia" w:ascii="仿宋" w:hAnsi="仿宋" w:eastAsia="仿宋" w:cs="仿宋"/>
                <w:kern w:val="0"/>
                <w:sz w:val="32"/>
                <w:szCs w:val="32"/>
                <w:highlight w:val="white"/>
              </w:rPr>
              <w:t>万元，主要包括办公费、印刷费、咨询费、水费、电费、邮电费、差旅费、维修（护）费、会议费、培训费、公务接待费、劳务费、工会经费、福利费、其他交通费用、其他商品和服务支出、办公设备购置等</w:t>
            </w:r>
          </w:p>
          <w:p w14:paraId="6ABAD38C">
            <w:pPr>
              <w:numPr>
                <w:ilvl w:val="0"/>
                <w:numId w:val="0"/>
              </w:numPr>
              <w:autoSpaceDE w:val="0"/>
              <w:autoSpaceDN w:val="0"/>
              <w:adjustRightInd w:val="0"/>
              <w:spacing w:line="520" w:lineRule="exact"/>
              <w:jc w:val="left"/>
              <w:rPr>
                <w:rFonts w:ascii="仿宋" w:hAnsi="仿宋" w:eastAsia="仿宋" w:cs="仿宋"/>
                <w:kern w:val="0"/>
                <w:sz w:val="32"/>
                <w:szCs w:val="32"/>
                <w:highlight w:val="white"/>
                <w:lang w:val="zh-CN"/>
              </w:rPr>
            </w:pPr>
          </w:p>
          <w:p w14:paraId="71E9A458">
            <w:pPr>
              <w:shd w:val="clear" w:color="auto" w:fill="FFFFFF"/>
              <w:adjustRightInd w:val="0"/>
              <w:spacing w:line="520" w:lineRule="exact"/>
              <w:ind w:firstLine="643" w:firstLineChars="200"/>
              <w:rPr>
                <w:rFonts w:hint="eastAsia" w:ascii="仿宋_GB2312" w:hAnsi="仿宋_GB2312" w:eastAsia="仿宋_GB2312" w:cs="仿宋_GB2312"/>
                <w:bCs/>
                <w:sz w:val="28"/>
                <w:szCs w:val="28"/>
              </w:rPr>
            </w:pPr>
            <w:r>
              <w:rPr>
                <w:rFonts w:hint="eastAsia" w:ascii="仿宋" w:hAnsi="仿宋" w:eastAsia="仿宋" w:cs="仿宋"/>
                <w:b/>
                <w:bCs/>
                <w:color w:val="333333"/>
                <w:kern w:val="0"/>
                <w:sz w:val="32"/>
                <w:szCs w:val="32"/>
                <w:shd w:val="clear" w:color="auto" w:fill="FFFFFF"/>
              </w:rPr>
              <w:t>（</w:t>
            </w:r>
            <w:r>
              <w:rPr>
                <w:rFonts w:hint="eastAsia" w:ascii="仿宋" w:hAnsi="仿宋" w:eastAsia="仿宋" w:cs="仿宋"/>
                <w:b/>
                <w:bCs/>
                <w:color w:val="333333"/>
                <w:kern w:val="0"/>
                <w:sz w:val="32"/>
                <w:szCs w:val="32"/>
                <w:shd w:val="clear" w:color="auto" w:fill="FFFFFF"/>
                <w:lang w:eastAsia="zh-CN"/>
              </w:rPr>
              <w:t>二</w:t>
            </w:r>
            <w:r>
              <w:rPr>
                <w:rFonts w:hint="eastAsia" w:ascii="仿宋" w:hAnsi="仿宋" w:eastAsia="仿宋" w:cs="仿宋"/>
                <w:b/>
                <w:bCs/>
                <w:color w:val="333333"/>
                <w:kern w:val="0"/>
                <w:sz w:val="32"/>
                <w:szCs w:val="32"/>
                <w:shd w:val="clear" w:color="auto" w:fill="FFFFFF"/>
              </w:rPr>
              <w:t>）三公”经费支出</w:t>
            </w:r>
            <w:r>
              <w:rPr>
                <w:rFonts w:hint="eastAsia" w:ascii="仿宋" w:hAnsi="仿宋" w:eastAsia="仿宋" w:cs="仿宋"/>
                <w:color w:val="333333"/>
                <w:kern w:val="0"/>
                <w:sz w:val="32"/>
                <w:szCs w:val="32"/>
                <w:shd w:val="clear" w:color="auto" w:fill="FFFFFF"/>
              </w:rPr>
              <w:t>：4.</w:t>
            </w:r>
            <w:r>
              <w:rPr>
                <w:rFonts w:hint="eastAsia" w:ascii="仿宋" w:hAnsi="仿宋" w:eastAsia="仿宋" w:cs="仿宋"/>
                <w:color w:val="333333"/>
                <w:kern w:val="0"/>
                <w:sz w:val="32"/>
                <w:szCs w:val="32"/>
                <w:shd w:val="clear" w:color="auto" w:fill="FFFFFF"/>
                <w:lang w:val="en-US" w:eastAsia="zh-CN"/>
              </w:rPr>
              <w:t>55</w:t>
            </w:r>
            <w:r>
              <w:rPr>
                <w:rFonts w:hint="eastAsia" w:ascii="仿宋" w:hAnsi="仿宋" w:eastAsia="仿宋" w:cs="仿宋"/>
                <w:color w:val="333333"/>
                <w:kern w:val="0"/>
                <w:sz w:val="32"/>
                <w:szCs w:val="32"/>
                <w:shd w:val="clear" w:color="auto" w:fill="FFFFFF"/>
              </w:rPr>
              <w:t>万元，</w:t>
            </w:r>
            <w:r>
              <w:rPr>
                <w:rFonts w:hint="eastAsia" w:ascii="仿宋" w:hAnsi="仿宋" w:eastAsia="仿宋" w:cs="仿宋"/>
                <w:color w:val="222222"/>
                <w:sz w:val="32"/>
                <w:szCs w:val="32"/>
                <w:shd w:val="clear" w:color="auto" w:fill="FFFFFF"/>
              </w:rPr>
              <w:t>全部为财政拨款资金，用于</w:t>
            </w:r>
            <w:r>
              <w:rPr>
                <w:rFonts w:hint="eastAsia" w:ascii="仿宋" w:hAnsi="仿宋" w:eastAsia="仿宋" w:cs="仿宋"/>
                <w:color w:val="333333"/>
                <w:kern w:val="0"/>
                <w:sz w:val="32"/>
                <w:szCs w:val="32"/>
                <w:shd w:val="clear" w:color="auto" w:fill="FFFFFF"/>
              </w:rPr>
              <w:t>公务接待4.</w:t>
            </w:r>
            <w:r>
              <w:rPr>
                <w:rFonts w:hint="eastAsia" w:ascii="仿宋" w:hAnsi="仿宋" w:eastAsia="仿宋" w:cs="仿宋"/>
                <w:color w:val="333333"/>
                <w:kern w:val="0"/>
                <w:sz w:val="32"/>
                <w:szCs w:val="32"/>
                <w:shd w:val="clear" w:color="auto" w:fill="FFFFFF"/>
                <w:lang w:val="en-US" w:eastAsia="zh-CN"/>
              </w:rPr>
              <w:t>55</w:t>
            </w:r>
            <w:r>
              <w:rPr>
                <w:rFonts w:hint="eastAsia" w:ascii="仿宋" w:hAnsi="仿宋" w:eastAsia="仿宋" w:cs="仿宋"/>
                <w:color w:val="333333"/>
                <w:kern w:val="0"/>
                <w:sz w:val="32"/>
                <w:szCs w:val="32"/>
                <w:shd w:val="clear" w:color="auto" w:fill="FFFFFF"/>
              </w:rPr>
              <w:t>万元，因公出国费、公务用车均为0，与上年度5.37万元相比，“三公”经费下降</w:t>
            </w:r>
            <w:r>
              <w:rPr>
                <w:rFonts w:hint="eastAsia" w:ascii="仿宋" w:hAnsi="仿宋" w:eastAsia="仿宋" w:cs="仿宋"/>
                <w:color w:val="333333"/>
                <w:kern w:val="0"/>
                <w:sz w:val="32"/>
                <w:szCs w:val="32"/>
                <w:shd w:val="clear" w:color="auto" w:fill="FFFFFF"/>
                <w:lang w:eastAsia="zh-CN"/>
              </w:rPr>
              <w:t>，</w:t>
            </w:r>
            <w:r>
              <w:rPr>
                <w:rFonts w:hint="eastAsia" w:ascii="仿宋" w:hAnsi="仿宋" w:eastAsia="仿宋" w:cs="仿宋"/>
                <w:sz w:val="32"/>
                <w:szCs w:val="32"/>
              </w:rPr>
              <w:t>总体控制较好。</w:t>
            </w:r>
          </w:p>
          <w:p w14:paraId="76791D14">
            <w:pPr>
              <w:spacing w:line="560" w:lineRule="exact"/>
              <w:ind w:firstLine="560" w:firstLineChars="200"/>
              <w:rPr>
                <w:rFonts w:hint="eastAsia" w:ascii="黑体" w:hAnsi="黑体" w:eastAsia="黑体" w:cs="黑体"/>
                <w:bCs/>
                <w:sz w:val="28"/>
                <w:szCs w:val="28"/>
              </w:rPr>
            </w:pPr>
            <w:r>
              <w:rPr>
                <w:rFonts w:hint="eastAsia" w:ascii="仿宋_GB2312" w:hAnsi="仿宋_GB2312" w:eastAsia="仿宋_GB2312" w:cs="仿宋_GB2312"/>
                <w:bCs/>
                <w:sz w:val="28"/>
                <w:szCs w:val="28"/>
              </w:rPr>
              <w:t>二</w:t>
            </w:r>
            <w:r>
              <w:rPr>
                <w:rFonts w:hint="eastAsia" w:ascii="黑体" w:hAnsi="黑体" w:eastAsia="黑体" w:cs="黑体"/>
                <w:bCs/>
                <w:sz w:val="28"/>
                <w:szCs w:val="28"/>
              </w:rPr>
              <w:t>、部门（单位）整体支出绩效情况</w:t>
            </w:r>
          </w:p>
          <w:p w14:paraId="3DE587DC">
            <w:pPr>
              <w:spacing w:line="520" w:lineRule="exact"/>
              <w:ind w:firstLine="643" w:firstLineChars="200"/>
              <w:jc w:val="left"/>
              <w:rPr>
                <w:rFonts w:hint="eastAsia" w:ascii="仿宋" w:hAnsi="仿宋" w:eastAsia="仿宋"/>
                <w:b/>
                <w:sz w:val="32"/>
                <w:szCs w:val="32"/>
              </w:rPr>
            </w:pPr>
          </w:p>
          <w:p w14:paraId="519FAEB8">
            <w:pPr>
              <w:spacing w:line="520" w:lineRule="exact"/>
              <w:ind w:firstLine="643" w:firstLineChars="200"/>
              <w:jc w:val="left"/>
              <w:rPr>
                <w:rFonts w:ascii="仿宋" w:hAnsi="仿宋" w:eastAsia="仿宋"/>
                <w:sz w:val="32"/>
                <w:szCs w:val="32"/>
              </w:rPr>
            </w:pPr>
            <w:r>
              <w:rPr>
                <w:rFonts w:hint="eastAsia" w:ascii="仿宋" w:hAnsi="仿宋" w:eastAsia="仿宋"/>
                <w:b/>
                <w:sz w:val="32"/>
                <w:szCs w:val="32"/>
              </w:rPr>
              <w:t>1.全力推进争项争资。</w:t>
            </w:r>
            <w:r>
              <w:rPr>
                <w:rFonts w:hint="eastAsia" w:ascii="仿宋" w:hAnsi="仿宋" w:eastAsia="仿宋"/>
                <w:sz w:val="32"/>
                <w:szCs w:val="32"/>
              </w:rPr>
              <w:t>坚持把争项争资作为主责主业，第一时收集项目信息、解读项目政策、指导项目申报，全力配合各乡镇、县直有关单位争取项目落地。全县41个县单位共争取项目325个，争取资金37.02亿元，占年度任务的106.9%。发改系统共争取项目24个，争取资金1.87亿元。</w:t>
            </w:r>
          </w:p>
          <w:p w14:paraId="0DBB6084">
            <w:pPr>
              <w:spacing w:line="520" w:lineRule="exact"/>
              <w:ind w:firstLine="643" w:firstLineChars="200"/>
              <w:jc w:val="left"/>
              <w:rPr>
                <w:rFonts w:ascii="仿宋" w:hAnsi="仿宋" w:eastAsia="仿宋" w:cs="宋体"/>
                <w:sz w:val="32"/>
                <w:szCs w:val="32"/>
              </w:rPr>
            </w:pPr>
            <w:r>
              <w:rPr>
                <w:rFonts w:hint="eastAsia" w:ascii="仿宋" w:hAnsi="仿宋" w:eastAsia="仿宋"/>
                <w:b/>
                <w:sz w:val="32"/>
                <w:szCs w:val="32"/>
              </w:rPr>
              <w:t>2.强力推进乡村“雪亮工程”建设。</w:t>
            </w:r>
            <w:r>
              <w:rPr>
                <w:rFonts w:hint="eastAsia" w:ascii="仿宋" w:hAnsi="仿宋" w:eastAsia="仿宋"/>
                <w:sz w:val="32"/>
                <w:szCs w:val="32"/>
              </w:rPr>
              <w:t>切实加大协调督导力度，组织北晟慧华公司、三个施工工程队、供电公司、广电有线、移动公司、电信公司和联通公司等单位人员，克服时间紧、任务重等困难，在规定时间内高质量完成了省政法委下达给我县2021年乡村“雪亮工程”建设任务（914个摄像头）。</w:t>
            </w:r>
          </w:p>
          <w:p w14:paraId="624D437E">
            <w:pPr>
              <w:spacing w:line="520" w:lineRule="exact"/>
              <w:ind w:firstLine="643" w:firstLineChars="200"/>
              <w:jc w:val="left"/>
              <w:rPr>
                <w:rFonts w:ascii="仿宋" w:hAnsi="仿宋" w:eastAsia="仿宋"/>
                <w:sz w:val="32"/>
                <w:szCs w:val="32"/>
              </w:rPr>
            </w:pPr>
            <w:r>
              <w:rPr>
                <w:rFonts w:hint="eastAsia" w:ascii="仿宋" w:hAnsi="仿宋" w:eastAsia="仿宋"/>
                <w:b/>
                <w:sz w:val="32"/>
                <w:szCs w:val="32"/>
              </w:rPr>
              <w:t>3.有效推进监利至华容公铁两用桥项目。</w:t>
            </w:r>
            <w:r>
              <w:rPr>
                <w:rFonts w:hint="eastAsia" w:ascii="仿宋" w:hAnsi="仿宋" w:eastAsia="仿宋"/>
                <w:sz w:val="32"/>
                <w:szCs w:val="32"/>
              </w:rPr>
              <w:t>协助推进了项目可研，积极开展了两县市工作交流，到省市进行了汇报对接。3月10日县人民政府具函委托同步开展监利至华容铁路（含公铁两用桥）可行性研究及相关专题研究。9月14日，中铁四院桥梁院执行院长何晓春一行来华容调研，就项目进展情况和下步工作计划充分交流了意见。10月15日完成了监利至华容（含公铁两用桥）工可研究公开招标工作。</w:t>
            </w:r>
          </w:p>
          <w:p w14:paraId="4F165632">
            <w:pPr>
              <w:spacing w:line="520" w:lineRule="exact"/>
              <w:ind w:firstLine="643" w:firstLineChars="200"/>
              <w:jc w:val="left"/>
              <w:rPr>
                <w:rFonts w:ascii="仿宋" w:hAnsi="仿宋" w:eastAsia="仿宋"/>
                <w:sz w:val="32"/>
                <w:szCs w:val="32"/>
              </w:rPr>
            </w:pPr>
            <w:r>
              <w:rPr>
                <w:rFonts w:hint="eastAsia" w:ascii="仿宋" w:hAnsi="仿宋" w:eastAsia="仿宋"/>
                <w:b/>
                <w:sz w:val="32"/>
                <w:szCs w:val="32"/>
              </w:rPr>
              <w:t>4.扎实推进国能岳阳电厂和铁水联运储配基地项目。</w:t>
            </w:r>
            <w:r>
              <w:rPr>
                <w:rFonts w:hint="eastAsia" w:ascii="仿宋" w:hAnsi="仿宋" w:eastAsia="仿宋"/>
                <w:sz w:val="32"/>
                <w:szCs w:val="32"/>
              </w:rPr>
              <w:t>为省市2021年度重点建设项目，年度投资任务分别为7.4亿元和3.5亿元。截止12月底，分别完成投资8.9亿元和5.55亿元，占年度计划的121%、159%。同时，配合做好了我县城市停车场建设情况的摸底与上报，配合做好了通用机场的选址，对国能岳阳电厂开发屋顶分布式光伏发电试点工作进行了申报。</w:t>
            </w:r>
          </w:p>
          <w:p w14:paraId="5EEA62CA">
            <w:pPr>
              <w:spacing w:line="520" w:lineRule="exact"/>
              <w:ind w:firstLine="643" w:firstLineChars="200"/>
              <w:jc w:val="left"/>
              <w:rPr>
                <w:rFonts w:ascii="仿宋" w:hAnsi="仿宋" w:eastAsia="仿宋"/>
                <w:sz w:val="32"/>
                <w:szCs w:val="32"/>
              </w:rPr>
            </w:pPr>
            <w:r>
              <w:rPr>
                <w:rFonts w:hint="eastAsia" w:ascii="仿宋" w:hAnsi="仿宋" w:eastAsia="仿宋"/>
                <w:b/>
                <w:sz w:val="32"/>
                <w:szCs w:val="32"/>
              </w:rPr>
              <w:t>5.积极推进国家示范园创建工作。</w:t>
            </w:r>
            <w:r>
              <w:rPr>
                <w:rFonts w:hint="eastAsia" w:ascii="仿宋" w:hAnsi="仿宋" w:eastAsia="仿宋"/>
                <w:sz w:val="32"/>
                <w:szCs w:val="32"/>
              </w:rPr>
              <w:t>根据《关于做好国家农村产业融合发展示范园建设经验总结和推荐第三批创建名单的通知》和开展第三批国家农村产业融合发展示范园认定工作等文件精神，我县结合农村产业融合发展示范园实际建设情况，编制了《湖南省华容县国家农村产业融合发展示范园自评价工作报告》，，省发改委初步认定我县为第三批国家农村产业融合发展示范园，并列入推荐名单上报至国家发改委。</w:t>
            </w:r>
          </w:p>
          <w:p w14:paraId="3A7FBD91">
            <w:pPr>
              <w:spacing w:line="520" w:lineRule="exact"/>
              <w:ind w:firstLine="643" w:firstLineChars="200"/>
              <w:jc w:val="left"/>
              <w:rPr>
                <w:rFonts w:ascii="仿宋" w:hAnsi="仿宋" w:eastAsia="仿宋"/>
                <w:sz w:val="32"/>
                <w:szCs w:val="32"/>
              </w:rPr>
            </w:pPr>
            <w:r>
              <w:rPr>
                <w:rFonts w:hint="eastAsia" w:ascii="仿宋" w:hAnsi="仿宋" w:eastAsia="仿宋"/>
                <w:b/>
                <w:sz w:val="32"/>
                <w:szCs w:val="32"/>
              </w:rPr>
              <w:t>6.稳妥推进招标投标。一是</w:t>
            </w:r>
            <w:r>
              <w:rPr>
                <w:rFonts w:hint="eastAsia" w:ascii="仿宋" w:hAnsi="仿宋" w:eastAsia="仿宋"/>
                <w:sz w:val="32"/>
                <w:szCs w:val="32"/>
              </w:rPr>
              <w:t>完成了22个项目招标文件的审核，20个项目的开标现场监督，12个项目的标后检查工作；</w:t>
            </w:r>
            <w:r>
              <w:rPr>
                <w:rFonts w:hint="eastAsia" w:ascii="仿宋" w:hAnsi="仿宋" w:eastAsia="仿宋"/>
                <w:b/>
                <w:sz w:val="32"/>
                <w:szCs w:val="32"/>
              </w:rPr>
              <w:t>二是</w:t>
            </w:r>
            <w:r>
              <w:rPr>
                <w:rFonts w:hint="eastAsia" w:ascii="仿宋" w:hAnsi="仿宋" w:eastAsia="仿宋"/>
                <w:sz w:val="32"/>
                <w:szCs w:val="32"/>
              </w:rPr>
              <w:t>完成了华容县政府投资项目超概算问题专项清查；</w:t>
            </w:r>
            <w:r>
              <w:rPr>
                <w:rFonts w:hint="eastAsia" w:ascii="仿宋" w:hAnsi="仿宋" w:eastAsia="仿宋"/>
                <w:b/>
                <w:sz w:val="32"/>
                <w:szCs w:val="32"/>
              </w:rPr>
              <w:t>三是</w:t>
            </w:r>
            <w:r>
              <w:rPr>
                <w:rFonts w:hint="eastAsia" w:ascii="仿宋" w:hAnsi="仿宋" w:eastAsia="仿宋"/>
                <w:sz w:val="32"/>
                <w:szCs w:val="32"/>
              </w:rPr>
              <w:t>查处了教体局2017-2019年政府投资项目和操军中学留仙小学幼儿园建设项目规避公开招标案。</w:t>
            </w:r>
          </w:p>
          <w:p w14:paraId="47D079D2">
            <w:pPr>
              <w:spacing w:line="520" w:lineRule="exact"/>
              <w:ind w:firstLine="643" w:firstLineChars="200"/>
              <w:jc w:val="left"/>
              <w:rPr>
                <w:rFonts w:ascii="仿宋" w:hAnsi="仿宋" w:eastAsia="仿宋"/>
                <w:b/>
                <w:sz w:val="32"/>
                <w:szCs w:val="32"/>
              </w:rPr>
            </w:pPr>
            <w:r>
              <w:rPr>
                <w:rFonts w:hint="eastAsia" w:ascii="仿宋" w:hAnsi="仿宋" w:eastAsia="仿宋"/>
                <w:b/>
                <w:sz w:val="32"/>
                <w:szCs w:val="32"/>
              </w:rPr>
              <w:t>7.及时推进工改工作。一是</w:t>
            </w:r>
            <w:r>
              <w:rPr>
                <w:rFonts w:hint="eastAsia" w:ascii="仿宋" w:hAnsi="仿宋" w:eastAsia="仿宋"/>
                <w:sz w:val="32"/>
                <w:szCs w:val="32"/>
              </w:rPr>
              <w:t>按照工改要求，完成所有涉及房屋建筑和市政设施项目全部进入省工程建设项目审批平台办理，实现企业投资备案1天办结、企业投资核准3天办结的目标。</w:t>
            </w:r>
            <w:r>
              <w:rPr>
                <w:rFonts w:hint="eastAsia" w:ascii="仿宋" w:hAnsi="仿宋" w:eastAsia="仿宋"/>
                <w:b/>
                <w:sz w:val="32"/>
                <w:szCs w:val="32"/>
              </w:rPr>
              <w:t>二是</w:t>
            </w:r>
            <w:r>
              <w:rPr>
                <w:rFonts w:hint="eastAsia" w:ascii="仿宋" w:hAnsi="仿宋" w:eastAsia="仿宋"/>
                <w:sz w:val="32"/>
                <w:szCs w:val="32"/>
              </w:rPr>
              <w:t>中介服务于2021年7月1日统一入驻使用岳阳市网上中介服务超市系统平台，逐步实现行政审批中介服务标准化、规范化管理。</w:t>
            </w:r>
            <w:r>
              <w:rPr>
                <w:rFonts w:hint="eastAsia" w:ascii="仿宋" w:hAnsi="仿宋" w:eastAsia="仿宋"/>
                <w:b/>
                <w:sz w:val="32"/>
                <w:szCs w:val="32"/>
              </w:rPr>
              <w:t>三是</w:t>
            </w:r>
            <w:r>
              <w:rPr>
                <w:rFonts w:hint="eastAsia" w:ascii="仿宋" w:hAnsi="仿宋" w:eastAsia="仿宋"/>
                <w:sz w:val="32"/>
                <w:szCs w:val="32"/>
              </w:rPr>
              <w:t>督促指导县高新区完成了8项评估成果，制作了区域评估一图、一表和操作指南，在县政府门户网站公布了区域评估成果。</w:t>
            </w:r>
          </w:p>
          <w:p w14:paraId="781171FB">
            <w:pPr>
              <w:spacing w:line="520" w:lineRule="exact"/>
              <w:ind w:firstLine="643" w:firstLineChars="200"/>
              <w:jc w:val="left"/>
              <w:rPr>
                <w:rFonts w:ascii="仿宋" w:hAnsi="仿宋" w:eastAsia="仿宋"/>
                <w:sz w:val="32"/>
                <w:szCs w:val="32"/>
              </w:rPr>
            </w:pPr>
            <w:r>
              <w:rPr>
                <w:rFonts w:hint="eastAsia" w:ascii="仿宋" w:hAnsi="仿宋" w:eastAsia="仿宋"/>
                <w:b/>
                <w:sz w:val="32"/>
                <w:szCs w:val="32"/>
              </w:rPr>
              <w:t>8.加快推进农业水价综合改革。</w:t>
            </w:r>
            <w:r>
              <w:rPr>
                <w:rFonts w:hint="eastAsia" w:ascii="仿宋" w:hAnsi="仿宋" w:eastAsia="仿宋"/>
                <w:sz w:val="32"/>
                <w:szCs w:val="32"/>
              </w:rPr>
              <w:t>根据湖南省发展和改革委员会、财政厅、水利厅、农业农村厅印发《关于分类有序推进湖南省农业水价综合改革的实施方案》的通知（湘发改价调〔2021〕685号），我局会同财政局、水利局、农业农村局制定我县农业水价综合改革实施方案，各相关单位迅速行动，有序推进各项工作。此项工作已纳入粮食安全生产省长责任制和最严格水资源管理制度考核，我县农业水价综合改革在全市考核中排名第一。</w:t>
            </w:r>
          </w:p>
          <w:p w14:paraId="04ABA32F">
            <w:pPr>
              <w:spacing w:line="520" w:lineRule="exact"/>
              <w:ind w:firstLine="643" w:firstLineChars="200"/>
              <w:jc w:val="left"/>
              <w:rPr>
                <w:rFonts w:ascii="仿宋" w:hAnsi="仿宋" w:eastAsia="仿宋"/>
                <w:sz w:val="32"/>
                <w:szCs w:val="32"/>
              </w:rPr>
            </w:pPr>
            <w:r>
              <w:rPr>
                <w:rFonts w:hint="eastAsia" w:ascii="仿宋" w:hAnsi="仿宋" w:eastAsia="仿宋"/>
                <w:b/>
                <w:sz w:val="32"/>
                <w:szCs w:val="32"/>
              </w:rPr>
              <w:t>9.积极推进“信用华容”网站子平台上线营运。</w:t>
            </w:r>
            <w:r>
              <w:rPr>
                <w:rFonts w:hint="eastAsia" w:ascii="仿宋" w:hAnsi="仿宋" w:eastAsia="仿宋"/>
                <w:sz w:val="32"/>
                <w:szCs w:val="32"/>
              </w:rPr>
              <w:t>实现了省、市、县三级信用信息平台的互联互通。开展了信用数据、红黑名单和“双公示”信息归集工作。截止2021年12月，信用信息平台共收集了县税务局、市场监督局、人社局、商务粮食局、住建局、交通运输局、卫健局、文旅广电局、民政局、公安局、发改局等部门单位近63万条信息。</w:t>
            </w:r>
          </w:p>
          <w:p w14:paraId="64D0BAAA">
            <w:pPr>
              <w:spacing w:line="520" w:lineRule="exact"/>
              <w:ind w:firstLine="643" w:firstLineChars="200"/>
              <w:rPr>
                <w:rFonts w:ascii="仿宋" w:hAnsi="仿宋" w:eastAsia="仿宋" w:cs="仿宋"/>
                <w:sz w:val="32"/>
                <w:szCs w:val="32"/>
              </w:rPr>
            </w:pPr>
            <w:r>
              <w:rPr>
                <w:rFonts w:hint="eastAsia" w:ascii="仿宋" w:hAnsi="仿宋" w:eastAsia="仿宋" w:cs="仿宋"/>
                <w:b/>
                <w:sz w:val="32"/>
                <w:szCs w:val="32"/>
              </w:rPr>
              <w:t>10.价格认证监测工作。</w:t>
            </w:r>
            <w:r>
              <w:rPr>
                <w:rFonts w:hint="eastAsia" w:ascii="仿宋" w:hAnsi="仿宋" w:eastAsia="仿宋" w:cs="仿宋"/>
                <w:sz w:val="32"/>
                <w:szCs w:val="32"/>
              </w:rPr>
              <w:t>停止了所有价格认定事项的收费，主动退出了民事案件价格认定、交通事故车损评估等市场性业务。共完成各类认定案件226宗，涉案金额133万元。做到认定范围精确、认定工作精准、认定案卷精细。</w:t>
            </w:r>
          </w:p>
          <w:p w14:paraId="6A0415C0">
            <w:pPr>
              <w:spacing w:line="520" w:lineRule="exact"/>
              <w:ind w:firstLine="643" w:firstLineChars="200"/>
              <w:rPr>
                <w:rFonts w:ascii="仿宋" w:hAnsi="仿宋" w:eastAsia="仿宋" w:cs="仿宋"/>
                <w:sz w:val="32"/>
                <w:szCs w:val="32"/>
              </w:rPr>
            </w:pPr>
            <w:r>
              <w:rPr>
                <w:rFonts w:hint="eastAsia" w:ascii="仿宋" w:hAnsi="仿宋" w:eastAsia="仿宋" w:cs="仿宋"/>
                <w:b/>
                <w:sz w:val="32"/>
                <w:szCs w:val="32"/>
              </w:rPr>
              <w:t>11、价格成本调查和信息监测工作。一是开展成本监审。</w:t>
            </w:r>
            <w:r>
              <w:rPr>
                <w:rFonts w:hint="eastAsia" w:ascii="仿宋" w:hAnsi="仿宋" w:eastAsia="仿宋" w:cs="仿宋"/>
                <w:sz w:val="32"/>
                <w:szCs w:val="32"/>
              </w:rPr>
              <w:t>对全县教育、殡葬服务、天燃气三个领域开展了成本监审和调查，共核减不合理费用近600多万元。</w:t>
            </w:r>
            <w:r>
              <w:rPr>
                <w:rFonts w:hint="eastAsia" w:ascii="仿宋" w:hAnsi="仿宋" w:eastAsia="仿宋" w:cs="仿宋"/>
                <w:b/>
                <w:sz w:val="32"/>
                <w:szCs w:val="32"/>
              </w:rPr>
              <w:t>二是开展农本调查。</w:t>
            </w:r>
            <w:r>
              <w:rPr>
                <w:rFonts w:hint="eastAsia" w:ascii="仿宋" w:hAnsi="仿宋" w:eastAsia="仿宋" w:cs="仿宋"/>
                <w:sz w:val="32"/>
                <w:szCs w:val="32"/>
              </w:rPr>
              <w:t>对农民的种植意向、生猪的生产成本、粮食生产及市场情况、农资市场情况、油菜籽生产成本、棉花生产成本等进行了深入细致地调查，撰写有价值有份量的上传报告。</w:t>
            </w:r>
            <w:r>
              <w:rPr>
                <w:rFonts w:hint="eastAsia" w:ascii="仿宋" w:hAnsi="仿宋" w:eastAsia="仿宋" w:cs="仿宋"/>
                <w:b/>
                <w:sz w:val="32"/>
                <w:szCs w:val="32"/>
              </w:rPr>
              <w:t>三是开展价格监测。</w:t>
            </w:r>
            <w:r>
              <w:rPr>
                <w:rFonts w:hint="eastAsia" w:ascii="仿宋" w:hAnsi="仿宋" w:eastAsia="仿宋" w:cs="仿宋"/>
                <w:sz w:val="32"/>
                <w:szCs w:val="32"/>
              </w:rPr>
              <w:t>积极深入农村、农户、城区集贸市场、超市、个体工商户和相关加工企业进行价格监测和调查研究。</w:t>
            </w:r>
          </w:p>
          <w:p w14:paraId="5A5E6890">
            <w:pPr>
              <w:widowControl/>
              <w:shd w:val="clear" w:color="auto" w:fill="FFFFFF"/>
              <w:adjustRightInd w:val="0"/>
              <w:spacing w:line="520" w:lineRule="exact"/>
              <w:ind w:firstLine="643" w:firstLineChars="200"/>
              <w:rPr>
                <w:rFonts w:ascii="仿宋" w:hAnsi="仿宋" w:eastAsia="仿宋" w:cs="仿宋"/>
                <w:b/>
                <w:color w:val="333333"/>
                <w:kern w:val="0"/>
                <w:sz w:val="32"/>
                <w:szCs w:val="32"/>
              </w:rPr>
            </w:pPr>
            <w:r>
              <w:rPr>
                <w:rFonts w:hint="eastAsia" w:ascii="仿宋" w:hAnsi="仿宋" w:eastAsia="仿宋" w:cs="仿宋"/>
                <w:b/>
                <w:color w:val="333333"/>
                <w:kern w:val="0"/>
                <w:sz w:val="32"/>
                <w:szCs w:val="32"/>
              </w:rPr>
              <w:t>三、2021年度预算整体绩效评价情况</w:t>
            </w:r>
          </w:p>
          <w:p w14:paraId="74659650">
            <w:pPr>
              <w:spacing w:line="520" w:lineRule="exact"/>
              <w:ind w:firstLine="640" w:firstLineChars="200"/>
              <w:rPr>
                <w:rFonts w:ascii="仿宋" w:hAnsi="仿宋" w:eastAsia="仿宋" w:cs="仿宋"/>
                <w:b/>
                <w:sz w:val="32"/>
                <w:szCs w:val="32"/>
              </w:rPr>
            </w:pPr>
            <w:r>
              <w:rPr>
                <w:rFonts w:hint="eastAsia" w:ascii="仿宋" w:hAnsi="仿宋" w:eastAsia="仿宋" w:cs="仿宋"/>
                <w:color w:val="333333"/>
                <w:kern w:val="0"/>
                <w:sz w:val="32"/>
                <w:szCs w:val="32"/>
                <w:shd w:val="clear" w:color="auto" w:fill="FFFFFF"/>
              </w:rPr>
              <w:t>2021年，根据年初工作规划和重点工作，围绕县委、县政府的工作部署，积极履行职责，强化管理，较好地完成了年度工作目标，同时加强预算收支的管理，建立健全内部管理制度，严格内部管理流程，部门整体支出管理得到了提升。</w:t>
            </w:r>
          </w:p>
          <w:p w14:paraId="039576CC">
            <w:pPr>
              <w:widowControl/>
              <w:shd w:val="clear" w:color="auto" w:fill="FFFFFF"/>
              <w:adjustRightInd w:val="0"/>
              <w:spacing w:line="520" w:lineRule="exact"/>
              <w:ind w:firstLine="643" w:firstLineChars="200"/>
              <w:jc w:val="left"/>
              <w:rPr>
                <w:rFonts w:ascii="仿宋" w:hAnsi="仿宋" w:eastAsia="仿宋" w:cs="仿宋"/>
                <w:b/>
                <w:color w:val="333333"/>
                <w:sz w:val="32"/>
                <w:szCs w:val="32"/>
                <w:shd w:val="clear" w:color="auto" w:fill="FFFFFF"/>
              </w:rPr>
            </w:pPr>
            <w:r>
              <w:rPr>
                <w:rFonts w:hint="eastAsia" w:ascii="仿宋" w:hAnsi="仿宋" w:eastAsia="仿宋" w:cs="仿宋"/>
                <w:b/>
                <w:color w:val="333333"/>
                <w:sz w:val="32"/>
                <w:szCs w:val="32"/>
                <w:shd w:val="clear" w:color="auto" w:fill="FFFFFF"/>
              </w:rPr>
              <w:t>四、存在的问题</w:t>
            </w:r>
          </w:p>
          <w:p w14:paraId="60F4A2B6">
            <w:pPr>
              <w:spacing w:line="520" w:lineRule="exact"/>
              <w:ind w:firstLine="640" w:firstLineChars="200"/>
              <w:rPr>
                <w:rFonts w:ascii="仿宋" w:hAnsi="仿宋" w:eastAsia="仿宋" w:cs="仿宋"/>
                <w:color w:val="333333"/>
                <w:kern w:val="0"/>
                <w:sz w:val="32"/>
                <w:szCs w:val="32"/>
              </w:rPr>
            </w:pPr>
            <w:r>
              <w:rPr>
                <w:rFonts w:hint="eastAsia" w:ascii="仿宋" w:hAnsi="仿宋" w:eastAsia="仿宋" w:cs="仿宋"/>
                <w:color w:val="333333"/>
                <w:kern w:val="0"/>
                <w:sz w:val="32"/>
                <w:szCs w:val="32"/>
              </w:rPr>
              <w:t>对部门整体支出绩效管理工作的认识不够深入，业务知识存在盲区，通过对我单位整体支出情况的分析，反映出目前在整体支出的预算编制、执行和管理过程中，依然存在一些问题和不足，预算编制不够科学、不够合理。</w:t>
            </w:r>
          </w:p>
          <w:p w14:paraId="66D7CCD1">
            <w:pPr>
              <w:spacing w:line="520" w:lineRule="exact"/>
              <w:ind w:firstLine="643" w:firstLineChars="200"/>
              <w:rPr>
                <w:rFonts w:ascii="仿宋" w:hAnsi="仿宋" w:eastAsia="仿宋" w:cs="仿宋"/>
                <w:b/>
                <w:bCs/>
                <w:color w:val="333333"/>
                <w:kern w:val="0"/>
                <w:sz w:val="32"/>
                <w:szCs w:val="32"/>
              </w:rPr>
            </w:pPr>
            <w:r>
              <w:rPr>
                <w:rFonts w:hint="eastAsia" w:ascii="仿宋" w:hAnsi="仿宋" w:eastAsia="仿宋" w:cs="仿宋"/>
                <w:b/>
                <w:bCs/>
                <w:color w:val="333333"/>
                <w:kern w:val="0"/>
                <w:sz w:val="32"/>
                <w:szCs w:val="32"/>
              </w:rPr>
              <w:t>五、意见及建议</w:t>
            </w:r>
          </w:p>
          <w:p w14:paraId="2F37BEDF">
            <w:pPr>
              <w:spacing w:line="520" w:lineRule="exact"/>
              <w:ind w:firstLine="640" w:firstLineChars="200"/>
              <w:rPr>
                <w:rFonts w:ascii="仿宋" w:hAnsi="仿宋" w:eastAsia="仿宋" w:cs="仿宋"/>
                <w:color w:val="333333"/>
                <w:kern w:val="0"/>
                <w:sz w:val="32"/>
                <w:szCs w:val="32"/>
              </w:rPr>
            </w:pPr>
            <w:r>
              <w:rPr>
                <w:rFonts w:hint="eastAsia" w:ascii="仿宋" w:hAnsi="仿宋" w:eastAsia="仿宋" w:cs="仿宋"/>
                <w:color w:val="333333"/>
                <w:kern w:val="0"/>
                <w:sz w:val="32"/>
                <w:szCs w:val="32"/>
              </w:rPr>
              <w:t>1、加强预算编制的科学性和合理性。</w:t>
            </w:r>
          </w:p>
          <w:p w14:paraId="43358615">
            <w:pPr>
              <w:widowControl/>
              <w:shd w:val="clear" w:color="auto" w:fill="FFFFFF"/>
              <w:spacing w:after="120" w:line="520" w:lineRule="exact"/>
              <w:ind w:firstLine="640" w:firstLineChars="200"/>
              <w:jc w:val="left"/>
              <w:rPr>
                <w:rFonts w:ascii="仿宋" w:hAnsi="仿宋" w:eastAsia="仿宋" w:cs="仿宋"/>
                <w:color w:val="333333"/>
                <w:kern w:val="0"/>
                <w:sz w:val="32"/>
                <w:szCs w:val="32"/>
              </w:rPr>
            </w:pPr>
            <w:r>
              <w:rPr>
                <w:rFonts w:hint="eastAsia" w:ascii="仿宋" w:hAnsi="仿宋" w:eastAsia="仿宋" w:cs="仿宋"/>
                <w:color w:val="333333"/>
                <w:kern w:val="0"/>
                <w:sz w:val="32"/>
                <w:szCs w:val="32"/>
              </w:rPr>
              <w:t>2、 加强财务管理，严格财务审核。在费用报账支付时，按照预算规定的费用项目和用途进行资金使用审核、列报支付、财务核算，杜绝超支现象的发生。</w:t>
            </w:r>
          </w:p>
          <w:p w14:paraId="600B9818">
            <w:pPr>
              <w:tabs>
                <w:tab w:val="left" w:pos="670"/>
              </w:tabs>
              <w:spacing w:line="520" w:lineRule="exact"/>
              <w:ind w:firstLine="640" w:firstLineChars="200"/>
              <w:rPr>
                <w:rFonts w:ascii="仿宋" w:hAnsi="仿宋" w:eastAsia="仿宋" w:cs="仿宋"/>
                <w:color w:val="333333"/>
                <w:kern w:val="0"/>
                <w:sz w:val="32"/>
                <w:szCs w:val="32"/>
              </w:rPr>
            </w:pPr>
            <w:r>
              <w:rPr>
                <w:rFonts w:hint="eastAsia" w:ascii="仿宋" w:hAnsi="仿宋" w:eastAsia="仿宋" w:cs="仿宋"/>
                <w:color w:val="333333"/>
                <w:kern w:val="0"/>
                <w:sz w:val="32"/>
                <w:szCs w:val="32"/>
              </w:rPr>
              <w:t>3、持续抓好“三公”经费控制管理。严格控制“三公”经费的规模和比例。</w:t>
            </w:r>
          </w:p>
          <w:p w14:paraId="3E9D36AB">
            <w:pPr>
              <w:tabs>
                <w:tab w:val="left" w:pos="945"/>
              </w:tabs>
              <w:spacing w:line="520" w:lineRule="exact"/>
              <w:ind w:firstLine="640" w:firstLineChars="200"/>
              <w:rPr>
                <w:rFonts w:ascii="仿宋" w:hAnsi="仿宋" w:eastAsia="仿宋" w:cs="仿宋"/>
                <w:color w:val="333333"/>
                <w:kern w:val="0"/>
                <w:sz w:val="32"/>
                <w:szCs w:val="32"/>
              </w:rPr>
            </w:pPr>
            <w:r>
              <w:rPr>
                <w:rFonts w:hint="eastAsia" w:ascii="仿宋" w:hAnsi="仿宋" w:eastAsia="仿宋" w:cs="仿宋"/>
                <w:color w:val="333333"/>
                <w:kern w:val="0"/>
                <w:sz w:val="32"/>
                <w:szCs w:val="32"/>
              </w:rPr>
              <w:t>4、把关经费支出的审核、审批，杜绝挪用和挤占其他预算资金行为。</w:t>
            </w:r>
          </w:p>
        </w:tc>
      </w:tr>
    </w:tbl>
    <w:p w14:paraId="5E4FB35B">
      <w:pPr>
        <w:spacing w:line="348" w:lineRule="auto"/>
        <w:rPr>
          <w:rFonts w:eastAsia="楷体_GB2312"/>
          <w:bCs/>
          <w:sz w:val="28"/>
          <w:szCs w:val="28"/>
        </w:rPr>
      </w:pPr>
    </w:p>
    <w:p w14:paraId="09A0139E">
      <w:pPr>
        <w:rPr>
          <w:rFonts w:ascii="黑体" w:hAnsi="黑体" w:eastAsia="黑体"/>
          <w:sz w:val="32"/>
          <w:szCs w:val="32"/>
        </w:rPr>
      </w:pPr>
      <w:r>
        <w:rPr>
          <w:rFonts w:hint="eastAsia" w:ascii="黑体" w:hAnsi="黑体" w:eastAsia="黑体"/>
          <w:sz w:val="32"/>
          <w:szCs w:val="32"/>
        </w:rPr>
        <w:t>附件3-1</w:t>
      </w:r>
    </w:p>
    <w:p w14:paraId="2A0A7475">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14:paraId="0C05A057">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63844277">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14:paraId="3574770C">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14:paraId="11B93AFC">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14:paraId="5D58DBD4">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14:paraId="695D5319">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14:paraId="0623F99C">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14:paraId="52EA99E6">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14:paraId="6EE27D76">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14:paraId="4BBBD20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p>
          <w:p w14:paraId="2912B29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14:paraId="3D4E473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14:paraId="4E426A7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14:paraId="1DC4A7B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14:paraId="049C7CE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14:paraId="75701D33">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14:paraId="3E2DA39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14:paraId="32675B0A">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w:t>
            </w:r>
          </w:p>
        </w:tc>
        <w:tc>
          <w:tcPr>
            <w:tcW w:w="1080" w:type="dxa"/>
            <w:tcBorders>
              <w:top w:val="nil"/>
              <w:left w:val="nil"/>
              <w:bottom w:val="single" w:color="auto" w:sz="4" w:space="0"/>
              <w:right w:val="single" w:color="auto" w:sz="4" w:space="0"/>
            </w:tcBorders>
            <w:vAlign w:val="center"/>
          </w:tcPr>
          <w:p w14:paraId="67C1AB48">
            <w:pPr>
              <w:widowControl/>
              <w:spacing w:line="240" w:lineRule="exact"/>
              <w:jc w:val="left"/>
              <w:rPr>
                <w:rFonts w:ascii="仿宋_GB2312" w:hAnsi="宋体" w:eastAsia="仿宋_GB2312" w:cs="宋体"/>
                <w:color w:val="000000"/>
                <w:kern w:val="0"/>
                <w:sz w:val="18"/>
                <w:szCs w:val="18"/>
              </w:rPr>
            </w:pPr>
          </w:p>
        </w:tc>
      </w:tr>
      <w:tr w14:paraId="3AFB3045">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0E2BDD08">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518A6B41">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3941052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14:paraId="1194F63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14:paraId="59AB726E">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14:paraId="549A2F3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14:paraId="73B89D8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14:paraId="186ED480">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14:paraId="1072798F">
            <w:pPr>
              <w:widowControl/>
              <w:spacing w:line="240" w:lineRule="exact"/>
              <w:jc w:val="left"/>
              <w:rPr>
                <w:rFonts w:ascii="仿宋_GB2312" w:hAnsi="宋体" w:eastAsia="仿宋_GB2312" w:cs="宋体"/>
                <w:color w:val="000000"/>
                <w:kern w:val="0"/>
                <w:sz w:val="18"/>
                <w:szCs w:val="18"/>
              </w:rPr>
            </w:pPr>
          </w:p>
        </w:tc>
      </w:tr>
      <w:tr w14:paraId="28846DF1">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30AD0F41">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6F52328A">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463CC67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14:paraId="4A29BD9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14:paraId="65651CFE">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14:paraId="793860A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14:paraId="5820A91B">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14:paraId="62FB2965">
            <w:pPr>
              <w:widowControl/>
              <w:spacing w:line="240" w:lineRule="exact"/>
              <w:jc w:val="left"/>
              <w:rPr>
                <w:rFonts w:ascii="仿宋_GB2312" w:hAnsi="宋体" w:eastAsia="仿宋_GB2312" w:cs="宋体"/>
                <w:color w:val="000000"/>
                <w:kern w:val="0"/>
                <w:sz w:val="18"/>
                <w:szCs w:val="18"/>
              </w:rPr>
            </w:pPr>
          </w:p>
        </w:tc>
      </w:tr>
      <w:tr w14:paraId="2A40FA9B">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14:paraId="552B12E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14:paraId="79543C9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14:paraId="6EFCC64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14:paraId="4505796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14:paraId="06FEF57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14:paraId="17A0C715">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14:paraId="64E1390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568139D3">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14:paraId="7DC51231">
            <w:pPr>
              <w:widowControl/>
              <w:spacing w:line="240" w:lineRule="exact"/>
              <w:jc w:val="center"/>
              <w:rPr>
                <w:rFonts w:ascii="仿宋_GB2312" w:hAnsi="宋体" w:eastAsia="仿宋_GB2312" w:cs="宋体"/>
                <w:color w:val="000000"/>
                <w:kern w:val="0"/>
                <w:sz w:val="18"/>
                <w:szCs w:val="18"/>
              </w:rPr>
            </w:pPr>
          </w:p>
        </w:tc>
      </w:tr>
      <w:tr w14:paraId="6D8112A3">
        <w:tblPrEx>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57146499">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51DAFC14">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06FF825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14:paraId="2DB5E96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14:paraId="6D68A96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3D1E3FFB">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14:paraId="6229F2C1">
            <w:pPr>
              <w:widowControl/>
              <w:spacing w:line="240" w:lineRule="exact"/>
              <w:jc w:val="center"/>
              <w:rPr>
                <w:rFonts w:ascii="仿宋_GB2312" w:hAnsi="宋体" w:eastAsia="仿宋_GB2312" w:cs="宋体"/>
                <w:color w:val="000000"/>
                <w:kern w:val="0"/>
                <w:sz w:val="18"/>
                <w:szCs w:val="18"/>
              </w:rPr>
            </w:pPr>
          </w:p>
        </w:tc>
      </w:tr>
      <w:tr w14:paraId="01DEDF25">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13F5C810">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1DD2E1D9">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29C185E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14:paraId="538334D6">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14:paraId="286E305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1D4A769B">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14:paraId="366A347A">
            <w:pPr>
              <w:widowControl/>
              <w:spacing w:line="240" w:lineRule="exact"/>
              <w:jc w:val="center"/>
              <w:rPr>
                <w:rFonts w:ascii="仿宋_GB2312" w:hAnsi="宋体" w:eastAsia="仿宋_GB2312" w:cs="宋体"/>
                <w:color w:val="000000"/>
                <w:kern w:val="0"/>
                <w:sz w:val="18"/>
                <w:szCs w:val="18"/>
              </w:rPr>
            </w:pPr>
          </w:p>
        </w:tc>
      </w:tr>
      <w:tr w14:paraId="2226FF7D">
        <w:tblPrEx>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23513D58">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38BE24DC">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2F9E7D6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14:paraId="50ADD2B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14:paraId="41393DF1">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14:paraId="481E48D1">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14:paraId="76B5284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14:paraId="2A7D387D">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14:paraId="216F4241">
            <w:pPr>
              <w:widowControl/>
              <w:spacing w:line="240" w:lineRule="exact"/>
              <w:jc w:val="center"/>
              <w:rPr>
                <w:rFonts w:ascii="仿宋_GB2312" w:hAnsi="宋体" w:eastAsia="仿宋_GB2312" w:cs="宋体"/>
                <w:color w:val="000000"/>
                <w:kern w:val="0"/>
                <w:sz w:val="18"/>
                <w:szCs w:val="18"/>
              </w:rPr>
            </w:pPr>
          </w:p>
        </w:tc>
      </w:tr>
      <w:tr w14:paraId="304D1FFE">
        <w:tblPrEx>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6C17A029">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vAlign w:val="center"/>
          </w:tcPr>
          <w:p w14:paraId="6190BFB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14:paraId="3B6869D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p w14:paraId="288E080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14:paraId="5B9F4C6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14:paraId="585F152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14:paraId="5431004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14:paraId="42C9896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14:paraId="1404387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14:paraId="04AC355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78116B6D">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14:paraId="2F1E5F4F">
            <w:pPr>
              <w:widowControl/>
              <w:spacing w:line="240" w:lineRule="exact"/>
              <w:jc w:val="center"/>
              <w:rPr>
                <w:rFonts w:ascii="仿宋_GB2312" w:hAnsi="宋体" w:eastAsia="仿宋_GB2312" w:cs="宋体"/>
                <w:color w:val="000000"/>
                <w:kern w:val="0"/>
                <w:sz w:val="18"/>
                <w:szCs w:val="18"/>
              </w:rPr>
            </w:pPr>
          </w:p>
        </w:tc>
      </w:tr>
      <w:tr w14:paraId="11E8C640">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577D83D2">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vAlign w:val="center"/>
          </w:tcPr>
          <w:p w14:paraId="14C3CDAE">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2ECC088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14:paraId="43E08E7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14:paraId="5CEA51C1">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14:paraId="3B5C9B28">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14:paraId="7A1510F2">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14:paraId="139863A6">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14:paraId="7D86E500">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14:paraId="2AC2179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14:paraId="4FD4C41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70FC71A5">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c>
          <w:tcPr>
            <w:tcW w:w="1080" w:type="dxa"/>
            <w:tcBorders>
              <w:top w:val="nil"/>
              <w:left w:val="nil"/>
              <w:bottom w:val="single" w:color="auto" w:sz="4" w:space="0"/>
              <w:right w:val="single" w:color="auto" w:sz="4" w:space="0"/>
            </w:tcBorders>
            <w:vAlign w:val="center"/>
          </w:tcPr>
          <w:p w14:paraId="4852A9E5">
            <w:pPr>
              <w:widowControl/>
              <w:spacing w:line="240" w:lineRule="exact"/>
              <w:jc w:val="center"/>
              <w:rPr>
                <w:rFonts w:ascii="仿宋_GB2312" w:hAnsi="宋体" w:eastAsia="仿宋_GB2312" w:cs="宋体"/>
                <w:color w:val="000000"/>
                <w:kern w:val="0"/>
                <w:sz w:val="18"/>
                <w:szCs w:val="18"/>
              </w:rPr>
            </w:pPr>
          </w:p>
        </w:tc>
      </w:tr>
      <w:tr w14:paraId="53C6AC22">
        <w:tblPrEx>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0E189C09">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14:paraId="05B98746">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7DCEC63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14:paraId="6C79E342">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14:paraId="78BC9D5B">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14:paraId="7D068F0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14:paraId="6FD6821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14:paraId="4141EF64">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14:paraId="25FE1BC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05D0587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14:paraId="49AFE7E3">
            <w:pPr>
              <w:widowControl/>
              <w:spacing w:line="240" w:lineRule="exact"/>
              <w:jc w:val="center"/>
              <w:rPr>
                <w:rFonts w:ascii="仿宋_GB2312" w:hAnsi="宋体" w:eastAsia="仿宋_GB2312" w:cs="宋体"/>
                <w:kern w:val="0"/>
                <w:sz w:val="18"/>
                <w:szCs w:val="18"/>
              </w:rPr>
            </w:pPr>
          </w:p>
        </w:tc>
      </w:tr>
      <w:tr w14:paraId="0636B250">
        <w:tblPrEx>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79EACF60">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14:paraId="628759E3">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20B0FAB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14:paraId="5C2AC08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14:paraId="63E2BE6C">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14:paraId="601943EA">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14:paraId="635CAD0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00FB726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14:paraId="304CDD8B">
            <w:pPr>
              <w:widowControl/>
              <w:spacing w:line="240" w:lineRule="exact"/>
              <w:jc w:val="center"/>
              <w:rPr>
                <w:rFonts w:ascii="仿宋_GB2312" w:hAnsi="宋体" w:eastAsia="仿宋_GB2312" w:cs="宋体"/>
                <w:kern w:val="0"/>
                <w:sz w:val="18"/>
                <w:szCs w:val="18"/>
              </w:rPr>
            </w:pPr>
          </w:p>
        </w:tc>
      </w:tr>
      <w:tr w14:paraId="602C8B9A">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7D0629C5">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vAlign w:val="center"/>
          </w:tcPr>
          <w:p w14:paraId="701A05A6">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7393435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14:paraId="33C7FE73">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p>
          <w:p w14:paraId="13EF9497">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14:paraId="22287F5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3325BDC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14:paraId="00967D4F">
            <w:pPr>
              <w:widowControl/>
              <w:spacing w:line="240" w:lineRule="exact"/>
              <w:jc w:val="center"/>
              <w:rPr>
                <w:rFonts w:ascii="仿宋_GB2312" w:hAnsi="宋体" w:eastAsia="仿宋_GB2312" w:cs="宋体"/>
                <w:kern w:val="0"/>
                <w:sz w:val="18"/>
                <w:szCs w:val="18"/>
              </w:rPr>
            </w:pPr>
          </w:p>
        </w:tc>
      </w:tr>
      <w:tr w14:paraId="6687ADC3">
        <w:tblPrEx>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271C6DCF">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14:paraId="312A7E5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14:paraId="0C6B8D4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14:paraId="04E3683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14:paraId="454BD5C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14:paraId="73EA3A5B">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14:paraId="22B0DC3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14:paraId="14E834D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0E9E106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14:paraId="375A71EE">
            <w:pPr>
              <w:widowControl/>
              <w:spacing w:line="240" w:lineRule="exact"/>
              <w:jc w:val="center"/>
              <w:rPr>
                <w:rFonts w:ascii="仿宋_GB2312" w:hAnsi="宋体" w:eastAsia="仿宋_GB2312" w:cs="宋体"/>
                <w:kern w:val="0"/>
                <w:sz w:val="18"/>
                <w:szCs w:val="18"/>
              </w:rPr>
            </w:pPr>
          </w:p>
        </w:tc>
      </w:tr>
    </w:tbl>
    <w:p w14:paraId="1F091C20"/>
    <w:tbl>
      <w:tblPr>
        <w:tblStyle w:val="5"/>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14:paraId="06ACAB61">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14:paraId="317CFDCF">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14:paraId="51F3746A">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vAlign w:val="center"/>
          </w:tcPr>
          <w:p w14:paraId="5AC3F011">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vAlign w:val="center"/>
          </w:tcPr>
          <w:p w14:paraId="3F313834">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vAlign w:val="center"/>
          </w:tcPr>
          <w:p w14:paraId="293AC929">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vAlign w:val="center"/>
          </w:tcPr>
          <w:p w14:paraId="5EE28C24">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vAlign w:val="center"/>
          </w:tcPr>
          <w:p w14:paraId="5D6D0BAD">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14:paraId="0ED2A5D7">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1E83FF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14:paraId="7CB52F6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EE83FEB">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14:paraId="09AB0782">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vAlign w:val="center"/>
          </w:tcPr>
          <w:p w14:paraId="366068A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14:paraId="40AC0CF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vAlign w:val="center"/>
          </w:tcPr>
          <w:p w14:paraId="6DBD306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14:paraId="382631D7">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14:paraId="20CF0037">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14:paraId="30A8F1C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14:paraId="6D316201">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14:paraId="782BE86A">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vAlign w:val="center"/>
          </w:tcPr>
          <w:p w14:paraId="4192A9C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vAlign w:val="center"/>
          </w:tcPr>
          <w:p w14:paraId="3C30803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single" w:color="auto" w:sz="4" w:space="0"/>
              <w:left w:val="nil"/>
              <w:bottom w:val="single" w:color="auto" w:sz="4" w:space="0"/>
              <w:right w:val="single" w:color="auto" w:sz="4" w:space="0"/>
            </w:tcBorders>
            <w:shd w:val="clear" w:color="auto" w:fill="FFFFFF"/>
            <w:vAlign w:val="center"/>
          </w:tcPr>
          <w:p w14:paraId="7E86568E">
            <w:pPr>
              <w:widowControl/>
              <w:spacing w:line="240" w:lineRule="exact"/>
              <w:jc w:val="center"/>
              <w:rPr>
                <w:rFonts w:ascii="仿宋_GB2312" w:hAnsi="宋体" w:eastAsia="仿宋_GB2312" w:cs="宋体"/>
                <w:kern w:val="0"/>
                <w:sz w:val="18"/>
                <w:szCs w:val="18"/>
              </w:rPr>
            </w:pPr>
          </w:p>
        </w:tc>
      </w:tr>
      <w:tr w14:paraId="7C493A98">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14:paraId="06A5D7A3">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14:paraId="12897D28">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14:paraId="012AC17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14:paraId="3E2590A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vAlign w:val="center"/>
          </w:tcPr>
          <w:p w14:paraId="1DC92CF1">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vAlign w:val="center"/>
          </w:tcPr>
          <w:p w14:paraId="39987FC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vAlign w:val="center"/>
          </w:tcPr>
          <w:p w14:paraId="5E50261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1085" w:type="dxa"/>
            <w:tcBorders>
              <w:top w:val="nil"/>
              <w:left w:val="nil"/>
              <w:bottom w:val="single" w:color="auto" w:sz="4" w:space="0"/>
              <w:right w:val="single" w:color="auto" w:sz="4" w:space="0"/>
            </w:tcBorders>
            <w:shd w:val="clear" w:color="auto" w:fill="FFFFFF"/>
            <w:vAlign w:val="center"/>
          </w:tcPr>
          <w:p w14:paraId="68263AE2">
            <w:pPr>
              <w:widowControl/>
              <w:spacing w:line="240" w:lineRule="exact"/>
              <w:jc w:val="center"/>
              <w:rPr>
                <w:rFonts w:ascii="仿宋_GB2312" w:hAnsi="宋体" w:eastAsia="仿宋_GB2312" w:cs="宋体"/>
                <w:kern w:val="0"/>
                <w:sz w:val="18"/>
                <w:szCs w:val="18"/>
              </w:rPr>
            </w:pPr>
          </w:p>
        </w:tc>
      </w:tr>
      <w:tr w14:paraId="6079207C">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vAlign w:val="center"/>
          </w:tcPr>
          <w:p w14:paraId="4335319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vAlign w:val="center"/>
          </w:tcPr>
          <w:p w14:paraId="762139BB">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14:paraId="037CB8A4">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vAlign w:val="center"/>
          </w:tcPr>
          <w:p w14:paraId="64514EB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vAlign w:val="center"/>
          </w:tcPr>
          <w:p w14:paraId="2CBDAAF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14:paraId="558B48BF">
            <w:pPr>
              <w:widowControl/>
              <w:spacing w:line="240" w:lineRule="exact"/>
              <w:jc w:val="left"/>
              <w:rPr>
                <w:rFonts w:ascii="仿宋_GB2312" w:hAnsi="宋体" w:eastAsia="仿宋_GB2312" w:cs="宋体"/>
                <w:kern w:val="0"/>
                <w:sz w:val="18"/>
                <w:szCs w:val="18"/>
              </w:rPr>
            </w:pPr>
          </w:p>
          <w:p w14:paraId="262670F7">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vAlign w:val="center"/>
          </w:tcPr>
          <w:p w14:paraId="5746DCA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vAlign w:val="center"/>
          </w:tcPr>
          <w:p w14:paraId="4722C43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1085" w:type="dxa"/>
            <w:tcBorders>
              <w:top w:val="nil"/>
              <w:left w:val="nil"/>
              <w:bottom w:val="single" w:color="auto" w:sz="4" w:space="0"/>
              <w:right w:val="single" w:color="auto" w:sz="4" w:space="0"/>
            </w:tcBorders>
            <w:shd w:val="clear" w:color="auto" w:fill="FFFFFF"/>
            <w:vAlign w:val="center"/>
          </w:tcPr>
          <w:p w14:paraId="1B6D834E">
            <w:pPr>
              <w:widowControl/>
              <w:spacing w:line="240" w:lineRule="exact"/>
              <w:jc w:val="center"/>
              <w:rPr>
                <w:rFonts w:ascii="仿宋_GB2312" w:hAnsi="宋体" w:eastAsia="仿宋_GB2312" w:cs="宋体"/>
                <w:kern w:val="0"/>
                <w:sz w:val="18"/>
                <w:szCs w:val="18"/>
              </w:rPr>
            </w:pPr>
          </w:p>
        </w:tc>
      </w:tr>
      <w:tr w14:paraId="0D4720B2">
        <w:tblPrEx>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14:paraId="2BDA71D0">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14:paraId="2F6528FB">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14:paraId="05B3E3D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14:paraId="0F83A83A">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14:paraId="4ECFF1F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vAlign w:val="center"/>
          </w:tcPr>
          <w:p w14:paraId="093F72C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14:paraId="7660E5C0">
            <w:pPr>
              <w:widowControl/>
              <w:spacing w:line="240" w:lineRule="exact"/>
              <w:jc w:val="center"/>
              <w:rPr>
                <w:rFonts w:ascii="仿宋_GB2312" w:hAnsi="宋体" w:eastAsia="仿宋_GB2312" w:cs="宋体"/>
                <w:kern w:val="0"/>
                <w:sz w:val="18"/>
                <w:szCs w:val="18"/>
              </w:rPr>
            </w:pPr>
          </w:p>
        </w:tc>
      </w:tr>
      <w:tr w14:paraId="448904AD">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14:paraId="744271F5">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14:paraId="6881FAE7">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14:paraId="7565C7B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14:paraId="471EE9B0">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14:paraId="48ABD99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14:paraId="28C7EAB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14:paraId="2B1C65F1">
            <w:pPr>
              <w:widowControl/>
              <w:spacing w:line="240" w:lineRule="exact"/>
              <w:jc w:val="center"/>
              <w:rPr>
                <w:rFonts w:ascii="仿宋_GB2312" w:hAnsi="宋体" w:eastAsia="仿宋_GB2312" w:cs="宋体"/>
                <w:kern w:val="0"/>
                <w:sz w:val="18"/>
                <w:szCs w:val="18"/>
              </w:rPr>
            </w:pPr>
          </w:p>
        </w:tc>
      </w:tr>
      <w:tr w14:paraId="4A368FB9">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14:paraId="3AAFE878">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14:paraId="3813EEC7">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14:paraId="5F92184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14:paraId="1BD89F37">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14:paraId="45525B7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14:paraId="2F3BCF9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14:paraId="2E0801FD">
            <w:pPr>
              <w:widowControl/>
              <w:spacing w:line="240" w:lineRule="exact"/>
              <w:jc w:val="center"/>
              <w:rPr>
                <w:rFonts w:ascii="仿宋_GB2312" w:hAnsi="宋体" w:eastAsia="仿宋_GB2312" w:cs="宋体"/>
                <w:kern w:val="0"/>
                <w:sz w:val="18"/>
                <w:szCs w:val="18"/>
              </w:rPr>
            </w:pPr>
          </w:p>
        </w:tc>
      </w:tr>
      <w:tr w14:paraId="458A6A46">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14:paraId="7E0F13EA">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14:paraId="13950AC8">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14:paraId="438E6B9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14:paraId="6805DE5E">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14:paraId="5BDEF99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14:paraId="26E1A79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14:paraId="7A6D4F73">
            <w:pPr>
              <w:widowControl/>
              <w:spacing w:line="240" w:lineRule="exact"/>
              <w:jc w:val="center"/>
              <w:rPr>
                <w:rFonts w:ascii="仿宋_GB2312" w:hAnsi="宋体" w:eastAsia="仿宋_GB2312" w:cs="宋体"/>
                <w:kern w:val="0"/>
                <w:sz w:val="18"/>
                <w:szCs w:val="18"/>
              </w:rPr>
            </w:pPr>
          </w:p>
        </w:tc>
      </w:tr>
      <w:tr w14:paraId="7D049400">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vAlign w:val="center"/>
          </w:tcPr>
          <w:p w14:paraId="7ED8EF3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p>
          <w:p w14:paraId="490D471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vAlign w:val="center"/>
          </w:tcPr>
          <w:p w14:paraId="00F00D2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14:paraId="6BA76ED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vAlign w:val="center"/>
          </w:tcPr>
          <w:p w14:paraId="5844B9D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vAlign w:val="center"/>
          </w:tcPr>
          <w:p w14:paraId="67824137">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14:paraId="2410C8D1">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vAlign w:val="center"/>
          </w:tcPr>
          <w:p w14:paraId="3C65DA5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vAlign w:val="center"/>
          </w:tcPr>
          <w:p w14:paraId="7DDFFEF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14:paraId="3ECFBFAB">
            <w:pPr>
              <w:widowControl/>
              <w:spacing w:line="240" w:lineRule="exact"/>
              <w:jc w:val="center"/>
              <w:rPr>
                <w:rFonts w:ascii="仿宋_GB2312" w:hAnsi="宋体" w:eastAsia="仿宋_GB2312" w:cs="宋体"/>
                <w:kern w:val="0"/>
                <w:sz w:val="18"/>
                <w:szCs w:val="18"/>
              </w:rPr>
            </w:pPr>
          </w:p>
        </w:tc>
      </w:tr>
      <w:tr w14:paraId="2A995620">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14:paraId="43D96224">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14:paraId="26B72EF0">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14:paraId="7EA6CAA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14:paraId="757523EA">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14:paraId="1DA92AEB">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14:paraId="0C4961C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14:paraId="2BF149AC">
            <w:pPr>
              <w:widowControl/>
              <w:spacing w:line="240" w:lineRule="exact"/>
              <w:jc w:val="center"/>
              <w:rPr>
                <w:rFonts w:ascii="仿宋_GB2312" w:hAnsi="宋体" w:eastAsia="仿宋_GB2312" w:cs="宋体"/>
                <w:kern w:val="0"/>
                <w:sz w:val="18"/>
                <w:szCs w:val="18"/>
              </w:rPr>
            </w:pPr>
          </w:p>
        </w:tc>
      </w:tr>
      <w:tr w14:paraId="4A87F126">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14:paraId="56C73AC1">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14:paraId="152DA063">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14:paraId="54B28A7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14:paraId="65136931">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14:paraId="7E89010E">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14:paraId="01B035A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14:paraId="1C642D4E">
            <w:pPr>
              <w:widowControl/>
              <w:spacing w:line="240" w:lineRule="exact"/>
              <w:jc w:val="center"/>
              <w:rPr>
                <w:rFonts w:ascii="仿宋_GB2312" w:hAnsi="宋体" w:eastAsia="仿宋_GB2312" w:cs="宋体"/>
                <w:kern w:val="0"/>
                <w:sz w:val="18"/>
                <w:szCs w:val="18"/>
              </w:rPr>
            </w:pPr>
          </w:p>
        </w:tc>
      </w:tr>
      <w:tr w14:paraId="2E953AB4">
        <w:tblPrEx>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vAlign w:val="center"/>
          </w:tcPr>
          <w:p w14:paraId="32614154">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14:paraId="61BFD8D5">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vAlign w:val="center"/>
          </w:tcPr>
          <w:p w14:paraId="0DDD75C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vAlign w:val="center"/>
          </w:tcPr>
          <w:p w14:paraId="7EE4F543">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14:paraId="56A3654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14:paraId="22F574A1">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14:paraId="72A6E776">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vAlign w:val="center"/>
          </w:tcPr>
          <w:p w14:paraId="2DF3530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vAlign w:val="center"/>
          </w:tcPr>
          <w:p w14:paraId="30F7BD8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vAlign w:val="center"/>
          </w:tcPr>
          <w:p w14:paraId="169D521D">
            <w:pPr>
              <w:widowControl/>
              <w:spacing w:line="240" w:lineRule="exact"/>
              <w:jc w:val="center"/>
              <w:rPr>
                <w:rFonts w:ascii="仿宋_GB2312" w:hAnsi="宋体" w:eastAsia="仿宋_GB2312" w:cs="宋体"/>
                <w:kern w:val="0"/>
                <w:sz w:val="18"/>
                <w:szCs w:val="18"/>
              </w:rPr>
            </w:pPr>
          </w:p>
        </w:tc>
      </w:tr>
      <w:tr w14:paraId="42EA5244">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vAlign w:val="center"/>
          </w:tcPr>
          <w:p w14:paraId="6C58F7A5">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vAlign w:val="center"/>
          </w:tcPr>
          <w:p w14:paraId="20299E37">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vAlign w:val="center"/>
          </w:tcPr>
          <w:p w14:paraId="4FF522A5">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vAlign w:val="center"/>
          </w:tcPr>
          <w:p w14:paraId="7A62A667">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vAlign w:val="center"/>
          </w:tcPr>
          <w:p w14:paraId="57B920EA">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vAlign w:val="center"/>
          </w:tcPr>
          <w:p w14:paraId="5D15A977">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97.5</w:t>
            </w:r>
          </w:p>
        </w:tc>
        <w:tc>
          <w:tcPr>
            <w:tcW w:w="1085" w:type="dxa"/>
            <w:tcBorders>
              <w:top w:val="nil"/>
              <w:left w:val="nil"/>
              <w:bottom w:val="single" w:color="auto" w:sz="4" w:space="0"/>
              <w:right w:val="single" w:color="auto" w:sz="4" w:space="0"/>
            </w:tcBorders>
            <w:vAlign w:val="center"/>
          </w:tcPr>
          <w:p w14:paraId="3E01E9F7">
            <w:pPr>
              <w:widowControl/>
              <w:spacing w:line="240" w:lineRule="exact"/>
              <w:jc w:val="center"/>
              <w:rPr>
                <w:rFonts w:ascii="仿宋_GB2312" w:hAnsi="宋体" w:eastAsia="仿宋_GB2312" w:cs="宋体"/>
                <w:b/>
                <w:bCs/>
                <w:kern w:val="0"/>
                <w:sz w:val="18"/>
                <w:szCs w:val="18"/>
              </w:rPr>
            </w:pPr>
          </w:p>
        </w:tc>
      </w:tr>
    </w:tbl>
    <w:p w14:paraId="4809C102">
      <w:pPr>
        <w:adjustRightInd w:val="0"/>
        <w:snapToGrid w:val="0"/>
        <w:spacing w:beforeLines="50"/>
        <w:contextualSpacing/>
        <w:rPr>
          <w:rFonts w:ascii="仿宋_GB2312" w:hAnsi="宋体" w:eastAsia="仿宋_GB2312" w:cs="宋体"/>
          <w:kern w:val="0"/>
          <w:szCs w:val="21"/>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p w14:paraId="68BA736F">
      <w:pPr>
        <w:spacing w:beforeLines="50" w:line="560" w:lineRule="exact"/>
        <w:rPr>
          <w:rFonts w:ascii="黑体" w:hAnsi="黑体" w:eastAsia="黑体"/>
          <w:sz w:val="32"/>
          <w:szCs w:val="3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09845">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14:paraId="09D62721">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42458">
    <w:pPr>
      <w:framePr w:wrap="around" w:vAnchor="text" w:hAnchor="margin" w:xAlign="outside" w:y="1"/>
    </w:pPr>
    <w:r>
      <w:fldChar w:fldCharType="begin"/>
    </w:r>
    <w:r>
      <w:instrText xml:space="preserve">PAGE  </w:instrText>
    </w:r>
    <w:r>
      <w:fldChar w:fldCharType="separate"/>
    </w:r>
    <w:r>
      <w:t>- 15 -</w:t>
    </w:r>
    <w:r>
      <w:fldChar w:fldCharType="end"/>
    </w:r>
  </w:p>
  <w:p w14:paraId="6BAD7816">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18B35">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2</w:t>
    </w:r>
    <w:r>
      <w:rPr>
        <w:sz w:val="24"/>
        <w:szCs w:val="24"/>
      </w:rPr>
      <w:fldChar w:fldCharType="end"/>
    </w:r>
    <w:r>
      <w:rPr>
        <w:rStyle w:val="7"/>
        <w:rFonts w:hint="eastAsia"/>
        <w:sz w:val="24"/>
        <w:szCs w:val="24"/>
      </w:rPr>
      <w:t xml:space="preserve"> —</w:t>
    </w:r>
  </w:p>
  <w:p w14:paraId="1B386C43">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426D4">
    <w:pPr>
      <w:pStyle w:val="3"/>
      <w:framePr w:wrap="around" w:vAnchor="text" w:hAnchor="margin" w:xAlign="outside" w:y="1"/>
      <w:rPr>
        <w:rStyle w:val="7"/>
      </w:rPr>
    </w:pPr>
    <w:r>
      <w:fldChar w:fldCharType="begin"/>
    </w:r>
    <w:r>
      <w:rPr>
        <w:rStyle w:val="7"/>
      </w:rPr>
      <w:instrText xml:space="preserve">PAGE  </w:instrText>
    </w:r>
    <w:r>
      <w:fldChar w:fldCharType="end"/>
    </w:r>
  </w:p>
  <w:p w14:paraId="1BCFAFC7">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FF235E"/>
    <w:multiLevelType w:val="singleLevel"/>
    <w:tmpl w:val="37FF235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QzZjc5NTllMGFiYmY5NmVhMTllZTJlYTQ3YTVjMjgifQ=="/>
  </w:docVars>
  <w:rsids>
    <w:rsidRoot w:val="2CE55C20"/>
    <w:rsid w:val="000B7A1F"/>
    <w:rsid w:val="001061A7"/>
    <w:rsid w:val="0011692E"/>
    <w:rsid w:val="00121480"/>
    <w:rsid w:val="002237A3"/>
    <w:rsid w:val="00237127"/>
    <w:rsid w:val="002E54AC"/>
    <w:rsid w:val="003815FE"/>
    <w:rsid w:val="0039414B"/>
    <w:rsid w:val="003B7152"/>
    <w:rsid w:val="004555D4"/>
    <w:rsid w:val="00460337"/>
    <w:rsid w:val="00583566"/>
    <w:rsid w:val="006209A2"/>
    <w:rsid w:val="00631978"/>
    <w:rsid w:val="00635799"/>
    <w:rsid w:val="00676B57"/>
    <w:rsid w:val="006D5B42"/>
    <w:rsid w:val="00764584"/>
    <w:rsid w:val="007B2063"/>
    <w:rsid w:val="007E4AAF"/>
    <w:rsid w:val="00855464"/>
    <w:rsid w:val="009408E8"/>
    <w:rsid w:val="009960CF"/>
    <w:rsid w:val="00A11053"/>
    <w:rsid w:val="00A6187C"/>
    <w:rsid w:val="00B009B1"/>
    <w:rsid w:val="00BE6D1E"/>
    <w:rsid w:val="00C07119"/>
    <w:rsid w:val="00CC36CE"/>
    <w:rsid w:val="00E112FF"/>
    <w:rsid w:val="00E34E90"/>
    <w:rsid w:val="00E91529"/>
    <w:rsid w:val="00F67FBB"/>
    <w:rsid w:val="00F91F06"/>
    <w:rsid w:val="00F93225"/>
    <w:rsid w:val="00FB2DE3"/>
    <w:rsid w:val="083749E7"/>
    <w:rsid w:val="0CB679B8"/>
    <w:rsid w:val="0D4D3806"/>
    <w:rsid w:val="0DE528CD"/>
    <w:rsid w:val="1336279F"/>
    <w:rsid w:val="18725427"/>
    <w:rsid w:val="254E2FC7"/>
    <w:rsid w:val="25B607B7"/>
    <w:rsid w:val="263C173A"/>
    <w:rsid w:val="289D055E"/>
    <w:rsid w:val="2C9F197B"/>
    <w:rsid w:val="2CA33441"/>
    <w:rsid w:val="2CE55C20"/>
    <w:rsid w:val="2F287302"/>
    <w:rsid w:val="30426D13"/>
    <w:rsid w:val="3A43255A"/>
    <w:rsid w:val="3D6201A1"/>
    <w:rsid w:val="3EC46785"/>
    <w:rsid w:val="3F8A6044"/>
    <w:rsid w:val="43A702D9"/>
    <w:rsid w:val="44592EA4"/>
    <w:rsid w:val="4585575A"/>
    <w:rsid w:val="477245B4"/>
    <w:rsid w:val="49617FA5"/>
    <w:rsid w:val="498D0226"/>
    <w:rsid w:val="4D171D42"/>
    <w:rsid w:val="4E4F0BB0"/>
    <w:rsid w:val="54D92FD6"/>
    <w:rsid w:val="5BE95901"/>
    <w:rsid w:val="643E0C82"/>
    <w:rsid w:val="692772D0"/>
    <w:rsid w:val="6A0A15CD"/>
    <w:rsid w:val="6D452F22"/>
    <w:rsid w:val="6DF352BD"/>
    <w:rsid w:val="705E3E6D"/>
    <w:rsid w:val="71C1048A"/>
    <w:rsid w:val="7396188C"/>
    <w:rsid w:val="73F35F5B"/>
    <w:rsid w:val="762162AA"/>
    <w:rsid w:val="79C04582"/>
    <w:rsid w:val="7D1F0DA2"/>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page number"/>
    <w:qFormat/>
    <w:uiPriority w:val="0"/>
  </w:style>
  <w:style w:type="character" w:customStyle="1" w:styleId="8">
    <w:name w:val="标题 3 Char Char"/>
    <w:qFormat/>
    <w:uiPriority w:val="0"/>
    <w:rPr>
      <w:rFonts w:eastAsia="楷体_GB2312"/>
      <w:b/>
      <w:kern w:val="2"/>
      <w:sz w:val="32"/>
      <w:szCs w:val="24"/>
      <w:lang w:val="en-US" w:eastAsia="zh-CN" w:bidi="ar-SA"/>
    </w:rPr>
  </w:style>
  <w:style w:type="paragraph" w:styleId="9">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D70BD80-8CA9-4383-9F4D-36C100A70389}">
  <ds:schemaRefs/>
</ds:datastoreItem>
</file>

<file path=docProps/app.xml><?xml version="1.0" encoding="utf-8"?>
<Properties xmlns="http://schemas.openxmlformats.org/officeDocument/2006/extended-properties" xmlns:vt="http://schemas.openxmlformats.org/officeDocument/2006/docPropsVTypes">
  <Template>Normal</Template>
  <Pages>13</Pages>
  <Words>5916</Words>
  <Characters>6275</Characters>
  <Lines>57</Lines>
  <Paragraphs>16</Paragraphs>
  <TotalTime>5</TotalTime>
  <ScaleCrop>false</ScaleCrop>
  <LinksUpToDate>false</LinksUpToDate>
  <CharactersWithSpaces>6803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2022-06-06T07:14:00Z</dcterms:created>
  <dc:creator>Administrator</dc:creator>
  <cp:lastModifiedBy>叶宏欢</cp:lastModifiedBy>
  <cp:lastPrinted>2022-11-10T01:51:00Z</cp:lastPrinted>
  <dcterms:modified xsi:type="dcterms:W3CDTF">2025-12-10T03:58:35Z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377A56B318954603893BD5B869B7BB42</vt:lpwstr>
  </property>
  <property fmtid="{D5CDD505-2E9C-101B-9397-08002B2CF9AE}" pid="4" name="KSOTemplateDocerSaveRecord">
    <vt:lpwstr>eyJoZGlkIjoiNmFhNTIwY2JhYmJhYmFmMDMwZjE4YTRjYzM4MDkwMTQiLCJ1c2VySWQiOiIxNDgxMDAwNDg1In0=</vt:lpwstr>
  </property>
</Properties>
</file>