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仿宋_GB2312" w:hAnsi="仿宋_GB2312" w:eastAsia="仿宋_GB2312" w:cs="仿宋_GB2312"/>
          <w:spacing w:val="-4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附件3</w:t>
      </w:r>
    </w:p>
    <w:p>
      <w:pPr>
        <w:spacing w:line="251" w:lineRule="auto"/>
        <w:rPr>
          <w:rFonts w:ascii="Arial"/>
        </w:rPr>
      </w:pPr>
    </w:p>
    <w:p>
      <w:pPr>
        <w:spacing w:line="251" w:lineRule="auto"/>
        <w:rPr>
          <w:rFonts w:ascii="Arial"/>
        </w:rPr>
      </w:pPr>
    </w:p>
    <w:p>
      <w:pPr>
        <w:rPr>
          <w:rFonts w:ascii="Arial"/>
        </w:rPr>
      </w:pPr>
    </w:p>
    <w:p>
      <w:pPr>
        <w:pStyle w:val="2"/>
      </w:pPr>
    </w:p>
    <w:p/>
    <w:p>
      <w:pPr>
        <w:spacing w:before="223" w:line="218" w:lineRule="auto"/>
        <w:jc w:val="left"/>
        <w:rPr>
          <w:rFonts w:ascii="方正小标宋简体" w:hAnsi="方正小标宋简体" w:eastAsia="方正小标宋简体" w:cs="方正小标宋简体"/>
          <w:b/>
          <w:bCs/>
          <w:sz w:val="48"/>
          <w:szCs w:val="48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8"/>
          <w:szCs w:val="48"/>
        </w:rPr>
        <w:t>2023年度华容县</w:t>
      </w:r>
      <w:r>
        <w:rPr>
          <w:rFonts w:hint="eastAsia" w:ascii="宋体" w:hAnsi="宋体" w:eastAsia="方正小标宋简体" w:cs="宋体"/>
          <w:b/>
          <w:bCs/>
          <w:spacing w:val="-1"/>
          <w:sz w:val="36"/>
          <w:szCs w:val="36"/>
          <w:lang w:eastAsia="zh-CN"/>
        </w:rPr>
        <w:t>城关中心小学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8"/>
          <w:szCs w:val="48"/>
        </w:rPr>
        <w:t>部门整体支出</w:t>
      </w:r>
    </w:p>
    <w:p>
      <w:pPr>
        <w:spacing w:before="1" w:line="183" w:lineRule="auto"/>
        <w:ind w:left="2789"/>
        <w:rPr>
          <w:rFonts w:ascii="方正小标宋简体" w:hAnsi="方正小标宋简体" w:eastAsia="方正小标宋简体" w:cs="方正小标宋简体"/>
          <w:sz w:val="52"/>
          <w:szCs w:val="52"/>
        </w:rPr>
      </w:pPr>
      <w:r>
        <w:rPr>
          <w:rFonts w:hint="eastAsia" w:ascii="方正小标宋简体" w:hAnsi="方正小标宋简体" w:eastAsia="方正小标宋简体" w:cs="方正小标宋简体"/>
          <w:spacing w:val="-3"/>
          <w:sz w:val="52"/>
          <w:szCs w:val="52"/>
        </w:rPr>
        <w:t>绩效自评报告</w:t>
      </w: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  <w:bookmarkStart w:id="0" w:name="_GoBack"/>
      <w:bookmarkEnd w:id="0"/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spacing w:line="243" w:lineRule="auto"/>
        <w:rPr>
          <w:rFonts w:ascii="Arial"/>
        </w:rPr>
      </w:pPr>
    </w:p>
    <w:p>
      <w:pPr>
        <w:spacing w:line="244" w:lineRule="auto"/>
        <w:rPr>
          <w:rFonts w:ascii="Arial"/>
        </w:rPr>
      </w:pPr>
    </w:p>
    <w:p>
      <w:pPr>
        <w:spacing w:line="244" w:lineRule="auto"/>
        <w:rPr>
          <w:rFonts w:ascii="Arial"/>
        </w:rPr>
      </w:pPr>
    </w:p>
    <w:p>
      <w:pPr>
        <w:pStyle w:val="4"/>
        <w:spacing w:before="100" w:line="221" w:lineRule="auto"/>
        <w:ind w:firstLine="600" w:firstLineChars="20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lang w:eastAsia="zh-CN"/>
        </w:rPr>
        <w:t xml:space="preserve"> </w:t>
      </w:r>
      <w:r>
        <w:rPr>
          <w:rFonts w:hint="eastAsia" w:ascii="宋体" w:hAnsi="宋体" w:eastAsia="宋体" w:cs="宋体"/>
          <w:spacing w:val="4"/>
          <w:sz w:val="32"/>
          <w:szCs w:val="32"/>
          <w:u w:val="single"/>
          <w:lang w:eastAsia="zh-CN"/>
        </w:rPr>
        <w:t xml:space="preserve">  华容县城关中心小学</w:t>
      </w:r>
      <w:r>
        <w:rPr>
          <w:rFonts w:hint="eastAsia" w:ascii="仿宋_GB2312" w:hAnsi="仿宋_GB2312" w:eastAsia="仿宋_GB2312" w:cs="仿宋_GB2312"/>
          <w:sz w:val="32"/>
          <w:szCs w:val="32"/>
          <w:u w:val="single"/>
        </w:rPr>
        <w:t xml:space="preserve"> </w:t>
      </w:r>
    </w:p>
    <w:p>
      <w:pPr>
        <w:spacing w:before="228" w:line="222" w:lineRule="auto"/>
        <w:jc w:val="center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2</w:t>
      </w:r>
      <w:r>
        <w:rPr>
          <w:rFonts w:hint="eastAsia" w:ascii="宋体" w:hAnsi="宋体" w:cs="宋体"/>
          <w:spacing w:val="-8"/>
          <w:sz w:val="32"/>
          <w:szCs w:val="32"/>
        </w:rPr>
        <w:t>0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2</w:t>
      </w:r>
      <w:r>
        <w:rPr>
          <w:rFonts w:hint="eastAsia" w:ascii="宋体" w:hAnsi="宋体" w:cs="宋体"/>
          <w:spacing w:val="-8"/>
          <w:sz w:val="32"/>
          <w:szCs w:val="32"/>
        </w:rPr>
        <w:t>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宋体" w:hAnsi="宋体" w:cs="宋体"/>
          <w:spacing w:val="21"/>
          <w:sz w:val="32"/>
          <w:szCs w:val="32"/>
        </w:rPr>
        <w:t>5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>2</w:t>
      </w:r>
      <w:r>
        <w:rPr>
          <w:rFonts w:hint="eastAsia" w:ascii="宋体" w:hAnsi="宋体" w:cs="宋体"/>
          <w:spacing w:val="43"/>
          <w:sz w:val="32"/>
          <w:szCs w:val="32"/>
        </w:rPr>
        <w:t>3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docGrid w:type="lines" w:linePitch="314" w:charSpace="0"/>
        </w:sectPr>
      </w:pPr>
      <w:r>
        <w:br w:type="page"/>
      </w:r>
    </w:p>
    <w:p>
      <w:pPr>
        <w:spacing w:line="580" w:lineRule="exact"/>
        <w:jc w:val="center"/>
        <w:rPr>
          <w:rFonts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2"/>
      </w:pPr>
    </w:p>
    <w:p>
      <w:pPr>
        <w:spacing w:line="58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spacing w:val="6"/>
          <w:sz w:val="36"/>
          <w:szCs w:val="36"/>
        </w:rPr>
        <w:t>华容县</w:t>
      </w:r>
      <w:r>
        <w:rPr>
          <w:rFonts w:hint="eastAsia" w:ascii="宋体" w:hAnsi="宋体" w:eastAsia="方正小标宋简体" w:cs="宋体"/>
          <w:spacing w:val="6"/>
          <w:sz w:val="36"/>
          <w:szCs w:val="36"/>
          <w:lang w:eastAsia="zh-CN"/>
        </w:rPr>
        <w:t>城关中心小学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部门整体支出</w:t>
      </w:r>
    </w:p>
    <w:p>
      <w:pPr>
        <w:spacing w:line="58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</w:rPr>
      </w:pPr>
    </w:p>
    <w:p>
      <w:pPr>
        <w:spacing w:line="284" w:lineRule="auto"/>
        <w:rPr>
          <w:rFonts w:ascii="Arial"/>
        </w:rPr>
      </w:pPr>
    </w:p>
    <w:p>
      <w:pPr>
        <w:pStyle w:val="2"/>
      </w:pPr>
    </w:p>
    <w:p>
      <w:pPr>
        <w:spacing w:before="101" w:line="228" w:lineRule="auto"/>
        <w:ind w:left="648"/>
        <w:rPr>
          <w:rFonts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一、部门基本情况</w:t>
      </w:r>
    </w:p>
    <w:p>
      <w:pPr>
        <w:pStyle w:val="2"/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1.宣传贯彻执行党和国家的教育方针、教育政策、教育法律和法规，贯彻执行上级教育行政部门的各项规章制度。</w:t>
      </w:r>
    </w:p>
    <w:p>
      <w:pPr>
        <w:pStyle w:val="2"/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2.在政府和上级教育主管部门的领导下，争取资金改善办学条件，为师生的学习和工作提供优美和谐的环境。</w:t>
      </w:r>
    </w:p>
    <w:p>
      <w:pPr>
        <w:pStyle w:val="2"/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>
      <w:pPr>
        <w:pStyle w:val="2"/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4．按照普通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小学</w:t>
      </w:r>
      <w:r>
        <w:rPr>
          <w:rFonts w:hint="eastAsia" w:ascii="新宋体" w:hAnsi="新宋体" w:eastAsia="新宋体" w:cs="新宋体"/>
          <w:bCs/>
          <w:sz w:val="28"/>
          <w:szCs w:val="28"/>
        </w:rPr>
        <w:t>教育课程计划，开齐课程，开足课时，认真实施普通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小学</w:t>
      </w:r>
      <w:r>
        <w:rPr>
          <w:rFonts w:hint="eastAsia" w:ascii="新宋体" w:hAnsi="新宋体" w:eastAsia="新宋体" w:cs="新宋体"/>
          <w:bCs/>
          <w:sz w:val="28"/>
          <w:szCs w:val="28"/>
        </w:rPr>
        <w:t>的教育教学管理，全面推进素质教育，全面提高教育教学质量。</w:t>
      </w:r>
    </w:p>
    <w:p>
      <w:pPr>
        <w:spacing w:before="216" w:line="226" w:lineRule="auto"/>
        <w:ind w:left="648"/>
        <w:rPr>
          <w:rFonts w:ascii="黑体" w:hAnsi="黑体" w:eastAsia="黑体" w:cs="黑体"/>
          <w:spacing w:val="-2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ind w:firstLine="643" w:firstLineChars="200"/>
        <w:rPr>
          <w:rFonts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2023年度财政拨款基本支出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1840.04</w:t>
      </w:r>
      <w:r>
        <w:rPr>
          <w:rFonts w:hint="eastAsia" w:ascii="新宋体" w:hAnsi="新宋体" w:eastAsia="新宋体" w:cs="新宋体"/>
          <w:bCs/>
          <w:sz w:val="28"/>
          <w:szCs w:val="28"/>
        </w:rPr>
        <w:t>万元，其中：人员经费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1608.56</w:t>
      </w:r>
      <w:r>
        <w:rPr>
          <w:rFonts w:hint="eastAsia" w:ascii="新宋体" w:hAnsi="新宋体" w:eastAsia="新宋体" w:cs="新宋体"/>
          <w:bCs/>
          <w:sz w:val="28"/>
          <w:szCs w:val="28"/>
        </w:rPr>
        <w:t>万元，主要包括：（基本工资、津贴补贴、奖金、社会保障缴费、伙食补助费、其他工资福利支出、离休费、退休费、生活补助、医疗费、住房公积金、其他对个人和家庭的补助支出等）；公用经费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231.48</w:t>
      </w:r>
      <w:r>
        <w:rPr>
          <w:rFonts w:hint="eastAsia" w:ascii="新宋体" w:hAnsi="新宋体" w:eastAsia="新宋体" w:cs="新宋体"/>
          <w:bCs/>
          <w:sz w:val="28"/>
          <w:szCs w:val="28"/>
        </w:rPr>
        <w:t>万元，主要包括：（办公费、印刷费、咨询费、电费、邮电费、差旅费、因公出国（境）费、维修（护）费、租赁费、会议费、培训费、公务接待费、劳务费、其他交通费用、其他商品和服务支出、办公设备购置、其他支出等。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“三公”经费支出情况：严格按照财政局下发文件标准执行，严格控制支出，2023年，“三公”经费支出为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0</w:t>
      </w:r>
      <w:r>
        <w:rPr>
          <w:rFonts w:hint="eastAsia" w:ascii="新宋体" w:hAnsi="新宋体" w:eastAsia="新宋体" w:cs="新宋体"/>
          <w:bCs/>
          <w:sz w:val="28"/>
          <w:szCs w:val="28"/>
        </w:rPr>
        <w:t>万元，比上年减少0万元，下降0%，增减变化的主要原因是：厉行节约，严格管控。公务用车购置及运行维护费完成0元，与上年无变化，原因是公车无。</w:t>
      </w:r>
    </w:p>
    <w:p>
      <w:pPr>
        <w:pStyle w:val="13"/>
        <w:widowControl/>
        <w:spacing w:line="500" w:lineRule="exact"/>
        <w:ind w:firstLine="672"/>
        <w:rPr>
          <w:rFonts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  <w:lang w:eastAsia="zh-CN"/>
        </w:rPr>
        <w:t>二</w:t>
      </w:r>
      <w:r>
        <w:rPr>
          <w:rFonts w:hint="eastAsia" w:ascii="黑体" w:hAnsi="黑体" w:eastAsia="黑体" w:cs="黑体"/>
          <w:spacing w:val="8"/>
          <w:sz w:val="32"/>
          <w:szCs w:val="32"/>
        </w:rPr>
        <w:t>、政府性基金预算支出情况</w:t>
      </w:r>
    </w:p>
    <w:p>
      <w:pPr>
        <w:pStyle w:val="2"/>
        <w:ind w:firstLine="560" w:firstLineChars="200"/>
        <w:rPr>
          <w:rFonts w:eastAsia="新宋体"/>
          <w:sz w:val="28"/>
          <w:szCs w:val="28"/>
        </w:rPr>
      </w:pPr>
      <w:r>
        <w:rPr>
          <w:rFonts w:hint="eastAsia"/>
          <w:sz w:val="28"/>
          <w:szCs w:val="28"/>
        </w:rPr>
        <w:t>政府性基金预算支出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</w:rPr>
        <w:t>万元</w:t>
      </w:r>
      <w:r>
        <w:rPr>
          <w:rFonts w:hint="eastAsia" w:ascii="新宋体" w:hAnsi="新宋体" w:eastAsia="新宋体" w:cs="新宋体"/>
          <w:bCs/>
          <w:sz w:val="28"/>
          <w:szCs w:val="28"/>
        </w:rPr>
        <w:t>。</w:t>
      </w:r>
    </w:p>
    <w:p>
      <w:pPr>
        <w:spacing w:before="219" w:line="600" w:lineRule="exact"/>
        <w:ind w:left="662"/>
        <w:rPr>
          <w:rFonts w:ascii="黑体" w:hAnsi="黑体" w:eastAsia="黑体" w:cs="黑体"/>
          <w:spacing w:val="7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  <w:lang w:eastAsia="zh-CN"/>
        </w:rPr>
        <w:t>三</w:t>
      </w: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、国有资本经营预算支出情况</w:t>
      </w:r>
    </w:p>
    <w:p>
      <w:pPr>
        <w:pStyle w:val="2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国有资本经营预算支出0万元。</w:t>
      </w:r>
    </w:p>
    <w:p>
      <w:pPr>
        <w:spacing w:line="227" w:lineRule="auto"/>
        <w:ind w:left="651"/>
        <w:rPr>
          <w:rFonts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  <w:lang w:eastAsia="zh-CN"/>
        </w:rPr>
        <w:t>四</w:t>
      </w:r>
      <w:r>
        <w:rPr>
          <w:rFonts w:hint="eastAsia" w:ascii="黑体" w:hAnsi="黑体" w:eastAsia="黑体" w:cs="黑体"/>
          <w:spacing w:val="8"/>
          <w:sz w:val="32"/>
          <w:szCs w:val="32"/>
        </w:rPr>
        <w:t>、社会保险基金预算支出情况</w:t>
      </w:r>
    </w:p>
    <w:p>
      <w:pPr>
        <w:pStyle w:val="2"/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社会保险基金预算支出0万元。</w:t>
      </w:r>
    </w:p>
    <w:p>
      <w:pPr>
        <w:pStyle w:val="2"/>
        <w:ind w:firstLine="672" w:firstLineChars="200"/>
        <w:rPr>
          <w:rFonts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  <w:lang w:eastAsia="zh-CN"/>
        </w:rPr>
        <w:t>五</w:t>
      </w:r>
      <w:r>
        <w:rPr>
          <w:rFonts w:hint="eastAsia" w:ascii="黑体" w:hAnsi="黑体" w:eastAsia="黑体" w:cs="黑体"/>
          <w:spacing w:val="8"/>
          <w:sz w:val="32"/>
          <w:szCs w:val="32"/>
        </w:rPr>
        <w:t>、部门整体支出绩效情况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2023年，我校在县委、县政府的坚强领导和县教体局的正确指导下，坚持安全和质量“两条主线”，我校教育教学各项工作持续、稳步发展。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我校严格执行经费年初预算，按照上级的要求，强化制度建设，完善预算分配机制，进一步加强经费预算的执行管理，不断提高支出的经济性、效率性、有效性和可持续性。</w:t>
      </w:r>
    </w:p>
    <w:p>
      <w:pPr>
        <w:spacing w:line="500" w:lineRule="exact"/>
        <w:ind w:firstLine="560" w:firstLineChars="200"/>
        <w:rPr>
          <w:rFonts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</w:rPr>
        <w:t>根据定量分析及定性分析，综合考评得分为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100</w:t>
      </w:r>
      <w:r>
        <w:rPr>
          <w:rFonts w:hint="eastAsia" w:ascii="新宋体" w:hAnsi="新宋体" w:eastAsia="新宋体" w:cs="新宋体"/>
          <w:bCs/>
          <w:sz w:val="28"/>
          <w:szCs w:val="28"/>
        </w:rPr>
        <w:t>分，评价等次确定为优。</w:t>
      </w:r>
    </w:p>
    <w:p>
      <w:pPr>
        <w:spacing w:before="220" w:line="600" w:lineRule="exact"/>
        <w:ind w:left="641"/>
        <w:rPr>
          <w:rFonts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  <w:lang w:eastAsia="zh-CN"/>
        </w:rPr>
        <w:t>六</w:t>
      </w: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、存在的问题及原因分析</w:t>
      </w:r>
    </w:p>
    <w:p>
      <w:pPr>
        <w:widowControl/>
        <w:spacing w:line="560" w:lineRule="exact"/>
        <w:ind w:firstLine="560" w:firstLineChars="20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对项目资金开支分类需要进一步科学化、规范化，费用开支和绩效产出测得结果不够准确，需要进一步量化。预算管理、绩效管理、资金管理需要加强。</w:t>
      </w:r>
    </w:p>
    <w:p>
      <w:pPr>
        <w:spacing w:line="227" w:lineRule="auto"/>
        <w:ind w:left="643"/>
        <w:rPr>
          <w:rFonts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  <w:lang w:eastAsia="zh-CN"/>
        </w:rPr>
        <w:t>七</w:t>
      </w:r>
      <w:r>
        <w:rPr>
          <w:rFonts w:hint="eastAsia" w:ascii="黑体" w:hAnsi="黑体" w:eastAsia="黑体" w:cs="黑体"/>
          <w:spacing w:val="8"/>
          <w:sz w:val="32"/>
          <w:szCs w:val="32"/>
        </w:rPr>
        <w:t>、下一步改进措施</w:t>
      </w:r>
    </w:p>
    <w:p>
      <w:pPr>
        <w:widowControl/>
        <w:spacing w:line="560" w:lineRule="exact"/>
        <w:ind w:firstLine="560" w:firstLineChars="20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加强预算管理、绩效管理、资金管理等的制度建设与执行措施的改进，确保我单位绩效评价工作顺利进行。</w:t>
      </w:r>
    </w:p>
    <w:p>
      <w:pPr>
        <w:spacing w:before="219" w:line="600" w:lineRule="exact"/>
        <w:ind w:left="650"/>
        <w:rPr>
          <w:rFonts w:ascii="黑体" w:hAnsi="黑体" w:eastAsia="黑体" w:cs="黑体"/>
          <w:spacing w:val="8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  <w:lang w:eastAsia="zh-CN"/>
        </w:rPr>
        <w:t>八</w:t>
      </w: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、部门整体支出绩效自评结果拟应用和公开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pStyle w:val="2"/>
        <w:spacing w:line="560" w:lineRule="exact"/>
        <w:ind w:firstLine="560" w:firstLineChars="200"/>
        <w:rPr>
          <w:rFonts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>
      <w:pPr>
        <w:pStyle w:val="2"/>
        <w:spacing w:line="560" w:lineRule="exact"/>
        <w:ind w:firstLine="560" w:firstLineChars="200"/>
      </w:pPr>
      <w:r>
        <w:rPr>
          <w:rFonts w:hint="eastAsia" w:ascii="新宋体" w:hAnsi="新宋体" w:eastAsia="新宋体" w:cs="新宋体"/>
          <w:sz w:val="28"/>
          <w:szCs w:val="28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>
      <w:pPr>
        <w:spacing w:line="226" w:lineRule="auto"/>
        <w:ind w:left="647"/>
        <w:rPr>
          <w:rFonts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  <w:lang w:eastAsia="zh-CN"/>
        </w:rPr>
        <w:t>九</w:t>
      </w:r>
      <w:r>
        <w:rPr>
          <w:rFonts w:hint="eastAsia" w:ascii="黑体" w:hAnsi="黑体" w:eastAsia="黑体" w:cs="黑体"/>
          <w:spacing w:val="-3"/>
          <w:sz w:val="32"/>
          <w:szCs w:val="32"/>
        </w:rPr>
        <w:t>、其他需要说明的情况</w:t>
      </w:r>
    </w:p>
    <w:p>
      <w:pPr>
        <w:pStyle w:val="2"/>
        <w:spacing w:line="560" w:lineRule="exact"/>
        <w:ind w:firstLine="560" w:firstLineChars="200"/>
        <w:rPr>
          <w:sz w:val="22"/>
          <w:szCs w:val="22"/>
        </w:rPr>
      </w:pPr>
      <w:r>
        <w:rPr>
          <w:rFonts w:hint="eastAsia" w:ascii="新宋体" w:hAnsi="新宋体" w:eastAsia="新宋体" w:cs="新宋体"/>
          <w:sz w:val="28"/>
          <w:szCs w:val="28"/>
        </w:rPr>
        <w:t>其他需要说明的情况无。</w:t>
      </w:r>
    </w:p>
    <w:sectPr>
      <w:footerReference r:id="rId4" w:type="default"/>
      <w:pgSz w:w="11905" w:h="16838"/>
      <w:pgMar w:top="1984" w:right="1701" w:bottom="1984" w:left="1701" w:header="850" w:footer="1587" w:gutter="0"/>
      <w:pgNumType w:fmt="numberInDash"/>
      <w:cols w:space="0" w:num="1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3B4E6EE0-7370-494C-9C8F-25DBE56B19A8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980154BF-CD1D-4CF7-9B3B-4AE9BD708F4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95ADBCC5-76AB-4EE0-8235-AD536E670ABA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F04026F7-F3E5-443A-BC34-9D89F3445F74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554C45B0-7B9F-40EC-8DA6-B0D327DAAF1D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081D7C1D-1C5B-49CB-847A-7E4FCF0C7FC5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  <w:embedRegular r:id="rId7" w:fontKey="{F1D236CB-FB0D-42FE-AA85-9FC940F95800}"/>
  </w:font>
  <w:font w:name="仿宋_GB2312">
    <w:altName w:val="仿宋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8" w:fontKey="{4B5B2FE1-6540-4813-8A6E-82ED0B29838E}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  <w:embedRegular r:id="rId9" w:fontKey="{F0C7EDE3-98F9-48F4-BBA1-FA963FB78EF7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5AC1B929-3CDC-4167-91EB-C61C584A238B}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  <w:embedRegular r:id="rId11" w:fontKey="{0866C46C-1D5F-45C6-BB1C-C6EAE292ACDC}"/>
  </w:font>
  <w:font w:name="楷体_GB2312">
    <w:altName w:val="楷体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12" w:fontKey="{EBC56FA0-6AE0-4A40-B4FF-332089AB83AC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  <w:r>
      <w:rPr>
        <w:sz w:val="28"/>
      </w:rPr>
      <w:pict>
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p>
                <w:pPr>
                  <w:pStyle w:val="5"/>
                  <w:ind w:left="525" w:leftChars="250" w:right="525" w:rightChars="250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>
                  <w:rPr>
                    <w:rFonts w:eastAsia="华文仿宋"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w:pict>
        <v:shape id="_x0000_s3073" o:spid="_x0000_s3073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<v:path/>
          <v:fill on="f" focussize="0,0"/>
          <v:stroke on="f" weight="0.5pt" joinstyle="miter"/>
          <v:imagedata o:title=""/>
          <o:lock v:ext="edit"/>
          <v:textbox inset="0mm,0mm,0mm,0mm" style="mso-fit-shape-to-text:t;">
            <w:txbxContent>
              <w:p>
                <w:pPr>
                  <w:pStyle w:val="5"/>
                  <w:ind w:left="525" w:leftChars="250" w:right="525" w:rightChars="250"/>
                  <w:rPr>
                    <w:rFonts w:ascii="华文仿宋" w:hAnsi="华文仿宋" w:eastAsia="华文仿宋" w:cs="华文仿宋"/>
                    <w:sz w:val="28"/>
                    <w:szCs w:val="28"/>
                  </w:rPr>
                </w:pPr>
                <w:r>
                  <w:rPr>
                    <w:rFonts w:hint="eastAsia" w:ascii="华文仿宋" w:hAnsi="华文仿宋" w:eastAsia="华文仿宋" w:cs="华文仿宋"/>
                    <w:sz w:val="28"/>
                    <w:szCs w:val="28"/>
                  </w:rPr>
                  <w:fldChar w:fldCharType="begin"/>
                </w:r>
                <w:r>
                  <w:rPr>
                    <w:rFonts w:hint="eastAsia" w:ascii="华文仿宋" w:hAnsi="华文仿宋" w:eastAsia="华文仿宋" w:cs="华文仿宋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hint="eastAsia" w:ascii="华文仿宋" w:hAnsi="华文仿宋" w:eastAsia="华文仿宋" w:cs="华文仿宋"/>
                    <w:sz w:val="28"/>
                    <w:szCs w:val="28"/>
                  </w:rPr>
                  <w:fldChar w:fldCharType="separate"/>
                </w:r>
                <w:r>
                  <w:rPr>
                    <w:rFonts w:ascii="华文仿宋" w:hAnsi="华文仿宋" w:eastAsia="华文仿宋" w:cs="华文仿宋"/>
                    <w:sz w:val="28"/>
                    <w:szCs w:val="28"/>
                  </w:rPr>
                  <w:t>- 8 -</w:t>
                </w:r>
                <w:r>
                  <w:rPr>
                    <w:rFonts w:hint="eastAsia" w:ascii="华文仿宋" w:hAnsi="华文仿宋" w:eastAsia="华文仿宋" w:cs="华文仿宋"/>
                    <w:sz w:val="28"/>
                    <w:szCs w:val="28"/>
                  </w:rPr>
                  <w:fldChar w:fldCharType="end"/>
                </w:r>
              </w:p>
            </w:txbxContent>
          </v:textbox>
        </v:shape>
      </w:pic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1"/>
  <w:bordersDoNotSurroundFooter w:val="1"/>
  <w:documentProtection w:enforcement="0"/>
  <w:defaultTabStop w:val="420"/>
  <w:drawingGridHorizontalSpacing w:val="210"/>
  <w:drawingGridVerticalSpacing w:val="157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1,3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2"/>
  </w:compat>
  <w:rsids>
    <w:rsidRoot w:val="0CCB7736"/>
    <w:rsid w:val="00047FEF"/>
    <w:rsid w:val="000A3906"/>
    <w:rsid w:val="000C542F"/>
    <w:rsid w:val="000E7AFC"/>
    <w:rsid w:val="001776F1"/>
    <w:rsid w:val="001B0C93"/>
    <w:rsid w:val="0034758C"/>
    <w:rsid w:val="00357DC7"/>
    <w:rsid w:val="00412623"/>
    <w:rsid w:val="00456654"/>
    <w:rsid w:val="004C41BF"/>
    <w:rsid w:val="00556C55"/>
    <w:rsid w:val="00605558"/>
    <w:rsid w:val="006220A6"/>
    <w:rsid w:val="00680CAF"/>
    <w:rsid w:val="006E6622"/>
    <w:rsid w:val="006F0A16"/>
    <w:rsid w:val="00773328"/>
    <w:rsid w:val="007D4428"/>
    <w:rsid w:val="007E3696"/>
    <w:rsid w:val="00821883"/>
    <w:rsid w:val="00905555"/>
    <w:rsid w:val="00917857"/>
    <w:rsid w:val="00941DE6"/>
    <w:rsid w:val="0094660D"/>
    <w:rsid w:val="00951882"/>
    <w:rsid w:val="00A755C2"/>
    <w:rsid w:val="00B02C8C"/>
    <w:rsid w:val="00B81A7B"/>
    <w:rsid w:val="00D06DD6"/>
    <w:rsid w:val="00D44A7E"/>
    <w:rsid w:val="00DE1469"/>
    <w:rsid w:val="00E1034F"/>
    <w:rsid w:val="00ED4D90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3CD3622"/>
    <w:rsid w:val="64147F0D"/>
    <w:rsid w:val="643B4D43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eastAsia="en-US"/>
    </w:rPr>
  </w:style>
  <w:style w:type="paragraph" w:styleId="5">
    <w:name w:val="footer"/>
    <w:basedOn w:val="1"/>
    <w:link w:val="1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8">
    <w:name w:val="Table Grid"/>
    <w:basedOn w:val="7"/>
    <w:qFormat/>
    <w:uiPriority w:val="9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99"/>
    <w:rPr>
      <w:rFonts w:cs="Times New Roman"/>
    </w:rPr>
  </w:style>
  <w:style w:type="character" w:customStyle="1" w:styleId="11">
    <w:name w:val="页脚 Char"/>
    <w:basedOn w:val="9"/>
    <w:link w:val="5"/>
    <w:semiHidden/>
    <w:qFormat/>
    <w:uiPriority w:val="99"/>
    <w:rPr>
      <w:sz w:val="18"/>
      <w:szCs w:val="18"/>
    </w:rPr>
  </w:style>
  <w:style w:type="character" w:customStyle="1" w:styleId="12">
    <w:name w:val="页眉 Char"/>
    <w:basedOn w:val="9"/>
    <w:link w:val="6"/>
    <w:semiHidden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semiHidden/>
    <w:qFormat/>
    <w:uiPriority w:val="0"/>
    <w:rPr>
      <w:rFonts w:ascii="Arial" w:hAnsi="Arial" w:eastAsia="Arial" w:cs="Arial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  <customShpInfo spid="_x0000_s307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314</Words>
  <Characters>1790</Characters>
  <Lines>14</Lines>
  <Paragraphs>4</Paragraphs>
  <TotalTime>22</TotalTime>
  <ScaleCrop>false</ScaleCrop>
  <LinksUpToDate>false</LinksUpToDate>
  <CharactersWithSpaces>2100</CharactersWithSpaces>
  <Application>WPS Office_11.8.2.8555_F1E327BC-269C-435d-A152-05C5408002CA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2024-05-27T07:50:49Z</cp:lastPrinted>
  <dcterms:modified xsi:type="dcterms:W3CDTF">2024-05-27T07:52:39Z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2052-11.8.2.8555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