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344B0">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504FEB2B">
      <w:pPr>
        <w:pStyle w:val="13"/>
        <w:jc w:val="center"/>
        <w:rPr>
          <w:rFonts w:hint="eastAsia" w:ascii="方正小标宋_GBK" w:hAnsi="方正小标宋_GBK" w:eastAsia="方正小标宋_GBK" w:cs="方正小标宋_GBK"/>
          <w:sz w:val="84"/>
          <w:szCs w:val="84"/>
        </w:rPr>
      </w:pPr>
      <w:r>
        <w:rPr>
          <w:rFonts w:hint="eastAsia" w:ascii="黑体" w:hAnsi="黑体" w:eastAsia="黑体"/>
          <w:sz w:val="84"/>
          <w:szCs w:val="24"/>
          <w:highlight w:val="white"/>
          <w:lang w:val="zh-CN"/>
        </w:rPr>
        <w:t>华容县城兴小学</w:t>
      </w:r>
      <w:r>
        <w:rPr>
          <w:rFonts w:hint="eastAsia" w:ascii="方正小标宋_GBK" w:hAnsi="方正小标宋_GBK" w:eastAsia="方正小标宋_GBK" w:cs="方正小标宋_GBK"/>
          <w:sz w:val="84"/>
          <w:szCs w:val="84"/>
        </w:rPr>
        <w:t>部门决算</w:t>
      </w:r>
    </w:p>
    <w:p w14:paraId="680454DA">
      <w:pPr>
        <w:pStyle w:val="13"/>
        <w:spacing w:line="500" w:lineRule="exact"/>
        <w:jc w:val="center"/>
        <w:rPr>
          <w:b/>
          <w:sz w:val="36"/>
          <w:szCs w:val="28"/>
        </w:rPr>
      </w:pPr>
      <w:r>
        <w:rPr>
          <w:rFonts w:hint="eastAsia"/>
          <w:b/>
          <w:sz w:val="36"/>
          <w:szCs w:val="28"/>
        </w:rPr>
        <w:t>目录</w:t>
      </w:r>
    </w:p>
    <w:p w14:paraId="2A052058">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lang w:val="zh-CN"/>
        </w:rPr>
        <w:t>华容县城兴小学</w:t>
      </w:r>
      <w:r>
        <w:rPr>
          <w:rFonts w:hint="eastAsia" w:ascii="黑体" w:hAnsi="黑体" w:eastAsia="黑体" w:cs="黑体"/>
          <w:b w:val="0"/>
          <w:bCs/>
          <w:sz w:val="28"/>
          <w:szCs w:val="28"/>
        </w:rPr>
        <w:t>概况</w:t>
      </w:r>
    </w:p>
    <w:p w14:paraId="2BD3730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7483239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252B0BFC">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ascii="黑体" w:hAnsi="黑体" w:eastAsia="黑体"/>
          <w:b/>
          <w:color w:val="000000"/>
          <w:kern w:val="0"/>
          <w:sz w:val="28"/>
          <w:szCs w:val="24"/>
          <w:highlight w:val="white"/>
        </w:rPr>
        <w:t>202</w:t>
      </w:r>
      <w:r>
        <w:rPr>
          <w:rFonts w:hint="eastAsia" w:hAnsi="黑体"/>
          <w:b/>
          <w:color w:val="000000"/>
          <w:kern w:val="0"/>
          <w:sz w:val="28"/>
          <w:szCs w:val="24"/>
          <w:highlight w:val="white"/>
          <w:lang w:val="en-US" w:eastAsia="zh-CN"/>
        </w:rPr>
        <w:t>3</w:t>
      </w:r>
      <w:r>
        <w:rPr>
          <w:rFonts w:hint="eastAsia" w:ascii="黑体" w:hAnsi="黑体" w:eastAsia="黑体"/>
          <w:b/>
          <w:color w:val="000000"/>
          <w:kern w:val="0"/>
          <w:sz w:val="28"/>
          <w:szCs w:val="24"/>
          <w:highlight w:val="white"/>
        </w:rPr>
        <w:t>年度</w:t>
      </w:r>
      <w:r>
        <w:rPr>
          <w:rFonts w:hint="eastAsia" w:ascii="黑体" w:hAnsi="黑体" w:eastAsia="黑体" w:cs="黑体"/>
          <w:b w:val="0"/>
          <w:bCs/>
          <w:sz w:val="28"/>
          <w:szCs w:val="28"/>
        </w:rPr>
        <w:t>部门决算表</w:t>
      </w:r>
    </w:p>
    <w:p w14:paraId="23488BC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6E4F1C8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5A6153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6A3A3C1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59383FA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2E43317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6337AA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654BC4D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A62FCE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35CA8DA5">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202</w:t>
      </w:r>
      <w:r>
        <w:rPr>
          <w:rFonts w:hint="eastAsia" w:ascii="黑体" w:hAnsi="黑体" w:eastAsia="黑体" w:cs="黑体"/>
          <w:b w:val="0"/>
          <w:bCs/>
          <w:sz w:val="28"/>
          <w:szCs w:val="28"/>
          <w:lang w:val="en-US" w:eastAsia="zh-CN"/>
        </w:rPr>
        <w:t>3</w:t>
      </w:r>
      <w:r>
        <w:rPr>
          <w:rFonts w:hint="eastAsia" w:ascii="黑体" w:hAnsi="黑体" w:eastAsia="黑体" w:cs="黑体"/>
          <w:b w:val="0"/>
          <w:bCs/>
          <w:sz w:val="28"/>
          <w:szCs w:val="28"/>
        </w:rPr>
        <w:t>年度部门决算情况说明</w:t>
      </w:r>
    </w:p>
    <w:p w14:paraId="298633B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6D2B1DE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51D99A8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三、支出决算情况说明</w:t>
      </w:r>
    </w:p>
    <w:p w14:paraId="557765EF">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四、财政拨款收入支出决算总体情况说明</w:t>
      </w:r>
    </w:p>
    <w:p w14:paraId="4C3FC945">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五、一般公共预算财政拨款支出决算情况说明</w:t>
      </w:r>
    </w:p>
    <w:p w14:paraId="4FEB5D0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六、一般公共预算财政拨款基本支出决算情况说明</w:t>
      </w:r>
    </w:p>
    <w:p w14:paraId="5A2912EA">
      <w:pPr>
        <w:pStyle w:val="13"/>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七、政府性基金预算收入支出决算情况</w:t>
      </w:r>
      <w:r>
        <w:rPr>
          <w:rFonts w:hint="eastAsia" w:ascii="仿宋_GB2312" w:hAnsi="仿宋_GB2312" w:eastAsia="仿宋_GB2312" w:cs="仿宋_GB2312"/>
          <w:sz w:val="28"/>
          <w:szCs w:val="28"/>
          <w:lang w:eastAsia="zh-CN"/>
        </w:rPr>
        <w:t>说明</w:t>
      </w:r>
    </w:p>
    <w:p w14:paraId="5B0A2BF5">
      <w:pPr>
        <w:pStyle w:val="13"/>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八、国有资本经营预算财政拨款支出决算情况</w:t>
      </w:r>
      <w:r>
        <w:rPr>
          <w:rFonts w:hint="eastAsia" w:ascii="仿宋_GB2312" w:hAnsi="仿宋_GB2312" w:eastAsia="仿宋_GB2312" w:cs="仿宋_GB2312"/>
          <w:sz w:val="28"/>
          <w:szCs w:val="28"/>
          <w:lang w:eastAsia="zh-CN"/>
        </w:rPr>
        <w:t>说明</w:t>
      </w:r>
    </w:p>
    <w:p w14:paraId="5C9BDE8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九、财政拨款“三公”经费支出决算情况说明</w:t>
      </w:r>
    </w:p>
    <w:p w14:paraId="0DF690F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十、机关运行经费支出说明</w:t>
      </w:r>
    </w:p>
    <w:p w14:paraId="06B8814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十一、一般性支出情况</w:t>
      </w:r>
    </w:p>
    <w:p w14:paraId="4697B15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十二、政府采购支出说明</w:t>
      </w:r>
    </w:p>
    <w:p w14:paraId="22E8DE9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十三、国有资产占用情况说明</w:t>
      </w:r>
    </w:p>
    <w:p w14:paraId="123D399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十四、</w:t>
      </w:r>
      <w:r>
        <w:rPr>
          <w:rFonts w:hint="eastAsia" w:ascii="仿宋_GB2312" w:hAnsi="仿宋_GB2312" w:eastAsia="仿宋_GB2312" w:cs="仿宋_GB2312"/>
          <w:sz w:val="28"/>
          <w:szCs w:val="28"/>
          <w:lang w:eastAsia="zh-CN"/>
        </w:rPr>
        <w:t>2023</w:t>
      </w:r>
      <w:r>
        <w:rPr>
          <w:rFonts w:hint="eastAsia" w:ascii="仿宋_GB2312" w:hAnsi="仿宋_GB2312" w:eastAsia="仿宋_GB2312" w:cs="仿宋_GB2312"/>
          <w:sz w:val="28"/>
          <w:szCs w:val="28"/>
        </w:rPr>
        <w:t>年度预算绩效情况的说明</w:t>
      </w:r>
    </w:p>
    <w:p w14:paraId="51DA0456">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597E01BA">
      <w:pPr>
        <w:widowControl/>
        <w:spacing w:beforeLines="0" w:afterLines="0" w:line="520" w:lineRule="exact"/>
        <w:jc w:val="left"/>
        <w:rPr>
          <w:rFonts w:hint="default" w:ascii="黑体" w:hAnsi="黑体" w:eastAsia="黑体" w:cs="黑体"/>
          <w:b w:val="0"/>
          <w:bCs/>
          <w:color w:val="000000"/>
          <w:kern w:val="0"/>
          <w:sz w:val="28"/>
          <w:szCs w:val="28"/>
          <w:lang w:val="zh-CN" w:bidi="ar-SA"/>
        </w:rPr>
      </w:pPr>
      <w:r>
        <w:rPr>
          <w:rFonts w:hint="eastAsia" w:ascii="黑体" w:hAnsi="黑体" w:eastAsia="黑体" w:cs="黑体"/>
          <w:b w:val="0"/>
          <w:bCs/>
          <w:color w:val="000000"/>
          <w:kern w:val="0"/>
          <w:sz w:val="28"/>
          <w:szCs w:val="28"/>
          <w:lang w:val="en-US" w:bidi="ar-SA"/>
        </w:rPr>
        <w:t>第五部分</w:t>
      </w:r>
      <w:r>
        <w:rPr>
          <w:rFonts w:hint="eastAsia" w:ascii="黑体" w:hAnsi="黑体" w:eastAsia="黑体" w:cs="黑体"/>
          <w:b w:val="0"/>
          <w:bCs/>
          <w:color w:val="000000"/>
          <w:kern w:val="0"/>
          <w:sz w:val="28"/>
          <w:szCs w:val="28"/>
          <w:lang w:val="en-US" w:eastAsia="zh-CN" w:bidi="ar-SA"/>
        </w:rPr>
        <w:t xml:space="preserve"> </w:t>
      </w:r>
      <w:r>
        <w:rPr>
          <w:rFonts w:hint="eastAsia" w:ascii="黑体" w:hAnsi="黑体" w:eastAsia="黑体" w:cs="黑体"/>
          <w:b w:val="0"/>
          <w:bCs/>
          <w:color w:val="000000"/>
          <w:kern w:val="0"/>
          <w:sz w:val="28"/>
          <w:szCs w:val="28"/>
          <w:lang w:val="en-US" w:bidi="ar-SA"/>
        </w:rPr>
        <w:t>附件</w:t>
      </w:r>
    </w:p>
    <w:p w14:paraId="7759B1E0">
      <w:pPr>
        <w:keepLines/>
        <w:widowControl w:val="0"/>
        <w:spacing w:beforeLines="0" w:afterLines="0"/>
        <w:ind w:firstLine="640"/>
        <w:rPr>
          <w:rFonts w:hint="eastAsia" w:ascii="黑体" w:hAnsi="黑体" w:eastAsia="黑体" w:cs="Times New Roman"/>
          <w:color w:val="auto"/>
          <w:sz w:val="32"/>
          <w:szCs w:val="24"/>
          <w:highlight w:val="white"/>
          <w:lang w:val="en-US"/>
        </w:rPr>
      </w:pPr>
    </w:p>
    <w:p w14:paraId="382BECB7">
      <w:pPr>
        <w:keepNext/>
        <w:keepLines/>
        <w:ind w:firstLine="640"/>
        <w:rPr>
          <w:rFonts w:eastAsia="Times New Roman"/>
          <w:sz w:val="32"/>
          <w:szCs w:val="24"/>
          <w:highlight w:val="white"/>
        </w:rPr>
      </w:pPr>
      <w:r>
        <w:rPr>
          <w:rFonts w:hint="eastAsia" w:ascii="黑体" w:hAnsi="黑体" w:eastAsia="黑体"/>
          <w:sz w:val="32"/>
          <w:szCs w:val="24"/>
          <w:highlight w:val="white"/>
        </w:rPr>
        <w:t>第一部分</w:t>
      </w:r>
    </w:p>
    <w:p w14:paraId="682D786F">
      <w:pPr>
        <w:keepNext/>
        <w:keepLines/>
        <w:ind w:firstLine="640"/>
        <w:rPr>
          <w:rFonts w:eastAsia="Times New Roman"/>
          <w:sz w:val="32"/>
          <w:szCs w:val="24"/>
          <w:highlight w:val="white"/>
        </w:rPr>
      </w:pPr>
      <w:r>
        <w:rPr>
          <w:rFonts w:hint="eastAsia" w:ascii="黑体" w:hAnsi="黑体" w:eastAsia="黑体"/>
          <w:sz w:val="32"/>
          <w:szCs w:val="24"/>
          <w:highlight w:val="white"/>
          <w:lang w:val="zh-CN"/>
        </w:rPr>
        <w:t>华容县城兴小学</w:t>
      </w:r>
      <w:r>
        <w:rPr>
          <w:rFonts w:hint="eastAsia" w:ascii="黑体" w:hAnsi="黑体" w:eastAsia="黑体"/>
          <w:sz w:val="32"/>
          <w:szCs w:val="24"/>
          <w:highlight w:val="white"/>
        </w:rPr>
        <w:t>概况</w:t>
      </w:r>
    </w:p>
    <w:p w14:paraId="758DA197">
      <w:pPr>
        <w:pStyle w:val="14"/>
        <w:numPr>
          <w:ilvl w:val="0"/>
          <w:numId w:val="0"/>
        </w:numPr>
        <w:ind w:leftChars="0"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14:paraId="7113CE63">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（一）宣传贯彻执行党和国家的教育方针、教育政策、教育法律和法规，贯彻执行上级教育行政部门的各项规章制度。</w:t>
      </w:r>
    </w:p>
    <w:p w14:paraId="1866B9C7">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（二）在政府和上级教育主管部门的领导下，争取资金改善办学条件，为师生的学习和工作提供优美和谐的环境。</w:t>
      </w:r>
    </w:p>
    <w:p w14:paraId="55EE65FC">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三</w:t>
      </w:r>
      <w:r>
        <w:rPr>
          <w:rFonts w:hint="eastAsia" w:ascii="Times New Roman" w:hAnsi="Times New Roman" w:eastAsia="仿宋_GB2312" w:cs="仿宋_GB2312"/>
          <w:sz w:val="32"/>
          <w:szCs w:val="32"/>
        </w:rPr>
        <w:t>）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14:paraId="51CAF386">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四</w:t>
      </w:r>
      <w:r>
        <w:rPr>
          <w:rFonts w:hint="eastAsia" w:ascii="Times New Roman" w:hAnsi="Times New Roman" w:eastAsia="仿宋_GB2312" w:cs="仿宋_GB2312"/>
          <w:sz w:val="32"/>
          <w:szCs w:val="32"/>
        </w:rPr>
        <w:t>）按照小学义务教育课程计划，开齐课程，开足课时，认真实施教育教学管理，全面推进素质教育，全面提高教育教学质量。</w:t>
      </w:r>
    </w:p>
    <w:p w14:paraId="4463203F">
      <w:pPr>
        <w:ind w:firstLine="800" w:firstLineChars="250"/>
        <w:jc w:val="left"/>
        <w:rPr>
          <w:rFonts w:hint="eastAsia" w:ascii="宋体" w:hAnsi="宋体" w:cs="宋体"/>
          <w:sz w:val="32"/>
          <w:szCs w:val="24"/>
        </w:rPr>
      </w:pPr>
    </w:p>
    <w:p w14:paraId="0DE15868">
      <w:pPr>
        <w:widowControl/>
        <w:spacing w:line="600" w:lineRule="exact"/>
        <w:ind w:firstLine="640" w:firstLineChars="200"/>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3364278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zh-CN"/>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zh-CN"/>
        </w:rPr>
        <w:t>。</w:t>
      </w:r>
    </w:p>
    <w:p w14:paraId="0A45B1B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zh-CN"/>
        </w:rPr>
      </w:pPr>
      <w:r>
        <w:rPr>
          <w:rFonts w:hint="eastAsia" w:ascii="Times New Roman" w:hAnsi="Times New Roman" w:eastAsia="仿宋_GB2312" w:cs="仿宋_GB2312"/>
          <w:bCs/>
          <w:kern w:val="0"/>
          <w:sz w:val="32"/>
          <w:szCs w:val="32"/>
          <w:lang w:val="zh-CN"/>
        </w:rPr>
        <w:t>华容县城兴小学单位内设机构包括：办公室、德育处、教导处、后勤处、工会。</w:t>
      </w:r>
    </w:p>
    <w:p w14:paraId="0351534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p>
    <w:p w14:paraId="7F3AD36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val="zh-CN"/>
        </w:rPr>
        <w:t>华容县城兴小学单位202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lang w:val="zh-CN"/>
        </w:rPr>
        <w:t>年部门决算汇总公开单位构成包括：华容县城兴小学</w:t>
      </w:r>
      <w:r>
        <w:rPr>
          <w:rFonts w:hint="eastAsia" w:ascii="Times New Roman" w:hAnsi="Times New Roman" w:eastAsia="仿宋_GB2312" w:cs="仿宋_GB2312"/>
          <w:bCs/>
          <w:kern w:val="0"/>
          <w:sz w:val="32"/>
          <w:szCs w:val="32"/>
        </w:rPr>
        <w:t>。</w:t>
      </w:r>
    </w:p>
    <w:p w14:paraId="57DDF4E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rPr>
      </w:pPr>
    </w:p>
    <w:p w14:paraId="40D942F2">
      <w:pPr>
        <w:keepNext w:val="0"/>
        <w:keepLines w:val="0"/>
        <w:pageBreakBefore w:val="0"/>
        <w:widowControl w:val="0"/>
        <w:kinsoku/>
        <w:wordWrap/>
        <w:overflowPunct/>
        <w:topLinePunct w:val="0"/>
        <w:bidi w:val="0"/>
        <w:snapToGrid/>
        <w:spacing w:beforeLines="0" w:afterLines="0"/>
        <w:ind w:firstLine="640"/>
        <w:textAlignment w:val="auto"/>
        <w:rPr>
          <w:rFonts w:hint="eastAsia" w:ascii="方正小标宋_GBK" w:hAnsi="方正小标宋_GBK" w:eastAsia="方正小标宋_GBK" w:cs="方正小标宋_GBK"/>
          <w:sz w:val="72"/>
          <w:szCs w:val="72"/>
        </w:rPr>
      </w:pPr>
      <w:r>
        <w:rPr>
          <w:rFonts w:hint="eastAsia" w:ascii="黑体" w:hAnsi="黑体" w:eastAsia="黑体" w:cs="Times New Roman"/>
          <w:color w:val="auto"/>
          <w:sz w:val="32"/>
          <w:szCs w:val="24"/>
          <w:highlight w:val="white"/>
          <w:lang w:val="en-US"/>
        </w:rPr>
        <w:t>第二部分</w:t>
      </w:r>
      <w:r>
        <w:rPr>
          <w:rFonts w:hint="eastAsia" w:ascii="黑体" w:hAnsi="黑体" w:eastAsia="黑体" w:cs="Times New Roman"/>
          <w:color w:val="auto"/>
          <w:sz w:val="32"/>
          <w:szCs w:val="24"/>
          <w:highlight w:val="white"/>
          <w:lang w:val="en-US" w:eastAsia="zh-CN"/>
        </w:rPr>
        <w:t xml:space="preserve"> </w:t>
      </w:r>
      <w:r>
        <w:rPr>
          <w:rFonts w:hint="eastAsia" w:ascii="黑体" w:hAnsi="黑体" w:eastAsia="黑体" w:cs="Times New Roman"/>
          <w:color w:val="auto"/>
          <w:sz w:val="32"/>
          <w:szCs w:val="24"/>
          <w:highlight w:val="white"/>
          <w:lang w:val="en-US"/>
        </w:rPr>
        <w:t>部门决算表（见附表）</w:t>
      </w:r>
    </w:p>
    <w:p w14:paraId="522C0E4B">
      <w:pPr>
        <w:pStyle w:val="13"/>
        <w:keepNext w:val="0"/>
        <w:keepLines w:val="0"/>
        <w:pageBreakBefore w:val="0"/>
        <w:widowControl w:val="0"/>
        <w:kinsoku/>
        <w:wordWrap/>
        <w:overflowPunct/>
        <w:topLinePunct w:val="0"/>
        <w:bidi w:val="0"/>
        <w:snapToGrid/>
        <w:ind w:firstLine="640" w:firstLineChars="200"/>
        <w:jc w:val="both"/>
        <w:textAlignment w:val="auto"/>
        <w:rPr>
          <w:rFonts w:hint="eastAsia" w:ascii="黑体" w:hAnsi="黑体" w:eastAsia="黑体" w:cs="Times New Roman"/>
          <w:color w:val="auto"/>
          <w:kern w:val="2"/>
          <w:sz w:val="32"/>
          <w:szCs w:val="24"/>
          <w:highlight w:val="white"/>
          <w:lang w:val="en-US" w:eastAsia="zh-CN" w:bidi="ar-SA"/>
        </w:rPr>
      </w:pPr>
    </w:p>
    <w:p w14:paraId="0F9C88F0">
      <w:pPr>
        <w:pStyle w:val="13"/>
        <w:keepNext w:val="0"/>
        <w:keepLines w:val="0"/>
        <w:pageBreakBefore w:val="0"/>
        <w:widowControl w:val="0"/>
        <w:kinsoku/>
        <w:wordWrap/>
        <w:overflowPunct/>
        <w:topLinePunct w:val="0"/>
        <w:bidi w:val="0"/>
        <w:snapToGrid/>
        <w:ind w:firstLine="640" w:firstLineChars="200"/>
        <w:jc w:val="both"/>
        <w:textAlignment w:val="auto"/>
        <w:rPr>
          <w:rFonts w:hint="eastAsia" w:ascii="黑体" w:hAnsi="黑体" w:eastAsia="黑体" w:cs="Times New Roman"/>
          <w:color w:val="auto"/>
          <w:kern w:val="2"/>
          <w:sz w:val="32"/>
          <w:szCs w:val="24"/>
          <w:highlight w:val="white"/>
          <w:lang w:val="en-US" w:eastAsia="zh-CN" w:bidi="ar-SA"/>
        </w:rPr>
      </w:pPr>
      <w:r>
        <w:rPr>
          <w:rFonts w:hint="eastAsia" w:ascii="黑体" w:hAnsi="黑体" w:eastAsia="黑体" w:cs="Times New Roman"/>
          <w:color w:val="auto"/>
          <w:kern w:val="2"/>
          <w:sz w:val="32"/>
          <w:szCs w:val="24"/>
          <w:highlight w:val="white"/>
          <w:lang w:val="en-US" w:eastAsia="zh-CN" w:bidi="ar-SA"/>
        </w:rPr>
        <w:t>第三部分</w:t>
      </w:r>
      <w:r>
        <w:rPr>
          <w:rFonts w:hint="eastAsia" w:hAnsi="黑体" w:cs="Times New Roman"/>
          <w:color w:val="auto"/>
          <w:kern w:val="2"/>
          <w:sz w:val="32"/>
          <w:szCs w:val="24"/>
          <w:highlight w:val="white"/>
          <w:lang w:val="en-US" w:eastAsia="zh-CN" w:bidi="ar-SA"/>
        </w:rPr>
        <w:t xml:space="preserve"> 2023</w:t>
      </w:r>
      <w:r>
        <w:rPr>
          <w:rFonts w:hint="eastAsia" w:ascii="黑体" w:hAnsi="黑体" w:eastAsia="黑体" w:cs="Times New Roman"/>
          <w:color w:val="auto"/>
          <w:kern w:val="2"/>
          <w:sz w:val="32"/>
          <w:szCs w:val="24"/>
          <w:highlight w:val="white"/>
          <w:lang w:val="en-US" w:eastAsia="zh-CN" w:bidi="ar-SA"/>
        </w:rPr>
        <w:t>年度部门决算情况说明</w:t>
      </w:r>
    </w:p>
    <w:p w14:paraId="4AE201BC">
      <w:pPr>
        <w:keepNext w:val="0"/>
        <w:keepLines w:val="0"/>
        <w:pageBreakBefore w:val="0"/>
        <w:widowControl w:val="0"/>
        <w:kinsoku/>
        <w:wordWrap/>
        <w:overflowPunct/>
        <w:topLinePunct w:val="0"/>
        <w:bidi w:val="0"/>
        <w:snapToGrid/>
        <w:ind w:firstLine="640" w:firstLineChars="200"/>
        <w:jc w:val="left"/>
        <w:textAlignment w:val="auto"/>
        <w:rPr>
          <w:rFonts w:hint="eastAsia" w:ascii="黑体" w:hAnsi="黑体" w:eastAsia="黑体" w:cs="黑体"/>
          <w:b w:val="0"/>
          <w:bCs/>
          <w:sz w:val="32"/>
          <w:szCs w:val="32"/>
        </w:rPr>
      </w:pPr>
    </w:p>
    <w:p w14:paraId="51822289">
      <w:pPr>
        <w:keepNext w:val="0"/>
        <w:keepLines w:val="0"/>
        <w:pageBreakBefore w:val="0"/>
        <w:widowControl w:val="0"/>
        <w:kinsoku/>
        <w:wordWrap/>
        <w:overflowPunct/>
        <w:topLinePunct w:val="0"/>
        <w:bidi w:val="0"/>
        <w:snapToGrid/>
        <w:ind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74BF7F6A">
      <w:pPr>
        <w:keepNext/>
        <w:keepLines/>
        <w:widowControl w:val="0"/>
        <w:ind w:firstLine="641"/>
        <w:rPr>
          <w:rFonts w:hint="eastAsia" w:ascii="Times New Roman" w:hAnsi="Times New Roman" w:eastAsia="仿宋_GB2312"/>
          <w:sz w:val="32"/>
          <w:szCs w:val="32"/>
          <w:lang w:val="zh-CN"/>
        </w:rPr>
      </w:pP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490.1</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4.62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0.93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zh-CN"/>
        </w:rPr>
        <w:t>单位项目减少，经济形势影响等变化，导致事业收入减少；</w:t>
      </w:r>
      <w:r>
        <w:rPr>
          <w:rFonts w:hint="eastAsia" w:ascii="Times New Roman" w:hAnsi="Times New Roman" w:eastAsia="仿宋_GB2312"/>
          <w:sz w:val="32"/>
          <w:szCs w:val="32"/>
        </w:rPr>
        <w:t>学生</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rPr>
        <w:t>，课后服务收入</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zh-CN"/>
        </w:rPr>
        <w:t>。</w:t>
      </w:r>
    </w:p>
    <w:p w14:paraId="29F608C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BBB404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490.1</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415.92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85</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74.18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4A09F45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619F10F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490.1</w:t>
      </w:r>
      <w:r>
        <w:rPr>
          <w:rFonts w:hint="eastAsia" w:ascii="Times New Roman" w:hAnsi="Times New Roman" w:eastAsia="仿宋_GB2312"/>
          <w:sz w:val="32"/>
          <w:szCs w:val="32"/>
        </w:rPr>
        <w:t>万元，其中：基本支出431.59万元，占</w:t>
      </w:r>
      <w:r>
        <w:rPr>
          <w:rFonts w:hint="eastAsia" w:ascii="Times New Roman" w:hAnsi="Times New Roman" w:eastAsia="仿宋_GB2312"/>
          <w:sz w:val="32"/>
          <w:szCs w:val="32"/>
          <w:lang w:val="en-US" w:eastAsia="zh-CN"/>
        </w:rPr>
        <w:t>88</w:t>
      </w:r>
      <w:r>
        <w:rPr>
          <w:rFonts w:hint="eastAsia" w:ascii="Times New Roman" w:hAnsi="Times New Roman" w:eastAsia="仿宋_GB2312"/>
          <w:sz w:val="32"/>
          <w:szCs w:val="32"/>
        </w:rPr>
        <w:t>%；项目支出58.51万元，占</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66A580D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1FD67942">
      <w:pPr>
        <w:keepNext/>
        <w:keepLines/>
        <w:widowControl w:val="0"/>
        <w:ind w:firstLine="641"/>
        <w:rPr>
          <w:rFonts w:ascii="Times New Roman" w:hAnsi="Times New Roman" w:eastAsia="仿宋_GB2312"/>
          <w:sz w:val="32"/>
          <w:szCs w:val="32"/>
        </w:rPr>
      </w:pP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eastAsia="zh-CN"/>
        </w:rPr>
        <w:t>均为</w:t>
      </w:r>
      <w:r>
        <w:rPr>
          <w:rFonts w:hint="eastAsia" w:ascii="Times New Roman" w:hAnsi="Times New Roman" w:eastAsia="仿宋_GB2312"/>
          <w:sz w:val="32"/>
          <w:szCs w:val="32"/>
        </w:rPr>
        <w:t>415.92万元，与上年相比，增加</w:t>
      </w:r>
      <w:r>
        <w:rPr>
          <w:rFonts w:hint="eastAsia" w:ascii="Times New Roman" w:hAnsi="Times New Roman" w:eastAsia="仿宋_GB2312"/>
          <w:sz w:val="32"/>
          <w:szCs w:val="32"/>
          <w:lang w:val="en-US" w:eastAsia="zh-CN"/>
        </w:rPr>
        <w:t>3.25</w:t>
      </w:r>
      <w:r>
        <w:rPr>
          <w:rFonts w:hint="eastAsia" w:ascii="Times New Roman" w:hAnsi="Times New Roman" w:eastAsia="仿宋_GB2312"/>
          <w:sz w:val="32"/>
          <w:szCs w:val="32"/>
        </w:rPr>
        <w:t>万元,增</w:t>
      </w:r>
      <w:r>
        <w:rPr>
          <w:rFonts w:hint="eastAsia" w:ascii="Times New Roman" w:hAnsi="Times New Roman" w:eastAsia="仿宋_GB2312"/>
          <w:sz w:val="32"/>
          <w:szCs w:val="32"/>
          <w:lang w:eastAsia="zh-CN"/>
        </w:rPr>
        <w:t>长</w:t>
      </w:r>
      <w:r>
        <w:rPr>
          <w:rFonts w:hint="eastAsia" w:ascii="Times New Roman" w:hAnsi="Times New Roman" w:eastAsia="仿宋_GB2312"/>
          <w:sz w:val="32"/>
          <w:szCs w:val="32"/>
          <w:lang w:val="en-US" w:eastAsia="zh-CN"/>
        </w:rPr>
        <w:t>0.79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zh-CN"/>
        </w:rPr>
        <w:t>单位人员增加、职称结构变化及工资标准提升，导致人员经费拨款增加。</w:t>
      </w:r>
    </w:p>
    <w:p w14:paraId="2A8BABB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1FADA70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（一）财政拨款支出决算总体情况</w:t>
      </w:r>
    </w:p>
    <w:p w14:paraId="715181C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415.92</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85</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3.25</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0.79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zh-CN"/>
        </w:rPr>
        <w:t>单位人员增加、职称结构变化及工资标准提升，导致人员经费拨款增加。</w:t>
      </w:r>
    </w:p>
    <w:p w14:paraId="04965677">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（二）财政拨款支出决算结构情况</w:t>
      </w:r>
    </w:p>
    <w:p w14:paraId="43486A0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415.92</w:t>
      </w:r>
      <w:r>
        <w:rPr>
          <w:rFonts w:hint="eastAsia" w:ascii="Times New Roman" w:hAnsi="Times New Roman" w:eastAsia="仿宋_GB2312"/>
          <w:sz w:val="32"/>
          <w:szCs w:val="32"/>
        </w:rPr>
        <w:t>万元，主要用于以下方面：教育（类）支出41</w:t>
      </w:r>
      <w:r>
        <w:rPr>
          <w:rFonts w:hint="eastAsia" w:ascii="Times New Roman" w:hAnsi="Times New Roman" w:eastAsia="仿宋_GB2312"/>
          <w:sz w:val="32"/>
          <w:szCs w:val="32"/>
          <w:lang w:val="en-US" w:eastAsia="zh-CN"/>
        </w:rPr>
        <w:t>5.92</w:t>
      </w:r>
      <w:r>
        <w:rPr>
          <w:rFonts w:hint="eastAsia" w:ascii="Times New Roman" w:hAnsi="Times New Roman" w:eastAsia="仿宋_GB2312"/>
          <w:sz w:val="32"/>
          <w:szCs w:val="32"/>
        </w:rPr>
        <w:t>万元，占100%。</w:t>
      </w:r>
    </w:p>
    <w:p w14:paraId="67748573">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（三）财政拨款支出决算具体情况</w:t>
      </w:r>
    </w:p>
    <w:p w14:paraId="378BF7C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highlight w:val="none"/>
          <w:lang w:val="en-US" w:eastAsia="zh-CN"/>
        </w:rPr>
        <w:t>372.43</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490.1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highlight w:val="none"/>
          <w:lang w:val="en-US" w:eastAsia="zh-CN"/>
        </w:rPr>
        <w:t>131.6</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rPr>
        <w:t>其中：</w:t>
      </w:r>
    </w:p>
    <w:p w14:paraId="68C8884E">
      <w:pPr>
        <w:keepNext/>
        <w:keepLines/>
        <w:ind w:firstLine="640"/>
        <w:rPr>
          <w:rFonts w:hint="eastAsia" w:ascii="Times New Roman" w:hAnsi="Times New Roman" w:eastAsia="仿宋_GB2312" w:cs="黑体"/>
          <w:color w:val="000000"/>
          <w:kern w:val="0"/>
          <w:sz w:val="32"/>
          <w:szCs w:val="32"/>
          <w:lang w:val="zh-CN" w:eastAsia="zh-CN" w:bidi="ar-SA"/>
        </w:rPr>
      </w:pPr>
      <w:r>
        <w:rPr>
          <w:rFonts w:hint="eastAsia" w:ascii="Times New Roman" w:hAnsi="Times New Roman" w:eastAsia="仿宋_GB2312" w:cs="黑体"/>
          <w:color w:val="000000"/>
          <w:kern w:val="0"/>
          <w:sz w:val="32"/>
          <w:szCs w:val="32"/>
          <w:lang w:val="en-US" w:eastAsia="zh-CN" w:bidi="ar-SA"/>
        </w:rPr>
        <w:t>教育支出（类）普通教育（款）小学教育（项）。年初预算为372.43万元，支出决算为343.86万元，完成年初预算的92.33%。决算数小于预算数的主要原因是本年度我校学生减少。</w:t>
      </w:r>
    </w:p>
    <w:p w14:paraId="5837FE29">
      <w:pPr>
        <w:keepNext/>
        <w:keepLines/>
        <w:ind w:firstLine="64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教育支出（类）普通教育（款）其他普通教育支出（项）。年初预算为0万元，支出决算为58.51万元，完成年初预算的0%。决算数大于预算数的主要原因是年初预算只有基本支出预算，没有项目支出预算。</w:t>
      </w:r>
    </w:p>
    <w:p w14:paraId="1FF971B8">
      <w:pPr>
        <w:keepNext/>
        <w:keepLines/>
        <w:ind w:firstLine="640"/>
        <w:rPr>
          <w:rFonts w:hint="eastAsia" w:ascii="Times New Roman" w:hAnsi="Times New Roman" w:eastAsia="仿宋_GB2312"/>
          <w:sz w:val="32"/>
          <w:szCs w:val="32"/>
          <w:lang w:eastAsia="zh-CN"/>
        </w:rPr>
      </w:pPr>
      <w:r>
        <w:rPr>
          <w:rFonts w:hint="eastAsia" w:ascii="Times New Roman" w:hAnsi="Times New Roman" w:eastAsia="仿宋_GB2312" w:cs="黑体"/>
          <w:color w:val="000000"/>
          <w:kern w:val="0"/>
          <w:sz w:val="32"/>
          <w:szCs w:val="32"/>
          <w:lang w:val="en-US" w:eastAsia="zh-CN" w:bidi="ar-SA"/>
        </w:rPr>
        <w:t>教育支出（类）其他教育支出（款）其他教育支出（项）。年初预算为87.73万元，支出决算为87.73万元，完成年初预算的100%。决算数与预算数一致，我单位严格按预算执行决算。</w:t>
      </w:r>
    </w:p>
    <w:p w14:paraId="1837F11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D7808B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415.92</w:t>
      </w:r>
      <w:r>
        <w:rPr>
          <w:rFonts w:hint="eastAsia" w:ascii="Times New Roman" w:hAnsi="Times New Roman" w:eastAsia="仿宋_GB2312"/>
          <w:sz w:val="32"/>
          <w:szCs w:val="32"/>
        </w:rPr>
        <w:t>万元，其中：</w:t>
      </w:r>
    </w:p>
    <w:p w14:paraId="17ACDEE5">
      <w:pPr>
        <w:keepNext/>
        <w:keepLines/>
        <w:ind w:firstLine="643"/>
        <w:jc w:val="left"/>
        <w:rPr>
          <w:rFonts w:hint="eastAsia" w:ascii="Times New Roman" w:hAnsi="Times New Roman" w:eastAsia="仿宋_GB2312"/>
          <w:sz w:val="32"/>
          <w:szCs w:val="32"/>
          <w:lang w:val="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331.72万元，占基本支出的</w:t>
      </w:r>
      <w:r>
        <w:rPr>
          <w:rFonts w:hint="eastAsia" w:ascii="Times New Roman" w:hAnsi="Times New Roman" w:eastAsia="仿宋_GB2312"/>
          <w:sz w:val="32"/>
          <w:szCs w:val="32"/>
          <w:lang w:val="en-US" w:eastAsia="zh-CN"/>
        </w:rPr>
        <w:t>79.76</w:t>
      </w:r>
      <w:r>
        <w:rPr>
          <w:rFonts w:hint="eastAsia" w:ascii="Times New Roman" w:hAnsi="Times New Roman" w:eastAsia="仿宋_GB2312"/>
          <w:sz w:val="32"/>
          <w:szCs w:val="32"/>
        </w:rPr>
        <w:t>%,主要包括基本工资、津贴补贴、</w:t>
      </w:r>
      <w:r>
        <w:rPr>
          <w:rFonts w:hint="eastAsia" w:ascii="Times New Roman" w:hAnsi="Times New Roman" w:eastAsia="仿宋_GB2312"/>
          <w:sz w:val="32"/>
          <w:szCs w:val="32"/>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24BDD861">
      <w:pPr>
        <w:keepNext/>
        <w:keepLines/>
        <w:ind w:firstLine="643"/>
        <w:jc w:val="left"/>
        <w:rPr>
          <w:rFonts w:ascii="宋体"/>
          <w:b/>
          <w:color w:val="FF0000"/>
          <w:sz w:val="32"/>
          <w:szCs w:val="24"/>
          <w:highlight w:val="white"/>
          <w:lang w:val="zh-CN"/>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25.69万元，占基本支出的</w:t>
      </w:r>
      <w:r>
        <w:rPr>
          <w:rFonts w:hint="eastAsia" w:ascii="Times New Roman" w:hAnsi="Times New Roman" w:eastAsia="仿宋_GB2312"/>
          <w:sz w:val="32"/>
          <w:szCs w:val="32"/>
          <w:lang w:val="en-US" w:eastAsia="zh-CN"/>
        </w:rPr>
        <w:t>6.18</w:t>
      </w:r>
      <w:r>
        <w:rPr>
          <w:rFonts w:hint="eastAsia" w:ascii="Times New Roman" w:hAnsi="Times New Roman" w:eastAsia="仿宋_GB2312"/>
          <w:sz w:val="32"/>
          <w:szCs w:val="32"/>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5E5BC03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七</w:t>
      </w:r>
      <w:r>
        <w:rPr>
          <w:rFonts w:hint="eastAsia" w:ascii="黑体" w:hAnsi="黑体" w:eastAsia="黑体" w:cs="黑体"/>
          <w:b w:val="0"/>
          <w:bCs/>
          <w:sz w:val="32"/>
          <w:szCs w:val="32"/>
        </w:rPr>
        <w:t>、政府性基金预算收入支出决算情况</w:t>
      </w:r>
    </w:p>
    <w:p w14:paraId="246E9B5F">
      <w:pPr>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lang w:val="zh-CN"/>
        </w:rPr>
        <w:t>年本单位没有使用政府性基金预算财政拨款安排的收支。</w:t>
      </w:r>
    </w:p>
    <w:p w14:paraId="014770D8">
      <w:pPr>
        <w:pStyle w:val="13"/>
        <w:keepNext w:val="0"/>
        <w:keepLines w:val="0"/>
        <w:pageBreakBefore w:val="0"/>
        <w:widowControl w:val="0"/>
        <w:numPr>
          <w:ilvl w:val="0"/>
          <w:numId w:val="1"/>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国有资本经营预算财政拨款支出决算情况</w:t>
      </w:r>
    </w:p>
    <w:p w14:paraId="63698350">
      <w:pPr>
        <w:pStyle w:val="13"/>
        <w:keepNext w:val="0"/>
        <w:keepLines w:val="0"/>
        <w:pageBreakBefore w:val="0"/>
        <w:widowControl w:val="0"/>
        <w:numPr>
          <w:ilvl w:val="0"/>
          <w:numId w:val="0"/>
        </w:numPr>
        <w:kinsoku/>
        <w:wordWrap/>
        <w:overflowPunct/>
        <w:topLinePunct w:val="0"/>
        <w:bidi w:val="0"/>
        <w:snapToGrid/>
        <w:spacing w:line="600" w:lineRule="exact"/>
        <w:ind w:firstLine="64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2023年</w:t>
      </w:r>
      <w:r>
        <w:rPr>
          <w:rFonts w:hint="eastAsia" w:ascii="Times New Roman" w:hAnsi="Times New Roman" w:eastAsia="仿宋_GB2312"/>
          <w:sz w:val="32"/>
          <w:szCs w:val="32"/>
          <w:lang w:val="zh-CN" w:eastAsia="zh-CN"/>
        </w:rPr>
        <w:t>本单位没有使用国有资本经营预算安排的支出。</w:t>
      </w:r>
    </w:p>
    <w:p w14:paraId="76BF55EA">
      <w:pPr>
        <w:pStyle w:val="13"/>
        <w:keepNext w:val="0"/>
        <w:keepLines w:val="0"/>
        <w:pageBreakBefore w:val="0"/>
        <w:widowControl w:val="0"/>
        <w:numPr>
          <w:ilvl w:val="0"/>
          <w:numId w:val="1"/>
        </w:numPr>
        <w:kinsoku/>
        <w:wordWrap/>
        <w:overflowPunct/>
        <w:topLinePunct w:val="0"/>
        <w:bidi w:val="0"/>
        <w:snapToGrid/>
        <w:spacing w:line="600"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w:t>
      </w:r>
      <w:r>
        <w:rPr>
          <w:rFonts w:hint="eastAsia" w:hAnsi="黑体" w:cs="黑体"/>
          <w:b w:val="0"/>
          <w:bCs/>
          <w:sz w:val="32"/>
          <w:szCs w:val="32"/>
          <w:lang w:eastAsia="zh-CN"/>
        </w:rPr>
        <w:t>“</w:t>
      </w:r>
      <w:r>
        <w:rPr>
          <w:rFonts w:hint="eastAsia" w:ascii="黑体" w:hAnsi="黑体" w:eastAsia="黑体" w:cs="黑体"/>
          <w:b w:val="0"/>
          <w:bCs/>
          <w:sz w:val="32"/>
          <w:szCs w:val="32"/>
        </w:rPr>
        <w:t>三公</w:t>
      </w:r>
      <w:r>
        <w:rPr>
          <w:rFonts w:hint="eastAsia" w:hAnsi="黑体" w:cs="黑体"/>
          <w:b w:val="0"/>
          <w:bCs/>
          <w:sz w:val="32"/>
          <w:szCs w:val="32"/>
          <w:lang w:eastAsia="zh-CN"/>
        </w:rPr>
        <w:t>”</w:t>
      </w:r>
      <w:r>
        <w:rPr>
          <w:rFonts w:hint="eastAsia" w:ascii="黑体" w:hAnsi="黑体" w:eastAsia="黑体" w:cs="黑体"/>
          <w:b w:val="0"/>
          <w:bCs/>
          <w:sz w:val="32"/>
          <w:szCs w:val="32"/>
        </w:rPr>
        <w:t>经费支出决算情况说明</w:t>
      </w:r>
    </w:p>
    <w:p w14:paraId="76E30A7A">
      <w:pPr>
        <w:pStyle w:val="13"/>
        <w:keepNext w:val="0"/>
        <w:keepLines w:val="0"/>
        <w:pageBreakBefore w:val="0"/>
        <w:widowControl w:val="0"/>
        <w:numPr>
          <w:ilvl w:val="0"/>
          <w:numId w:val="0"/>
        </w:numPr>
        <w:kinsoku/>
        <w:wordWrap/>
        <w:overflowPunct/>
        <w:topLinePunct w:val="0"/>
        <w:bidi w:val="0"/>
        <w:snapToGrid/>
        <w:spacing w:line="600" w:lineRule="exact"/>
        <w:ind w:leftChars="200"/>
        <w:textAlignment w:val="auto"/>
        <w:rPr>
          <w:rFonts w:hint="eastAsia" w:ascii="Times New Roman" w:hAnsi="Times New Roman" w:eastAsia="仿宋_GB2312"/>
          <w:sz w:val="32"/>
          <w:szCs w:val="32"/>
        </w:rPr>
      </w:pPr>
      <w:r>
        <w:rPr>
          <w:rFonts w:hint="eastAsia" w:ascii="楷体" w:hAnsi="楷体" w:eastAsia="楷体" w:cs="楷体"/>
          <w:b/>
          <w:bCs w:val="0"/>
          <w:sz w:val="32"/>
          <w:szCs w:val="32"/>
        </w:rPr>
        <w:t>（一）“三公”经费财政拨款支出决算总体情况说明</w:t>
      </w:r>
    </w:p>
    <w:p w14:paraId="4898DC1B">
      <w:pPr>
        <w:keepNext/>
        <w:keepLines/>
        <w:ind w:firstLine="64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2023年度“三公”经费财政拨款支出预算为0万元，支出决算为0万元,完成预算的0%，与上年相比减少0万元，减少0%。</w:t>
      </w:r>
      <w:bookmarkStart w:id="0" w:name="_GoBack"/>
      <w:bookmarkEnd w:id="0"/>
      <w:r>
        <w:rPr>
          <w:rFonts w:hint="eastAsia" w:ascii="Times New Roman" w:hAnsi="Times New Roman" w:eastAsia="仿宋_GB2312" w:cs="黑体"/>
          <w:color w:val="000000"/>
          <w:kern w:val="0"/>
          <w:sz w:val="32"/>
          <w:szCs w:val="32"/>
          <w:lang w:val="zh-CN" w:eastAsia="zh-CN" w:bidi="ar-SA"/>
        </w:rPr>
        <w:t>其中：</w:t>
      </w:r>
    </w:p>
    <w:p w14:paraId="16B4BA2D">
      <w:pPr>
        <w:keepNext/>
        <w:keepLines/>
        <w:ind w:firstLine="640"/>
        <w:rPr>
          <w:rFonts w:hint="eastAsia" w:ascii="Times New Roman" w:hAnsi="Times New Roman" w:eastAsia="仿宋_GB2312" w:cs="黑体"/>
          <w:color w:val="000000"/>
          <w:kern w:val="0"/>
          <w:sz w:val="32"/>
          <w:szCs w:val="32"/>
          <w:lang w:val="zh-CN" w:eastAsia="zh-CN" w:bidi="ar-SA"/>
        </w:rPr>
      </w:pPr>
      <w:r>
        <w:rPr>
          <w:rFonts w:hint="eastAsia" w:ascii="Times New Roman" w:hAnsi="Times New Roman" w:eastAsia="仿宋_GB2312" w:cs="黑体"/>
          <w:color w:val="000000"/>
          <w:kern w:val="0"/>
          <w:sz w:val="32"/>
          <w:szCs w:val="32"/>
          <w:lang w:val="en-US" w:eastAsia="zh-CN" w:bidi="ar-SA"/>
        </w:rPr>
        <w:t>因公出国（境）费支出预算为0万元，支出决算为0万元，完成预算的0%，与上年相比减少0万元，减少0%。</w:t>
      </w:r>
    </w:p>
    <w:p w14:paraId="73BA52C3">
      <w:pPr>
        <w:keepNext/>
        <w:keepLines/>
        <w:ind w:firstLine="640"/>
        <w:rPr>
          <w:rFonts w:hint="eastAsia" w:ascii="Times New Roman" w:hAnsi="Times New Roman" w:eastAsia="仿宋_GB2312" w:cs="黑体"/>
          <w:color w:val="000000"/>
          <w:kern w:val="0"/>
          <w:sz w:val="32"/>
          <w:szCs w:val="32"/>
          <w:lang w:val="zh-CN" w:eastAsia="zh-CN" w:bidi="ar-SA"/>
        </w:rPr>
      </w:pPr>
      <w:r>
        <w:rPr>
          <w:rFonts w:hint="eastAsia" w:ascii="Times New Roman" w:hAnsi="Times New Roman" w:eastAsia="仿宋_GB2312" w:cs="黑体"/>
          <w:color w:val="000000"/>
          <w:kern w:val="0"/>
          <w:sz w:val="32"/>
          <w:szCs w:val="32"/>
          <w:lang w:val="zh-CN" w:eastAsia="zh-CN" w:bidi="ar-SA"/>
        </w:rPr>
        <w:t>公务接待费支出预算为0万元，支出决算为0万元,完成预算的0%,决算数小于预算数的主要原因是认真贯彻落实中央“八项规定”精神和厉行节约要求，从严控制“三公”经费开支，全年实际支出比预算有所节约。与上年相比持平，主要原因是我单位认真贯彻落实中央“八项规定”精神和厉行节约等要求，严格控制经费支出。</w:t>
      </w:r>
    </w:p>
    <w:p w14:paraId="622FD41B">
      <w:pPr>
        <w:keepNext/>
        <w:keepLines/>
        <w:ind w:firstLine="64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公务用车购置费支出预算为0万元，支出决算为0万元，完成预算的0%，与上年相比减少0万元，减少0%。</w:t>
      </w:r>
    </w:p>
    <w:p w14:paraId="74AD92C8">
      <w:pPr>
        <w:keepNext/>
        <w:keepLines/>
        <w:ind w:firstLine="640"/>
        <w:rPr>
          <w:rFonts w:hint="eastAsia" w:ascii="Times New Roman" w:hAnsi="Times New Roman" w:eastAsia="仿宋_GB2312"/>
          <w:sz w:val="32"/>
          <w:szCs w:val="32"/>
        </w:rPr>
      </w:pPr>
      <w:r>
        <w:rPr>
          <w:rFonts w:hint="eastAsia" w:ascii="Times New Roman" w:hAnsi="Times New Roman" w:eastAsia="仿宋_GB2312" w:cs="黑体"/>
          <w:color w:val="000000"/>
          <w:kern w:val="0"/>
          <w:sz w:val="32"/>
          <w:szCs w:val="32"/>
          <w:lang w:val="en-US" w:eastAsia="zh-CN" w:bidi="ar-SA"/>
        </w:rPr>
        <w:t>公务用车购置费及运行维护费支出预算为0万元，支出决算为0万元，完成预算的0%，与上年相比减少0万元，减少0%。</w:t>
      </w:r>
    </w:p>
    <w:p w14:paraId="5C1B5AC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4A36B9D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zh-CN"/>
        </w:rPr>
      </w:pP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w:t>
      </w:r>
      <w:r>
        <w:rPr>
          <w:rFonts w:hint="eastAsia" w:ascii="Times New Roman" w:hAnsi="Times New Roman" w:eastAsia="仿宋_GB2312"/>
          <w:sz w:val="32"/>
          <w:szCs w:val="32"/>
          <w:lang w:eastAsia="zh-CN"/>
        </w:rPr>
        <w:t>度</w:t>
      </w:r>
      <w:r>
        <w:rPr>
          <w:rFonts w:hint="eastAsia" w:ascii="Times New Roman" w:hAnsi="Times New Roman" w:eastAsia="仿宋_GB2312"/>
          <w:sz w:val="32"/>
          <w:szCs w:val="32"/>
          <w:lang w:val="zh-CN"/>
        </w:rPr>
        <w:t>“三公”经费财政拨款支出决算中，因公出国（境）费支出决算0万元，占0%；公务接待费支出决算0万元，占0%。公务用车购置费及运行维护费支出决算0万元，占0%；</w:t>
      </w:r>
    </w:p>
    <w:p w14:paraId="1B33D43A">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cs="黑体"/>
          <w:color w:val="000000"/>
          <w:kern w:val="0"/>
          <w:sz w:val="32"/>
          <w:szCs w:val="32"/>
          <w:lang w:val="zh-CN" w:eastAsia="zh-CN" w:bidi="ar-SA"/>
        </w:rPr>
      </w:pPr>
      <w:r>
        <w:rPr>
          <w:rFonts w:hint="eastAsia" w:ascii="Times New Roman" w:hAnsi="Times New Roman" w:eastAsia="仿宋_GB2312" w:cs="黑体"/>
          <w:color w:val="000000"/>
          <w:kern w:val="0"/>
          <w:sz w:val="32"/>
          <w:szCs w:val="32"/>
          <w:lang w:val="zh-CN" w:eastAsia="zh-CN" w:bidi="ar-SA"/>
        </w:rPr>
        <w:t>因公出国（境）费支出决算0万元，全年安排因公出国（境）团组0个，累计0人次。</w:t>
      </w:r>
    </w:p>
    <w:p w14:paraId="6199A82C">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cs="黑体"/>
          <w:color w:val="000000"/>
          <w:kern w:val="0"/>
          <w:sz w:val="32"/>
          <w:szCs w:val="32"/>
          <w:lang w:val="zh-CN" w:eastAsia="zh-CN" w:bidi="ar-SA"/>
        </w:rPr>
      </w:pPr>
      <w:r>
        <w:rPr>
          <w:rFonts w:hint="eastAsia" w:ascii="Times New Roman" w:hAnsi="Times New Roman" w:eastAsia="仿宋_GB2312" w:cs="黑体"/>
          <w:color w:val="000000"/>
          <w:kern w:val="0"/>
          <w:sz w:val="32"/>
          <w:szCs w:val="32"/>
          <w:lang w:val="zh-CN" w:eastAsia="zh-CN" w:bidi="ar-SA"/>
        </w:rPr>
        <w:t>公务接待费支出决算为0万元，其中：其他国内公务接待支出0万元,全年共接待来访团组0个、来宾0人次（不包括陪同人员）。主要用于与有关单位交流工作情况及接受相关部门检查指导工作发生的接待支出。</w:t>
      </w:r>
    </w:p>
    <w:p w14:paraId="684700E3">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cs="黑体"/>
          <w:color w:val="000000"/>
          <w:kern w:val="0"/>
          <w:sz w:val="32"/>
          <w:szCs w:val="32"/>
          <w:lang w:val="zh-CN" w:eastAsia="zh-CN" w:bidi="ar-SA"/>
        </w:rPr>
        <w:t>公务用车购置费及运行维护费支出决算0万元，其中：公务用车购置费0万元，更新公务用车0辆。公务用车运行维护费0元，截止2023年12月31日，我单位开支财政拨款的公务用车保有量为0辆。</w:t>
      </w:r>
    </w:p>
    <w:p w14:paraId="489E7E7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sz w:val="32"/>
          <w:szCs w:val="32"/>
          <w:lang w:eastAsia="zh-CN"/>
        </w:rPr>
        <w:t>十</w:t>
      </w:r>
      <w:r>
        <w:rPr>
          <w:rFonts w:hint="eastAsia" w:ascii="Times New Roman" w:hAnsi="Times New Roman" w:eastAsia="仿宋_GB2312"/>
          <w:b/>
          <w:sz w:val="32"/>
          <w:szCs w:val="32"/>
        </w:rPr>
        <w:t>、关于机关运行经费支出说明</w:t>
      </w:r>
    </w:p>
    <w:p w14:paraId="338EFBD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本单位不属于行政单位和参照公务员法管理事业单位，无机关运行经费支出。</w:t>
      </w:r>
    </w:p>
    <w:p w14:paraId="05A0FD5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2094329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kern w:val="0"/>
          <w:sz w:val="32"/>
          <w:szCs w:val="24"/>
          <w:highlight w:val="white"/>
        </w:rPr>
      </w:pP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年本部门开支会议费0万元；开支培训费4.7万元，用于开展教师业务能力提升培训，人数3</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人次，内容为信息技术应用能力提升培训、教师学科教学能力提升培训、幼儿园园长及骨干教师培训、幼儿园保育员培训等；202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年本部门未举办节庆、晚会、论坛、赛事活动，开支0万元。</w:t>
      </w:r>
    </w:p>
    <w:p w14:paraId="4FB33A7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3CD4B3A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s="黑体"/>
          <w:color w:val="000000"/>
          <w:kern w:val="0"/>
          <w:sz w:val="32"/>
          <w:szCs w:val="32"/>
          <w:lang w:val="en-US" w:eastAsia="zh-CN" w:bidi="ar-SA"/>
        </w:rPr>
        <w:t>其中：政府采购货物支出0万元；政府采购工程支出0万元；政府采购服务支出0万元。授予中小企业合同金额0万元，占政府采购支出总额的0%。</w:t>
      </w:r>
    </w:p>
    <w:p w14:paraId="30C88A5D">
      <w:pPr>
        <w:keepNext/>
        <w:keepLines/>
        <w:ind w:firstLine="641"/>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14:paraId="404267E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三</w:t>
      </w:r>
      <w:r>
        <w:rPr>
          <w:rFonts w:hint="eastAsia" w:ascii="黑体" w:hAnsi="黑体" w:eastAsia="黑体" w:cs="黑体"/>
          <w:b w:val="0"/>
          <w:bCs/>
          <w:sz w:val="32"/>
          <w:szCs w:val="32"/>
        </w:rPr>
        <w:t>、关于国有资产占用情况说明</w:t>
      </w:r>
    </w:p>
    <w:p w14:paraId="1131EAFF">
      <w:pPr>
        <w:keepNext/>
        <w:keepLines/>
        <w:ind w:firstLine="641"/>
        <w:rPr>
          <w:rFonts w:hint="eastAsia" w:ascii="Times New Roman" w:hAnsi="Times New Roman" w:eastAsia="仿宋_GB2312"/>
          <w:i/>
          <w:iCs/>
          <w:color w:val="FF0000"/>
          <w:sz w:val="32"/>
          <w:szCs w:val="32"/>
          <w:lang w:eastAsia="zh-CN"/>
        </w:rPr>
      </w:pPr>
      <w:r>
        <w:rPr>
          <w:rFonts w:hint="eastAsia" w:ascii="Times New Roman" w:hAnsi="Times New Roman" w:eastAsia="仿宋_GB2312"/>
          <w:sz w:val="32"/>
          <w:szCs w:val="32"/>
        </w:rPr>
        <w:t>截至</w:t>
      </w: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单位价值100万元（含）以上设备0台（套）。</w:t>
      </w:r>
    </w:p>
    <w:p w14:paraId="067FC87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四</w:t>
      </w:r>
      <w:r>
        <w:rPr>
          <w:rFonts w:hint="eastAsia" w:ascii="黑体" w:hAnsi="黑体" w:eastAsia="黑体" w:cs="黑体"/>
          <w:b w:val="0"/>
          <w:bCs/>
          <w:sz w:val="32"/>
          <w:szCs w:val="32"/>
        </w:rPr>
        <w:t>、关于</w:t>
      </w:r>
      <w:r>
        <w:rPr>
          <w:rFonts w:hint="eastAsia" w:ascii="Times New Roman" w:hAnsi="Times New Roman" w:eastAsia="仿宋_GB2312"/>
          <w:sz w:val="32"/>
          <w:szCs w:val="32"/>
          <w:lang w:eastAsia="zh-CN"/>
        </w:rPr>
        <w:t>2023</w:t>
      </w:r>
      <w:r>
        <w:rPr>
          <w:rFonts w:hint="eastAsia" w:ascii="黑体" w:hAnsi="黑体" w:eastAsia="黑体" w:cs="黑体"/>
          <w:b w:val="0"/>
          <w:bCs/>
          <w:sz w:val="32"/>
          <w:szCs w:val="32"/>
        </w:rPr>
        <w:t>年度预算绩效情况的说明</w:t>
      </w:r>
    </w:p>
    <w:p w14:paraId="3F3A91C4">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highlight w:val="none"/>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部门整体支出绩效情况</w:t>
      </w:r>
    </w:p>
    <w:p w14:paraId="4D665DF9">
      <w:pPr>
        <w:keepNext/>
        <w:keepLines/>
        <w:ind w:firstLine="64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2023年，我部门在县委、县政府的坚强领导下，坚持安全和质量“两条主线”，教育教学各项工作持续、稳步发展。</w:t>
      </w:r>
    </w:p>
    <w:p w14:paraId="7F6E6C2C">
      <w:pPr>
        <w:keepNext/>
        <w:keepLines/>
        <w:ind w:firstLine="64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我部门坚决执行经费预算管理，确保预算不增长，支出不超预算。在厉行节约、反对铺张浪费等方面，采取了有力措施，并取得了明显成效。校长室成员率先垂范、高度重视下，全体教职工积极配合，三公经费得到了很好的控制。</w:t>
      </w:r>
    </w:p>
    <w:p w14:paraId="57E23943">
      <w:pPr>
        <w:keepNext/>
        <w:keepLines/>
        <w:ind w:firstLine="64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接下来我部门将继续严格执行经费年初预算，按照上级的要求，强化制度建设，完善预算分配机制，进一步加强经费预算的执行管理，不断提高支出的经济性、效率性、有效性和可持续性。</w:t>
      </w:r>
    </w:p>
    <w:p w14:paraId="5E6EC436">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highlight w:val="none"/>
        </w:rPr>
      </w:pPr>
      <w:r>
        <w:rPr>
          <w:rFonts w:hint="eastAsia" w:ascii="Times New Roman" w:hAnsi="Times New Roman" w:eastAsia="仿宋_GB2312" w:cs="黑体"/>
          <w:color w:val="000000"/>
          <w:kern w:val="0"/>
          <w:sz w:val="32"/>
          <w:szCs w:val="32"/>
          <w:highlight w:val="none"/>
          <w:lang w:val="en-US" w:eastAsia="zh-CN" w:bidi="ar-SA"/>
        </w:rPr>
        <w:t>根据定量分析及定性分析，综合考评得分为96分，评价等次确定为优。</w:t>
      </w:r>
    </w:p>
    <w:p w14:paraId="0C382BCB">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highlight w:val="none"/>
        </w:rPr>
      </w:pPr>
      <w:r>
        <w:rPr>
          <w:rFonts w:hint="eastAsia" w:ascii="楷体" w:hAnsi="楷体" w:eastAsia="楷体" w:cs="楷体"/>
          <w:b/>
          <w:bCs/>
          <w:sz w:val="32"/>
          <w:szCs w:val="32"/>
          <w:highlight w:val="none"/>
          <w:lang w:eastAsia="zh-CN"/>
        </w:rPr>
        <w:t>（二）</w:t>
      </w:r>
      <w:r>
        <w:rPr>
          <w:rFonts w:hint="eastAsia" w:ascii="楷体" w:hAnsi="楷体" w:eastAsia="楷体" w:cs="楷体"/>
          <w:b/>
          <w:bCs/>
          <w:sz w:val="32"/>
          <w:szCs w:val="32"/>
          <w:highlight w:val="none"/>
        </w:rPr>
        <w:t>存在的问题及原因分析</w:t>
      </w:r>
    </w:p>
    <w:p w14:paraId="0B2E9D40">
      <w:pPr>
        <w:keepNext/>
        <w:keepLines/>
        <w:ind w:firstLine="640"/>
        <w:rPr>
          <w:rFonts w:hint="eastAsia" w:ascii="Times New Roman" w:hAnsi="Times New Roman" w:eastAsia="仿宋_GB2312"/>
          <w:sz w:val="32"/>
          <w:szCs w:val="32"/>
          <w:highlight w:val="none"/>
        </w:rPr>
      </w:pPr>
      <w:r>
        <w:rPr>
          <w:rFonts w:hint="eastAsia" w:ascii="Times New Roman" w:hAnsi="Times New Roman" w:eastAsia="仿宋_GB2312" w:cs="黑体"/>
          <w:color w:val="000000"/>
          <w:kern w:val="0"/>
          <w:sz w:val="32"/>
          <w:szCs w:val="32"/>
          <w:highlight w:val="none"/>
          <w:lang w:val="en-US" w:eastAsia="zh-CN" w:bidi="ar-SA"/>
        </w:rPr>
        <w:t>1.我部门绩效自评数据不够准确，指标分析缺乏数据支撑，自评得分不够扎实。2.绩效目标，尤其是效益指标的设置质量不高。3.我部门内部相关管理制度建设方面有待完善。我部门要进一步提高预算绩效管理“花钱必问效、无效必问责”的主体意识，要建立健全内部相关管理制度和流程规定，加强组织内部业务人员绩效管理业务培训，逐步提高绩效管理水平。新增或重大项目要开展事前绩效评估，科学合理编制预算，严把资金申请审核关，进一步提高预算执行率。</w:t>
      </w:r>
    </w:p>
    <w:p w14:paraId="08091E9B">
      <w:pPr>
        <w:keepNext w:val="0"/>
        <w:keepLines w:val="0"/>
        <w:pageBreakBefore w:val="0"/>
        <w:widowControl w:val="0"/>
        <w:kinsoku/>
        <w:wordWrap/>
        <w:overflowPunct/>
        <w:topLinePunct w:val="0"/>
        <w:bidi w:val="0"/>
        <w:snapToGrid/>
        <w:spacing w:beforeLines="0" w:afterLines="0"/>
        <w:ind w:firstLine="640"/>
        <w:textAlignment w:val="auto"/>
        <w:rPr>
          <w:rFonts w:hint="eastAsia" w:ascii="黑体" w:hAnsi="黑体" w:eastAsia="黑体" w:cs="Times New Roman"/>
          <w:color w:val="auto"/>
          <w:sz w:val="32"/>
          <w:szCs w:val="24"/>
          <w:highlight w:val="white"/>
          <w:lang w:val="en-US"/>
        </w:rPr>
      </w:pPr>
    </w:p>
    <w:p w14:paraId="1ACB3143">
      <w:pPr>
        <w:keepNext w:val="0"/>
        <w:keepLines w:val="0"/>
        <w:pageBreakBefore w:val="0"/>
        <w:widowControl w:val="0"/>
        <w:kinsoku/>
        <w:wordWrap/>
        <w:overflowPunct/>
        <w:topLinePunct w:val="0"/>
        <w:bidi w:val="0"/>
        <w:snapToGrid/>
        <w:spacing w:beforeLines="0" w:afterLines="0"/>
        <w:ind w:firstLine="640"/>
        <w:textAlignment w:val="auto"/>
        <w:rPr>
          <w:rFonts w:hint="eastAsia" w:ascii="黑体" w:hAnsi="黑体" w:eastAsia="黑体" w:cs="Times New Roman"/>
          <w:color w:val="auto"/>
          <w:sz w:val="32"/>
          <w:szCs w:val="24"/>
          <w:highlight w:val="white"/>
          <w:lang w:val="en-US"/>
        </w:rPr>
      </w:pPr>
    </w:p>
    <w:p w14:paraId="2FCD9441">
      <w:pPr>
        <w:keepNext w:val="0"/>
        <w:keepLines w:val="0"/>
        <w:pageBreakBefore w:val="0"/>
        <w:widowControl w:val="0"/>
        <w:kinsoku/>
        <w:wordWrap/>
        <w:overflowPunct/>
        <w:topLinePunct w:val="0"/>
        <w:bidi w:val="0"/>
        <w:snapToGrid/>
        <w:spacing w:beforeLines="0" w:afterLines="0"/>
        <w:ind w:firstLine="640"/>
        <w:textAlignment w:val="auto"/>
        <w:rPr>
          <w:rFonts w:hint="eastAsia" w:ascii="黑体" w:hAnsi="黑体" w:eastAsia="黑体" w:cs="Times New Roman"/>
          <w:color w:val="auto"/>
          <w:sz w:val="32"/>
          <w:szCs w:val="24"/>
          <w:highlight w:val="white"/>
          <w:lang w:val="en-US"/>
        </w:rPr>
      </w:pPr>
      <w:r>
        <w:rPr>
          <w:rFonts w:hint="eastAsia" w:ascii="黑体" w:hAnsi="黑体" w:eastAsia="黑体" w:cs="Times New Roman"/>
          <w:color w:val="auto"/>
          <w:sz w:val="32"/>
          <w:szCs w:val="24"/>
          <w:highlight w:val="white"/>
          <w:lang w:val="en-US"/>
        </w:rPr>
        <w:t>第四部分</w:t>
      </w:r>
      <w:r>
        <w:rPr>
          <w:rFonts w:hint="eastAsia" w:ascii="黑体" w:hAnsi="黑体" w:eastAsia="黑体" w:cs="Times New Roman"/>
          <w:color w:val="auto"/>
          <w:sz w:val="32"/>
          <w:szCs w:val="24"/>
          <w:highlight w:val="white"/>
          <w:lang w:val="en-US" w:eastAsia="zh-CN"/>
        </w:rPr>
        <w:t xml:space="preserve"> </w:t>
      </w:r>
      <w:r>
        <w:rPr>
          <w:rFonts w:hint="eastAsia" w:ascii="黑体" w:hAnsi="黑体" w:eastAsia="黑体" w:cs="Times New Roman"/>
          <w:color w:val="auto"/>
          <w:sz w:val="32"/>
          <w:szCs w:val="24"/>
          <w:highlight w:val="white"/>
          <w:lang w:val="en-US"/>
        </w:rPr>
        <w:t>名词解释</w:t>
      </w:r>
    </w:p>
    <w:p w14:paraId="40518FC3">
      <w:pPr>
        <w:keepNext w:val="0"/>
        <w:keepLines w:val="0"/>
        <w:pageBreakBefore w:val="0"/>
        <w:widowControl w:val="0"/>
        <w:kinsoku/>
        <w:wordWrap/>
        <w:overflowPunct/>
        <w:topLinePunct w:val="0"/>
        <w:bidi w:val="0"/>
        <w:snapToGrid/>
        <w:spacing w:beforeLines="0" w:afterLines="0"/>
        <w:ind w:firstLine="640"/>
        <w:textAlignment w:val="auto"/>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财政拨款收入：指本级财政当年拨付的资金。</w:t>
      </w:r>
    </w:p>
    <w:p w14:paraId="599D4794">
      <w:pPr>
        <w:keepNext w:val="0"/>
        <w:keepLines w:val="0"/>
        <w:pageBreakBefore w:val="0"/>
        <w:widowControl w:val="0"/>
        <w:kinsoku/>
        <w:wordWrap/>
        <w:overflowPunct/>
        <w:topLinePunct w:val="0"/>
        <w:bidi w:val="0"/>
        <w:snapToGrid/>
        <w:spacing w:beforeLines="0" w:afterLines="0"/>
        <w:ind w:firstLine="640" w:firstLineChars="200"/>
        <w:jc w:val="left"/>
        <w:textAlignment w:val="auto"/>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事业收入：指事业单位开展专业业务活动及辅助活动所取得的收入。</w:t>
      </w:r>
    </w:p>
    <w:p w14:paraId="6D534AAC">
      <w:pPr>
        <w:keepNext/>
        <w:keepLines/>
        <w:ind w:firstLine="640" w:firstLineChars="20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教育支出（类）：是指用于政府教育事务支出，包括保障机构正常运转、完成日常和特定的工作任务或事业发展目标的支出。</w:t>
      </w:r>
    </w:p>
    <w:p w14:paraId="43E96BF3">
      <w:pPr>
        <w:keepNext/>
        <w:keepLines/>
        <w:ind w:firstLine="64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基本支出：指保障机构正常运转、完成支日常工作任务而发生的人员支出和公用支出。</w:t>
      </w:r>
    </w:p>
    <w:p w14:paraId="49DE2827">
      <w:pPr>
        <w:keepNext/>
        <w:keepLines/>
        <w:ind w:firstLine="64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项目支出：指在基本支出之外为完成特定行政任务和事业发展目标所发生的支出。</w:t>
      </w:r>
    </w:p>
    <w:p w14:paraId="7693D0FF">
      <w:pPr>
        <w:keepNext/>
        <w:keepLines/>
        <w:ind w:firstLine="64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C477CAF">
      <w:pPr>
        <w:keepNext/>
        <w:keepLines/>
        <w:ind w:firstLine="64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工资福利支出：反映单位开支的在职职工和编制外长期聘用人员的各类劳动报酬，以及为上述人员缴纳的各项社会保险费等。</w:t>
      </w:r>
    </w:p>
    <w:p w14:paraId="4A1D0749">
      <w:pPr>
        <w:keepNext/>
        <w:keepLines/>
        <w:ind w:firstLine="64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63A024B6">
      <w:pPr>
        <w:keepNext/>
        <w:keepLines/>
        <w:ind w:firstLine="64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奖金：反映机关工作人员年终一次性奖金。</w:t>
      </w:r>
    </w:p>
    <w:p w14:paraId="7521C687">
      <w:pPr>
        <w:keepNext/>
        <w:keepLines/>
        <w:ind w:firstLine="64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绩效工资：反映事业单位工作人员的绩效工资。</w:t>
      </w:r>
    </w:p>
    <w:p w14:paraId="4FF458AB">
      <w:pPr>
        <w:keepNext/>
        <w:keepLines/>
        <w:ind w:firstLine="64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机关事业单位基本养老保险缴费：反映机关事业单位缴纳的基本养老保险费。由单位代扣的工作人员基本养老保险缴费，不在此科目反映。</w:t>
      </w:r>
    </w:p>
    <w:p w14:paraId="0467BE1A">
      <w:pPr>
        <w:keepNext/>
        <w:keepLines/>
        <w:ind w:firstLine="64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职工基本医疗保险缴费：反映单位为职工缴纳的基本医疗保险费。</w:t>
      </w:r>
    </w:p>
    <w:p w14:paraId="7BD29082">
      <w:pPr>
        <w:keepNext/>
        <w:keepLines/>
        <w:ind w:firstLine="64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其他社会保障缴费：反映单位为职工缴纳的基本医疗、失业、工伤、生育等社会保险费，残疾人就业保障金，军队（含武警）为军人缴纳的伤亡、退役医疗等社会保险费。</w:t>
      </w:r>
    </w:p>
    <w:p w14:paraId="06ED8015">
      <w:pPr>
        <w:keepNext/>
        <w:keepLines/>
        <w:ind w:firstLine="64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住房公积金：反映行政事业单位按人力资源和社会保障部、财政部规定的基本工资和津贴补贴以及规定比例为职工缴纳的住房公积金。</w:t>
      </w:r>
    </w:p>
    <w:p w14:paraId="25C4F2DC">
      <w:pPr>
        <w:keepNext/>
        <w:keepLines/>
        <w:ind w:firstLine="64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21B2644A">
      <w:pPr>
        <w:keepNext/>
        <w:keepLines/>
        <w:ind w:firstLine="64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商品和服务支出：反映单位购买商品和服务的支出（不包括用于购置固定资产的支出、战略性和应急储备支出）。</w:t>
      </w:r>
    </w:p>
    <w:p w14:paraId="2AA88809">
      <w:pPr>
        <w:keepNext/>
        <w:keepLines/>
        <w:ind w:firstLine="64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办公费：反映单位购买按财务会计制度规定不符合固定资产确认标准的日常办公用品、书报杂志等支出。</w:t>
      </w:r>
    </w:p>
    <w:p w14:paraId="695B641F">
      <w:pPr>
        <w:keepNext/>
        <w:keepLines/>
        <w:ind w:firstLine="64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印刷费：反映单位的印刷费支出。</w:t>
      </w:r>
    </w:p>
    <w:p w14:paraId="58E47063">
      <w:pPr>
        <w:keepNext/>
        <w:keepLines/>
        <w:ind w:firstLine="64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手续费：反映单位支付的各类手续费支出。</w:t>
      </w:r>
    </w:p>
    <w:p w14:paraId="67ABF065">
      <w:pPr>
        <w:keepNext/>
        <w:keepLines/>
        <w:ind w:firstLine="64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水费：反映单位支付的水费、污水处理费等支出。</w:t>
      </w:r>
    </w:p>
    <w:p w14:paraId="6DE5C7C9">
      <w:pPr>
        <w:keepNext/>
        <w:keepLines/>
        <w:ind w:firstLine="64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电费：反映单位的电费支出。</w:t>
      </w:r>
    </w:p>
    <w:p w14:paraId="2143F024">
      <w:pPr>
        <w:keepNext/>
        <w:keepLines/>
        <w:ind w:firstLine="64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物业管理费：反映单位开支的办公用房以及未实行职工住宅物业服务改革的在职职工和离退休人员宿舍等的物业管理费，包括综合治理、绿化、卫生等方面的支出。</w:t>
      </w:r>
    </w:p>
    <w:p w14:paraId="0DBF5418">
      <w:pPr>
        <w:keepNext/>
        <w:keepLines/>
        <w:ind w:firstLine="64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差旅费：反映单位工作人员出差发生的城市间交通费、住宿费、伙食补贴费和市内交通费。</w:t>
      </w:r>
    </w:p>
    <w:p w14:paraId="1D75FF7E">
      <w:pPr>
        <w:keepNext/>
        <w:keepLines/>
        <w:ind w:firstLine="64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维修(护)费：反映单位日常开支的固定资产（不包括车船等交通工具）修理和维护费用，网络信息系统运行与维护费用，以及按规定提取的修购基金。</w:t>
      </w:r>
    </w:p>
    <w:p w14:paraId="6E48900A">
      <w:pPr>
        <w:keepNext/>
        <w:keepLines/>
        <w:ind w:firstLine="64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会议费：反映会议中按规定开支的住宿费、伙食费、会议室租金、交通费、文件印刷费、医药费等。</w:t>
      </w:r>
    </w:p>
    <w:p w14:paraId="75B232B8">
      <w:pPr>
        <w:keepNext/>
        <w:keepLines/>
        <w:ind w:firstLine="64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培训费：反映除因公出国（境）培训费以外的各类培训支出。</w:t>
      </w:r>
    </w:p>
    <w:p w14:paraId="421066F8">
      <w:pPr>
        <w:keepNext/>
        <w:keepLines/>
        <w:ind w:firstLine="64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公务接待费：反映单位按规定开支的各类公务接待（含外宾接待）费用。</w:t>
      </w:r>
    </w:p>
    <w:p w14:paraId="1F22AED4">
      <w:pPr>
        <w:keepNext/>
        <w:keepLines/>
        <w:ind w:firstLine="64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40AD8C4B">
      <w:pPr>
        <w:keepNext/>
        <w:keepLines/>
        <w:ind w:firstLine="64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劳务费：反映支付给单位和个人的劳务费用，如临时聘用人员、钟点工工资，稿费、翻译费，评审费等。</w:t>
      </w:r>
    </w:p>
    <w:p w14:paraId="6317FA92">
      <w:pPr>
        <w:keepNext/>
        <w:keepLines/>
        <w:ind w:firstLine="64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工会经费：反映单位按规定提取的工会经费。</w:t>
      </w:r>
    </w:p>
    <w:p w14:paraId="2E87C2CB">
      <w:pPr>
        <w:keepNext/>
        <w:keepLines/>
        <w:ind w:firstLine="64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福利费：反映单位按规定提取的福利费。</w:t>
      </w:r>
    </w:p>
    <w:p w14:paraId="23A8AFAF">
      <w:pPr>
        <w:keepNext/>
        <w:keepLines/>
        <w:ind w:firstLine="64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其他交通费用：反映单位除公务用车运行维护费以外的其他交通费用。如公务交通补贴，租车费用、出租车费用，飞机、船舶等的燃料费、维修费、保险费等。</w:t>
      </w:r>
    </w:p>
    <w:p w14:paraId="382A7E0B">
      <w:pPr>
        <w:keepNext/>
        <w:keepLines/>
        <w:ind w:firstLine="64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其他商品和服务支出：反映上述科目未包括的日常公用支出。如行政赔偿费和诉讼费、国内组织的会员费、来访费、广告宣传、其他劳务费及离休人员特需费、公用经费等。</w:t>
      </w:r>
    </w:p>
    <w:p w14:paraId="7E89FA74">
      <w:pPr>
        <w:keepNext/>
        <w:keepLines/>
        <w:ind w:firstLine="64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对个人和家庭的补助：反映政府用于对个人和家庭的补助支出。</w:t>
      </w:r>
    </w:p>
    <w:p w14:paraId="19BC0598">
      <w:pPr>
        <w:keepNext/>
        <w:keepLines/>
        <w:ind w:firstLine="64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助学金：反映各类学校学生助学金、奖学金、学生贷款、出国留学（实习）人员生活费，青少年业余体校学员伙食补助费和生活费补贴，按照协议由我方负担或享受我方奖学金的来华留学生、进修生生活费等。</w:t>
      </w:r>
    </w:p>
    <w:p w14:paraId="16F609F5">
      <w:pPr>
        <w:keepNext/>
        <w:keepLines/>
        <w:ind w:firstLine="64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奖励金：反映政府各部门的奖励支出，如对个体私营经济的奖励、计划生育目标责任奖励、独生子女父母奖励等。</w:t>
      </w:r>
    </w:p>
    <w:p w14:paraId="4A41FD23">
      <w:pPr>
        <w:keepNext/>
        <w:keepLines/>
        <w:ind w:firstLine="640"/>
        <w:rPr>
          <w:rFonts w:ascii="宋体"/>
          <w:color w:val="000000"/>
          <w:kern w:val="0"/>
          <w:sz w:val="32"/>
          <w:szCs w:val="24"/>
          <w:highlight w:val="white"/>
        </w:rPr>
      </w:pPr>
      <w:r>
        <w:rPr>
          <w:rFonts w:hint="eastAsia" w:ascii="Times New Roman" w:hAnsi="Times New Roman" w:eastAsia="仿宋_GB2312" w:cs="黑体"/>
          <w:color w:val="000000"/>
          <w:kern w:val="0"/>
          <w:sz w:val="32"/>
          <w:szCs w:val="32"/>
          <w:highlight w:val="none"/>
          <w:lang w:val="en-US" w:eastAsia="zh-CN" w:bidi="ar-SA"/>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9C2FFAE">
      <w:pPr>
        <w:keepNext/>
        <w:keepLines/>
        <w:widowControl/>
        <w:spacing w:beforeLines="0" w:afterLines="0"/>
        <w:ind w:firstLine="640"/>
        <w:rPr>
          <w:rFonts w:hint="default" w:ascii="Times New Roman" w:hAnsi="Times New Roman" w:eastAsia="Times New Roman" w:cs="Times New Roman"/>
          <w:color w:val="auto"/>
          <w:sz w:val="32"/>
          <w:szCs w:val="24"/>
          <w:highlight w:val="white"/>
          <w:lang w:val="en-US"/>
        </w:rPr>
      </w:pPr>
      <w:r>
        <w:rPr>
          <w:rFonts w:hint="eastAsia" w:ascii="黑体" w:hAnsi="黑体" w:eastAsia="黑体" w:cs="Times New Roman"/>
          <w:color w:val="auto"/>
          <w:sz w:val="32"/>
          <w:szCs w:val="24"/>
          <w:highlight w:val="white"/>
          <w:lang w:val="en-US"/>
        </w:rPr>
        <w:t>第五部分 附件</w:t>
      </w:r>
    </w:p>
    <w:p w14:paraId="14C734A6">
      <w:pPr>
        <w:keepNext/>
        <w:keepLines/>
        <w:widowControl/>
        <w:spacing w:beforeLines="0" w:afterLines="0"/>
        <w:ind w:firstLine="640"/>
        <w:rPr>
          <w:rFonts w:hint="default" w:ascii="Times New Roman" w:hAnsi="Times New Roman" w:eastAsia="Times New Roman" w:cs="Times New Roman"/>
          <w:b/>
          <w:color w:val="auto"/>
          <w:sz w:val="32"/>
          <w:szCs w:val="24"/>
          <w:highlight w:val="white"/>
          <w:lang w:val="zh-CN"/>
        </w:rPr>
      </w:pPr>
      <w:r>
        <w:rPr>
          <w:rFonts w:hint="eastAsia" w:ascii="宋体" w:hAnsi="宋体" w:eastAsia="宋体" w:cs="Times New Roman"/>
          <w:color w:val="auto"/>
          <w:sz w:val="32"/>
          <w:szCs w:val="24"/>
          <w:highlight w:val="white"/>
          <w:lang w:val="en-US" w:eastAsia="zh-CN"/>
        </w:rPr>
        <w:t>2023</w:t>
      </w:r>
      <w:r>
        <w:rPr>
          <w:rFonts w:hint="eastAsia" w:ascii="宋体" w:hAnsi="宋体" w:eastAsia="宋体" w:cs="Times New Roman"/>
          <w:color w:val="auto"/>
          <w:sz w:val="32"/>
          <w:szCs w:val="24"/>
          <w:highlight w:val="white"/>
          <w:lang w:val="en-US"/>
        </w:rPr>
        <w:t>年度</w:t>
      </w:r>
      <w:r>
        <w:rPr>
          <w:rFonts w:hint="eastAsia" w:ascii="宋体" w:hAnsi="宋体"/>
          <w:sz w:val="32"/>
          <w:szCs w:val="24"/>
          <w:highlight w:val="white"/>
        </w:rPr>
        <w:t>华容县城兴小学</w:t>
      </w:r>
      <w:r>
        <w:rPr>
          <w:rFonts w:hint="eastAsia" w:ascii="宋体" w:hAnsi="宋体" w:eastAsia="宋体" w:cs="Times New Roman"/>
          <w:color w:val="auto"/>
          <w:sz w:val="32"/>
          <w:szCs w:val="24"/>
          <w:highlight w:val="white"/>
          <w:lang w:val="en-US"/>
        </w:rPr>
        <w:t>部门决算公开表格</w:t>
      </w:r>
    </w:p>
    <w:p w14:paraId="2A727362">
      <w:pPr>
        <w:widowControl/>
        <w:spacing w:beforeLines="0" w:afterLines="0"/>
        <w:ind w:firstLine="640"/>
        <w:jc w:val="left"/>
        <w:rPr>
          <w:rFonts w:hint="eastAsia" w:ascii="宋体" w:hAnsi="宋体" w:eastAsia="宋体" w:cs="Times New Roman"/>
          <w:b/>
          <w:color w:val="FF0000"/>
          <w:sz w:val="32"/>
          <w:szCs w:val="24"/>
          <w:highlight w:val="white"/>
          <w:lang w:val="zh-CN"/>
        </w:rPr>
      </w:pPr>
      <w:r>
        <w:rPr>
          <w:rFonts w:hint="eastAsia" w:ascii="宋体" w:hAnsi="宋体" w:eastAsia="宋体" w:cs="Times New Roman"/>
          <w:color w:val="auto"/>
          <w:sz w:val="32"/>
          <w:szCs w:val="24"/>
          <w:lang w:val="en-US" w:eastAsia="zh-CN"/>
        </w:rPr>
        <w:t>2023</w:t>
      </w:r>
      <w:r>
        <w:rPr>
          <w:rFonts w:hint="eastAsia" w:ascii="宋体" w:hAnsi="宋体" w:eastAsia="宋体" w:cs="Times New Roman"/>
          <w:color w:val="auto"/>
          <w:sz w:val="32"/>
          <w:szCs w:val="24"/>
          <w:lang w:val="en-US"/>
        </w:rPr>
        <w:t>年度</w:t>
      </w:r>
      <w:r>
        <w:rPr>
          <w:rFonts w:hint="eastAsia" w:ascii="宋体" w:hAnsi="宋体"/>
          <w:sz w:val="32"/>
          <w:szCs w:val="24"/>
          <w:highlight w:val="white"/>
        </w:rPr>
        <w:t>华容县城兴小学</w:t>
      </w:r>
      <w:r>
        <w:rPr>
          <w:rFonts w:hint="eastAsia" w:ascii="宋体" w:hAnsi="宋体" w:eastAsia="宋体" w:cs="Times New Roman"/>
          <w:color w:val="auto"/>
          <w:sz w:val="32"/>
          <w:szCs w:val="24"/>
          <w:lang w:val="en-US"/>
        </w:rPr>
        <w:t>绩效评价自评报告</w:t>
      </w:r>
    </w:p>
    <w:p w14:paraId="53139C0D">
      <w:pPr>
        <w:widowControl/>
        <w:spacing w:beforeLines="0" w:afterLines="0"/>
        <w:ind w:firstLine="640"/>
        <w:jc w:val="left"/>
        <w:rPr>
          <w:rFonts w:hint="eastAsia" w:ascii="楷体" w:hAnsi="楷体" w:eastAsia="楷体" w:cs="楷体"/>
          <w:b/>
          <w:bCs/>
          <w:i/>
          <w:color w:val="auto"/>
          <w:kern w:val="0"/>
          <w:sz w:val="32"/>
          <w:szCs w:val="32"/>
          <w:lang w:val="zh-CN" w:eastAsia="zh-CN" w:bidi="ar-SA"/>
        </w:rPr>
      </w:pPr>
    </w:p>
    <w:p w14:paraId="034FE4BD">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C86C0"/>
    <w:multiLevelType w:val="singleLevel"/>
    <w:tmpl w:val="927C86C0"/>
    <w:lvl w:ilvl="0" w:tentative="0">
      <w:start w:val="8"/>
      <w:numFmt w:val="chineseCounting"/>
      <w:suff w:val="nothing"/>
      <w:lvlText w:val="%1、"/>
      <w:lvlJc w:val="left"/>
      <w:rPr>
        <w:rFonts w:hint="eastAsia"/>
      </w:rPr>
    </w:lvl>
  </w:abstractNum>
  <w:abstractNum w:abstractNumId="1">
    <w:nsid w:val="2F4E0FA7"/>
    <w:multiLevelType w:val="singleLevel"/>
    <w:tmpl w:val="2F4E0FA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4MjQ2NWQzODA2NGRiNjgyZmNiNTc5YjBmZGRlNWE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41E35"/>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FA6D38"/>
    <w:rsid w:val="04B26322"/>
    <w:rsid w:val="0C322DE7"/>
    <w:rsid w:val="1008458B"/>
    <w:rsid w:val="105C3DD4"/>
    <w:rsid w:val="12C3256F"/>
    <w:rsid w:val="22CC00DB"/>
    <w:rsid w:val="24683179"/>
    <w:rsid w:val="26EE31B4"/>
    <w:rsid w:val="31465FE5"/>
    <w:rsid w:val="3E48304E"/>
    <w:rsid w:val="4CEF5BAF"/>
    <w:rsid w:val="4F163EB2"/>
    <w:rsid w:val="51C26390"/>
    <w:rsid w:val="55D67D1A"/>
    <w:rsid w:val="5777D4F5"/>
    <w:rsid w:val="57BB500C"/>
    <w:rsid w:val="5858676E"/>
    <w:rsid w:val="5A0D3E42"/>
    <w:rsid w:val="5B965E51"/>
    <w:rsid w:val="5D2C2E52"/>
    <w:rsid w:val="5EA65AC4"/>
    <w:rsid w:val="5FC6BB1E"/>
    <w:rsid w:val="5FF720F1"/>
    <w:rsid w:val="63960BA6"/>
    <w:rsid w:val="6401649C"/>
    <w:rsid w:val="6692787F"/>
    <w:rsid w:val="69C47BB5"/>
    <w:rsid w:val="700A66D9"/>
    <w:rsid w:val="737D59BA"/>
    <w:rsid w:val="77C37683"/>
    <w:rsid w:val="79FF515B"/>
    <w:rsid w:val="7E9F11B4"/>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qFormat/>
    <w:uiPriority w:val="99"/>
    <w:pPr>
      <w:spacing w:beforeLines="0" w:afterLines="0"/>
      <w:jc w:val="left"/>
    </w:pPr>
    <w:rPr>
      <w:rFonts w:hint="default" w:ascii="Times New Roman" w:hAnsi="Times New Roman" w:eastAsia="宋体" w:cs="Times New Roman"/>
      <w:kern w:val="2"/>
      <w:sz w:val="21"/>
      <w:szCs w:val="24"/>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5865</Words>
  <Characters>6129</Characters>
  <Lines>63</Lines>
  <Paragraphs>18</Paragraphs>
  <TotalTime>0</TotalTime>
  <ScaleCrop>false</ScaleCrop>
  <LinksUpToDate>false</LinksUpToDate>
  <CharactersWithSpaces>6142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李天乐</cp:lastModifiedBy>
  <cp:lastPrinted>2023-08-23T00:11:00Z</cp:lastPrinted>
  <dcterms:modified xsi:type="dcterms:W3CDTF">2025-12-08T13:41:01Z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4F02F0261E7F493EA42366C002DA87B0_13</vt:lpwstr>
  </property>
  <property fmtid="{D5CDD505-2E9C-101B-9397-08002B2CF9AE}" pid="4" name="KSOTemplateDocerSaveRecord">
    <vt:lpwstr>eyJoZGlkIjoiYWNjNTk2OTRjYzEzNTI3Yzk4MDU3ZTg2ZjlhODM2NDAiLCJ1c2VySWQiOiIxNDkyNDM0OTU4In0=</vt:lpwstr>
  </property>
</Properties>
</file>