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附件1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center"/>
        <w:textAlignment w:val="auto"/>
        <w:rPr>
          <w:rFonts w:ascii="Times New Roman" w:hAnsi="Times New Roman" w:eastAsia="Times New Roman" w:cs="Times New Roman"/>
          <w:spacing w:val="8"/>
          <w:sz w:val="35"/>
          <w:szCs w:val="35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spacing w:val="8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8"/>
          <w:sz w:val="44"/>
          <w:szCs w:val="44"/>
        </w:rPr>
        <w:t>2023年度</w:t>
      </w:r>
      <w:r>
        <w:rPr>
          <w:rFonts w:hint="eastAsia" w:ascii="方正小标宋简体" w:hAnsi="方正小标宋简体" w:eastAsia="方正小标宋简体" w:cs="方正小标宋简体"/>
          <w:spacing w:val="8"/>
          <w:sz w:val="44"/>
          <w:szCs w:val="44"/>
          <w:lang w:eastAsia="zh-CN"/>
        </w:rPr>
        <w:t>财政重点评价项目</w:t>
      </w:r>
      <w:r>
        <w:rPr>
          <w:rFonts w:hint="eastAsia" w:ascii="方正小标宋简体" w:hAnsi="方正小标宋简体" w:eastAsia="方正小标宋简体" w:cs="方正小标宋简体"/>
          <w:spacing w:val="8"/>
          <w:sz w:val="44"/>
          <w:szCs w:val="44"/>
        </w:rPr>
        <w:t>清单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textAlignment w:val="auto"/>
        <w:rPr>
          <w:rFonts w:ascii="微软雅黑" w:hAnsi="微软雅黑" w:eastAsia="微软雅黑" w:cs="微软雅黑"/>
          <w:spacing w:val="8"/>
          <w:sz w:val="35"/>
          <w:szCs w:val="35"/>
        </w:rPr>
      </w:pPr>
    </w:p>
    <w:tbl>
      <w:tblPr>
        <w:tblStyle w:val="14"/>
        <w:tblpPr w:leftFromText="180" w:rightFromText="180" w:vertAnchor="text" w:horzAnchor="page" w:tblpXSpec="center" w:tblpY="14"/>
        <w:tblOverlap w:val="never"/>
        <w:tblW w:w="8985" w:type="dxa"/>
        <w:jc w:val="center"/>
        <w:tblInd w:w="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890"/>
        <w:gridCol w:w="3365"/>
        <w:gridCol w:w="2838"/>
        <w:gridCol w:w="1892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</w:tblPrEx>
        <w:trPr>
          <w:trHeight w:val="830" w:hRule="atLeast"/>
          <w:jc w:val="center"/>
        </w:trPr>
        <w:tc>
          <w:tcPr>
            <w:tcW w:w="890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序号</w:t>
            </w:r>
          </w:p>
        </w:tc>
        <w:tc>
          <w:tcPr>
            <w:tcW w:w="3365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省级专项资金名称</w:t>
            </w:r>
          </w:p>
        </w:tc>
        <w:tc>
          <w:tcPr>
            <w:tcW w:w="2838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主管部门</w:t>
            </w:r>
          </w:p>
        </w:tc>
        <w:tc>
          <w:tcPr>
            <w:tcW w:w="1892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归口股室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94" w:hRule="atLeast"/>
          <w:jc w:val="center"/>
        </w:trPr>
        <w:tc>
          <w:tcPr>
            <w:tcW w:w="890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</w:t>
            </w:r>
          </w:p>
        </w:tc>
        <w:tc>
          <w:tcPr>
            <w:tcW w:w="3365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路灯管理及维护</w:t>
            </w:r>
          </w:p>
        </w:tc>
        <w:tc>
          <w:tcPr>
            <w:tcW w:w="2838" w:type="dxa"/>
            <w:tcBorders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县城管局</w:t>
            </w:r>
          </w:p>
        </w:tc>
        <w:tc>
          <w:tcPr>
            <w:tcW w:w="189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经建股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94" w:hRule="atLeast"/>
          <w:jc w:val="center"/>
        </w:trPr>
        <w:tc>
          <w:tcPr>
            <w:tcW w:w="890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2</w:t>
            </w:r>
          </w:p>
        </w:tc>
        <w:tc>
          <w:tcPr>
            <w:tcW w:w="3365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污水处理</w:t>
            </w:r>
          </w:p>
        </w:tc>
        <w:tc>
          <w:tcPr>
            <w:tcW w:w="2838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县住建局</w:t>
            </w:r>
          </w:p>
        </w:tc>
        <w:tc>
          <w:tcPr>
            <w:tcW w:w="189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债务股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94" w:hRule="atLeast"/>
          <w:jc w:val="center"/>
        </w:trPr>
        <w:tc>
          <w:tcPr>
            <w:tcW w:w="890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3</w:t>
            </w:r>
          </w:p>
        </w:tc>
        <w:tc>
          <w:tcPr>
            <w:tcW w:w="3365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垃圾处理</w:t>
            </w:r>
          </w:p>
        </w:tc>
        <w:tc>
          <w:tcPr>
            <w:tcW w:w="2838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县环卫中心</w:t>
            </w:r>
          </w:p>
        </w:tc>
        <w:tc>
          <w:tcPr>
            <w:tcW w:w="189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经建股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94" w:hRule="atLeast"/>
          <w:jc w:val="center"/>
        </w:trPr>
        <w:tc>
          <w:tcPr>
            <w:tcW w:w="890" w:type="dxa"/>
            <w:tcBorders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4</w:t>
            </w:r>
          </w:p>
        </w:tc>
        <w:tc>
          <w:tcPr>
            <w:tcW w:w="3365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公租房廉租房收支</w:t>
            </w:r>
          </w:p>
        </w:tc>
        <w:tc>
          <w:tcPr>
            <w:tcW w:w="2838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县住保中心</w:t>
            </w:r>
          </w:p>
        </w:tc>
        <w:tc>
          <w:tcPr>
            <w:tcW w:w="189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经建股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94" w:hRule="atLeast"/>
          <w:jc w:val="center"/>
        </w:trPr>
        <w:tc>
          <w:tcPr>
            <w:tcW w:w="89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"/>
              </w:rPr>
              <w:t>5</w:t>
            </w:r>
          </w:p>
        </w:tc>
        <w:tc>
          <w:tcPr>
            <w:tcW w:w="3365" w:type="dxa"/>
            <w:tcBorders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农排电费</w:t>
            </w:r>
          </w:p>
        </w:tc>
        <w:tc>
          <w:tcPr>
            <w:tcW w:w="2838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县供电公司</w:t>
            </w:r>
          </w:p>
        </w:tc>
        <w:tc>
          <w:tcPr>
            <w:tcW w:w="189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绩效股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94" w:hRule="atLeast"/>
          <w:jc w:val="center"/>
        </w:trPr>
        <w:tc>
          <w:tcPr>
            <w:tcW w:w="89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"/>
              </w:rPr>
              <w:t>6</w:t>
            </w:r>
          </w:p>
        </w:tc>
        <w:tc>
          <w:tcPr>
            <w:tcW w:w="33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食品安全抽检</w:t>
            </w:r>
          </w:p>
        </w:tc>
        <w:tc>
          <w:tcPr>
            <w:tcW w:w="2838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县市监局</w:t>
            </w:r>
          </w:p>
        </w:tc>
        <w:tc>
          <w:tcPr>
            <w:tcW w:w="189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行财股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94" w:hRule="atLeast"/>
          <w:jc w:val="center"/>
        </w:trPr>
        <w:tc>
          <w:tcPr>
            <w:tcW w:w="89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"/>
              </w:rPr>
              <w:t>7</w:t>
            </w:r>
          </w:p>
        </w:tc>
        <w:tc>
          <w:tcPr>
            <w:tcW w:w="33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校车安全管理专项</w:t>
            </w:r>
          </w:p>
        </w:tc>
        <w:tc>
          <w:tcPr>
            <w:tcW w:w="2838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县教体局</w:t>
            </w:r>
          </w:p>
        </w:tc>
        <w:tc>
          <w:tcPr>
            <w:tcW w:w="189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教科文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94" w:hRule="atLeast"/>
          <w:jc w:val="center"/>
        </w:trPr>
        <w:tc>
          <w:tcPr>
            <w:tcW w:w="89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"/>
              </w:rPr>
              <w:t>8</w:t>
            </w:r>
          </w:p>
        </w:tc>
        <w:tc>
          <w:tcPr>
            <w:tcW w:w="3365" w:type="dxa"/>
            <w:tcBorders>
              <w:top w:val="single" w:color="auto" w:sz="4" w:space="0"/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防贫保</w:t>
            </w:r>
          </w:p>
        </w:tc>
        <w:tc>
          <w:tcPr>
            <w:tcW w:w="2838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县乡村振兴局</w:t>
            </w:r>
          </w:p>
        </w:tc>
        <w:tc>
          <w:tcPr>
            <w:tcW w:w="189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农业股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94" w:hRule="atLeast"/>
          <w:jc w:val="center"/>
        </w:trPr>
        <w:tc>
          <w:tcPr>
            <w:tcW w:w="890" w:type="dxa"/>
            <w:tcBorders>
              <w:top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"/>
              </w:rPr>
              <w:t>9</w:t>
            </w:r>
          </w:p>
        </w:tc>
        <w:tc>
          <w:tcPr>
            <w:tcW w:w="3365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城乡医疗救助</w:t>
            </w:r>
          </w:p>
        </w:tc>
        <w:tc>
          <w:tcPr>
            <w:tcW w:w="2838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县医疗保障局</w:t>
            </w:r>
          </w:p>
        </w:tc>
        <w:tc>
          <w:tcPr>
            <w:tcW w:w="189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社保股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94" w:hRule="atLeast"/>
          <w:jc w:val="center"/>
        </w:trPr>
        <w:tc>
          <w:tcPr>
            <w:tcW w:w="890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"/>
              </w:rPr>
              <w:t>10</w:t>
            </w:r>
          </w:p>
        </w:tc>
        <w:tc>
          <w:tcPr>
            <w:tcW w:w="3365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林长制专职护林员工资及工作经费</w:t>
            </w:r>
          </w:p>
        </w:tc>
        <w:tc>
          <w:tcPr>
            <w:tcW w:w="2838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县林业局</w:t>
            </w:r>
          </w:p>
        </w:tc>
        <w:tc>
          <w:tcPr>
            <w:tcW w:w="189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综合股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94" w:hRule="atLeast"/>
          <w:jc w:val="center"/>
        </w:trPr>
        <w:tc>
          <w:tcPr>
            <w:tcW w:w="890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"/>
              </w:rPr>
              <w:t>11</w:t>
            </w:r>
          </w:p>
        </w:tc>
        <w:tc>
          <w:tcPr>
            <w:tcW w:w="3365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原粮食企业改制遗留人员经费</w:t>
            </w:r>
          </w:p>
        </w:tc>
        <w:tc>
          <w:tcPr>
            <w:tcW w:w="2838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县商务粮食局</w:t>
            </w:r>
          </w:p>
        </w:tc>
        <w:tc>
          <w:tcPr>
            <w:tcW w:w="189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企业股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94" w:hRule="atLeast"/>
          <w:jc w:val="center"/>
        </w:trPr>
        <w:tc>
          <w:tcPr>
            <w:tcW w:w="890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"/>
              </w:rPr>
              <w:t>12</w:t>
            </w:r>
          </w:p>
        </w:tc>
        <w:tc>
          <w:tcPr>
            <w:tcW w:w="3365" w:type="dxa"/>
            <w:tcBorders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公车平台专项</w:t>
            </w:r>
          </w:p>
        </w:tc>
        <w:tc>
          <w:tcPr>
            <w:tcW w:w="28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县机关事务管理中心</w:t>
            </w:r>
          </w:p>
        </w:tc>
        <w:tc>
          <w:tcPr>
            <w:tcW w:w="1892" w:type="dxa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资产股</w:t>
            </w:r>
          </w:p>
        </w:tc>
      </w:tr>
    </w:tbl>
    <w:p>
      <w:pPr>
        <w:spacing w:line="26" w:lineRule="exact"/>
      </w:pPr>
    </w:p>
    <w:p>
      <w:pPr>
        <w:rPr>
          <w:rFonts w:hint="eastAsia" w:ascii="黑体" w:hAnsi="黑体" w:eastAsia="黑体" w:cs="黑体"/>
          <w:spacing w:val="-4"/>
          <w:sz w:val="31"/>
          <w:szCs w:val="31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eastAsia="zh-CN"/>
        </w:rPr>
        <w:br w:type="page"/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2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exact"/>
        <w:ind w:left="0"/>
        <w:textAlignment w:val="auto"/>
        <w:rPr>
          <w:rFonts w:hint="eastAsia" w:ascii="黑体" w:hAnsi="黑体" w:eastAsia="黑体" w:cs="黑体"/>
          <w:spacing w:val="-4"/>
          <w:sz w:val="31"/>
          <w:szCs w:val="31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spacing w:val="0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0"/>
          <w:sz w:val="44"/>
          <w:szCs w:val="44"/>
        </w:rPr>
        <w:t>2023年度部门整体支出绩效评价基础数据表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exact"/>
        <w:textAlignment w:val="auto"/>
      </w:pPr>
    </w:p>
    <w:tbl>
      <w:tblPr>
        <w:tblStyle w:val="14"/>
        <w:tblW w:w="9277" w:type="dxa"/>
        <w:jc w:val="center"/>
        <w:tblInd w:w="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419"/>
        <w:gridCol w:w="964"/>
        <w:gridCol w:w="965"/>
        <w:gridCol w:w="1"/>
        <w:gridCol w:w="985"/>
        <w:gridCol w:w="986"/>
        <w:gridCol w:w="978"/>
        <w:gridCol w:w="979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39" w:hRule="atLeast"/>
          <w:jc w:val="center"/>
        </w:trPr>
        <w:tc>
          <w:tcPr>
            <w:tcW w:w="3419" w:type="dxa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财政供养人员情况（人）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编制数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2023年实际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在职人数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控制率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黑体" w:hAnsi="黑体" w:eastAsia="黑体" w:cs="黑体"/>
                <w:sz w:val="21"/>
                <w:szCs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23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黑体" w:hAnsi="黑体" w:eastAsia="黑体" w:cs="黑体"/>
                <w:sz w:val="21"/>
                <w:szCs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21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黑体" w:hAnsi="黑体" w:eastAsia="黑体" w:cs="黑体"/>
                <w:sz w:val="21"/>
                <w:szCs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100%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经费控制情况（万元）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2022年决算数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2023年预算数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2023年决算数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基本支出：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黑体" w:hAnsi="黑体" w:eastAsia="黑体" w:cs="黑体"/>
                <w:sz w:val="21"/>
                <w:szCs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490.5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黑体" w:hAnsi="黑体" w:eastAsia="黑体" w:cs="黑体"/>
                <w:sz w:val="21"/>
                <w:szCs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497.25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黑体" w:hAnsi="黑体" w:eastAsia="黑体" w:cs="黑体"/>
                <w:sz w:val="21"/>
                <w:szCs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497.25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三公经费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：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1、公务用车购置和维护经费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其中：公车购置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1459" w:firstLineChars="695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公车运行维护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2、出国经费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3、公务接待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2.61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both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1.85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项目支出：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1、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国有资本经营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项目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15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120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120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2、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XX项目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3、专项资金（每个专项一行）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858" w:firstLineChars="409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858" w:firstLineChars="409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公用经费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109.92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73.6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73.6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其中：办公经费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630" w:firstLineChars="300"/>
              <w:jc w:val="both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5.03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both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9.5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both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9.5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1478" w:firstLineChars="704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水费、电费、差旅费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8.44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5.7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5.7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1478" w:firstLineChars="704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会议费、培训费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1.34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14.1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14.1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政府采购金额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——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部门基本支出预算调整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——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08" w:hRule="atLeast"/>
          <w:jc w:val="center"/>
        </w:trPr>
        <w:tc>
          <w:tcPr>
            <w:tcW w:w="3419" w:type="dxa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楼堂馆所控制情况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（2023年完工项目）</w:t>
            </w:r>
          </w:p>
        </w:tc>
        <w:tc>
          <w:tcPr>
            <w:tcW w:w="9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批复规模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（㎡）</w:t>
            </w:r>
          </w:p>
        </w:tc>
        <w:tc>
          <w:tcPr>
            <w:tcW w:w="96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实际规模（㎡）</w:t>
            </w:r>
          </w:p>
        </w:tc>
        <w:tc>
          <w:tcPr>
            <w:tcW w:w="986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规模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控制率</w:t>
            </w:r>
          </w:p>
        </w:tc>
        <w:tc>
          <w:tcPr>
            <w:tcW w:w="98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预算投资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（万元）</w:t>
            </w:r>
          </w:p>
        </w:tc>
        <w:tc>
          <w:tcPr>
            <w:tcW w:w="97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实际投资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（万元）</w:t>
            </w:r>
          </w:p>
        </w:tc>
        <w:tc>
          <w:tcPr>
            <w:tcW w:w="97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投资概算控制率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6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6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7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7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0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厉行节约保障措施</w:t>
            </w:r>
          </w:p>
        </w:tc>
        <w:tc>
          <w:tcPr>
            <w:tcW w:w="5858" w:type="dxa"/>
            <w:gridSpan w:val="7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</w:tbl>
    <w:p>
      <w:pPr>
        <w:rPr>
          <w:rFonts w:hint="eastAsia"/>
          <w:lang w:eastAsia="zh-CN"/>
        </w:rPr>
      </w:pPr>
      <w:r>
        <w:rPr>
          <w:rFonts w:hint="eastAsia"/>
        </w:rPr>
        <w:t>说明：“项目支出” 需要填报基本支出以外的所有项目支出情况，“公用经费”填报基本支出</w:t>
      </w:r>
      <w:r>
        <w:rPr>
          <w:rFonts w:hint="eastAsia"/>
          <w:lang w:eastAsia="zh-CN"/>
        </w:rPr>
        <w:t>中的一般商品和服务支出。</w:t>
      </w:r>
    </w:p>
    <w:p>
      <w:r>
        <w:rPr>
          <w:rFonts w:hint="eastAsia"/>
        </w:rPr>
        <w:t>填表人</w:t>
      </w:r>
      <w:r>
        <w:rPr>
          <w:rFonts w:hint="eastAsia"/>
          <w:lang w:eastAsia="zh-CN"/>
        </w:rPr>
        <w:t>：白大平</w:t>
      </w:r>
      <w:r>
        <w:rPr>
          <w:rFonts w:hint="eastAsia"/>
        </w:rPr>
        <w:t xml:space="preserve">  填报日期：</w:t>
      </w:r>
      <w:r>
        <w:rPr>
          <w:rFonts w:hint="eastAsia"/>
          <w:lang w:val="en-US" w:eastAsia="zh-CN"/>
        </w:rPr>
        <w:t>2024.5.22</w:t>
      </w:r>
      <w:r>
        <w:rPr>
          <w:rFonts w:hint="eastAsia"/>
        </w:rPr>
        <w:t xml:space="preserve">    联系电话：</w:t>
      </w:r>
      <w:r>
        <w:rPr>
          <w:rFonts w:hint="eastAsia"/>
          <w:lang w:val="en-US" w:eastAsia="zh-CN"/>
        </w:rPr>
        <w:t>13607404829</w:t>
      </w:r>
      <w:r>
        <w:rPr>
          <w:rFonts w:hint="eastAsia"/>
        </w:rPr>
        <w:t xml:space="preserve">    单位负责人签字：</w:t>
      </w:r>
    </w:p>
    <w:p>
      <w:pPr>
        <w:rPr>
          <w:spacing w:val="-13"/>
          <w:sz w:val="22"/>
          <w:szCs w:val="22"/>
        </w:rPr>
      </w:pPr>
      <w:r>
        <w:rPr>
          <w:spacing w:val="-13"/>
          <w:sz w:val="22"/>
          <w:szCs w:val="22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jc w:val="left"/>
        <w:textAlignment w:val="auto"/>
        <w:rPr>
          <w:rFonts w:hint="default" w:ascii="仿宋_GB2312" w:hAnsi="仿宋_GB2312" w:eastAsia="仿宋_GB2312" w:cs="仿宋_GB2312"/>
          <w:spacing w:val="-4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3</w:t>
      </w:r>
    </w:p>
    <w:p>
      <w:pPr>
        <w:spacing w:line="251" w:lineRule="auto"/>
        <w:rPr>
          <w:rFonts w:ascii="Arial"/>
          <w:sz w:val="21"/>
        </w:rPr>
      </w:pPr>
    </w:p>
    <w:p>
      <w:pPr>
        <w:spacing w:line="251" w:lineRule="auto"/>
        <w:rPr>
          <w:rFonts w:ascii="Arial"/>
          <w:sz w:val="21"/>
        </w:rPr>
      </w:pPr>
    </w:p>
    <w:p>
      <w:pPr>
        <w:rPr>
          <w:rFonts w:ascii="Arial"/>
          <w:sz w:val="21"/>
        </w:rPr>
      </w:pPr>
    </w:p>
    <w:p>
      <w:pPr>
        <w:pStyle w:val="2"/>
      </w:pPr>
    </w:p>
    <w:p/>
    <w:p>
      <w:pPr>
        <w:spacing w:before="223" w:line="218" w:lineRule="auto"/>
        <w:ind w:left="2418" w:leftChars="658" w:hanging="1036" w:hangingChars="200"/>
        <w:rPr>
          <w:rFonts w:hint="eastAsia" w:ascii="方正小标宋简体" w:hAnsi="方正小标宋简体" w:eastAsia="方正小标宋简体" w:cs="方正小标宋简体"/>
          <w:sz w:val="52"/>
          <w:szCs w:val="52"/>
        </w:rPr>
      </w:pPr>
      <w:r>
        <w:rPr>
          <w:rFonts w:hint="eastAsia" w:ascii="方正小标宋简体" w:hAnsi="方正小标宋简体" w:eastAsia="方正小标宋简体" w:cs="方正小标宋简体"/>
          <w:spacing w:val="-1"/>
          <w:sz w:val="52"/>
          <w:szCs w:val="52"/>
        </w:rPr>
        <w:t>2023年度</w:t>
      </w:r>
      <w:r>
        <w:rPr>
          <w:rFonts w:hint="eastAsia" w:ascii="方正小标宋简体" w:hAnsi="方正小标宋简体" w:eastAsia="方正小标宋简体" w:cs="方正小标宋简体"/>
          <w:spacing w:val="-1"/>
          <w:sz w:val="52"/>
          <w:szCs w:val="52"/>
          <w:lang w:eastAsia="zh-CN"/>
        </w:rPr>
        <w:t>供销合作社联社部门</w:t>
      </w:r>
      <w:r>
        <w:rPr>
          <w:rFonts w:hint="eastAsia" w:ascii="方正小标宋简体" w:hAnsi="方正小标宋简体" w:eastAsia="方正小标宋简体" w:cs="方正小标宋简体"/>
          <w:spacing w:val="-1"/>
          <w:sz w:val="52"/>
          <w:szCs w:val="52"/>
        </w:rPr>
        <w:t>整体支出</w:t>
      </w:r>
      <w:r>
        <w:rPr>
          <w:rFonts w:hint="eastAsia" w:ascii="方正小标宋简体" w:hAnsi="方正小标宋简体" w:eastAsia="方正小标宋简体" w:cs="方正小标宋简体"/>
          <w:spacing w:val="-3"/>
          <w:sz w:val="52"/>
          <w:szCs w:val="52"/>
        </w:rPr>
        <w:t>绩效自评报告</w:t>
      </w: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pStyle w:val="2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4" w:lineRule="auto"/>
        <w:rPr>
          <w:rFonts w:ascii="Arial"/>
          <w:sz w:val="21"/>
        </w:rPr>
      </w:pPr>
    </w:p>
    <w:p>
      <w:pPr>
        <w:spacing w:line="244" w:lineRule="auto"/>
        <w:rPr>
          <w:rFonts w:ascii="Arial"/>
          <w:sz w:val="21"/>
        </w:rPr>
      </w:pPr>
    </w:p>
    <w:p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0" w:line="221" w:lineRule="auto"/>
        <w:ind w:firstLine="60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10"/>
          <w:sz w:val="32"/>
          <w:szCs w:val="32"/>
        </w:rPr>
        <w:t>部门（单位）名称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  <w:u w:val="single" w:color="auto"/>
          <w:lang w:val="en-US" w:eastAsia="zh-CN"/>
        </w:rPr>
        <w:t>(</w:t>
      </w:r>
      <w:r>
        <w:rPr>
          <w:rFonts w:hint="eastAsia" w:ascii="仿宋_GB2312" w:hAnsi="仿宋_GB2312" w:eastAsia="仿宋_GB2312" w:cs="仿宋_GB2312"/>
          <w:spacing w:val="-118"/>
          <w:sz w:val="32"/>
          <w:szCs w:val="32"/>
          <w:u w:val="single" w:color="auto"/>
        </w:rPr>
        <w:t xml:space="preserve"> </w:t>
      </w:r>
      <w:r>
        <w:rPr>
          <w:rFonts w:hint="eastAsia" w:ascii="仿宋_GB2312" w:hAnsi="仿宋_GB2312" w:eastAsia="仿宋_GB2312" w:cs="仿宋_GB2312"/>
          <w:spacing w:val="-75"/>
          <w:sz w:val="32"/>
          <w:szCs w:val="32"/>
          <w:u w:val="single" w:color="auto"/>
        </w:rPr>
        <w:t xml:space="preserve"> </w:t>
      </w:r>
      <w:r>
        <w:rPr>
          <w:rFonts w:hint="eastAsia" w:ascii="仿宋_GB2312" w:hAnsi="仿宋_GB2312" w:eastAsia="仿宋_GB2312" w:cs="仿宋_GB2312"/>
          <w:spacing w:val="-10"/>
          <w:sz w:val="32"/>
          <w:szCs w:val="32"/>
          <w:u w:val="single" w:color="auto"/>
        </w:rPr>
        <w:t>盖章）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      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  <w:lang w:val="en-US" w:eastAsia="zh-CN"/>
        </w:rPr>
        <w:t xml:space="preserve">     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 </w:t>
      </w:r>
    </w:p>
    <w:p>
      <w:pPr>
        <w:spacing w:before="228" w:line="222" w:lineRule="auto"/>
        <w:ind w:firstLine="4560" w:firstLineChars="15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8"/>
          <w:sz w:val="32"/>
          <w:szCs w:val="32"/>
          <w:lang w:val="en-US" w:eastAsia="zh-CN"/>
        </w:rPr>
        <w:t>2024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年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  <w:lang w:val="en-US" w:eastAsia="zh-CN"/>
        </w:rPr>
        <w:t>5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月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  <w:lang w:val="en-US" w:eastAsia="zh-CN"/>
        </w:rPr>
        <w:t>22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日</w:t>
      </w:r>
    </w:p>
    <w:p>
      <w:pPr>
        <w:spacing w:line="335" w:lineRule="auto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pStyle w:val="4"/>
        <w:spacing w:before="102" w:line="224" w:lineRule="auto"/>
        <w:ind w:left="3216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8"/>
          <w:sz w:val="32"/>
          <w:szCs w:val="32"/>
        </w:rPr>
        <w:t>（此页为封面）</w:t>
      </w:r>
    </w:p>
    <w:p>
      <w:r>
        <w:br w:type="page"/>
      </w:r>
    </w:p>
    <w:p>
      <w:pPr>
        <w:pStyle w:val="2"/>
        <w:sectPr>
          <w:footerReference r:id="rId3" w:type="default"/>
          <w:pgSz w:w="11905" w:h="16838"/>
          <w:pgMar w:top="1984" w:right="1701" w:bottom="1984" w:left="1701" w:header="850" w:footer="1587" w:gutter="0"/>
          <w:pgNumType w:fmt="decimal" w:start="1"/>
          <w:cols w:space="0" w:num="1"/>
          <w:rtlGutter w:val="0"/>
          <w:docGrid w:type="lines" w:linePitch="314" w:charSpace="0"/>
        </w:sect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</w:pPr>
    </w:p>
    <w:p>
      <w:pPr>
        <w:pStyle w:val="2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  <w:t>2023年度</w:t>
      </w:r>
      <w:r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  <w:lang w:eastAsia="zh-CN"/>
        </w:rPr>
        <w:t>供销合作社联社</w:t>
      </w:r>
      <w:r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  <w:t>部门整体支出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7"/>
          <w:sz w:val="44"/>
          <w:szCs w:val="44"/>
        </w:rPr>
        <w:t>绩效自评报告</w:t>
      </w:r>
    </w:p>
    <w:p>
      <w:pPr>
        <w:spacing w:line="283" w:lineRule="auto"/>
        <w:rPr>
          <w:rFonts w:ascii="Arial"/>
          <w:sz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default" w:ascii="Times New Roman" w:hAnsi="Times New Roman" w:eastAsia="仿宋_GB2312" w:cs="Times New Roman"/>
          <w:sz w:val="32"/>
          <w:szCs w:val="32"/>
        </w:rPr>
      </w:pP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default"/>
        </w:rPr>
      </w:pPr>
      <w:r>
        <w:rPr>
          <w:rFonts w:hint="eastAsia" w:eastAsia="黑体" w:cs="Times New Roman"/>
          <w:sz w:val="32"/>
          <w:szCs w:val="32"/>
          <w:lang w:eastAsia="zh-CN"/>
        </w:rPr>
        <w:t>一、</w:t>
      </w:r>
      <w:r>
        <w:rPr>
          <w:rFonts w:hint="default" w:ascii="Times New Roman" w:hAnsi="Times New Roman" w:eastAsia="黑体" w:cs="Times New Roman"/>
          <w:sz w:val="32"/>
          <w:szCs w:val="32"/>
        </w:rPr>
        <w:t>部门（单位）基本情况</w:t>
      </w:r>
    </w:p>
    <w:p>
      <w:pPr>
        <w:spacing w:line="600" w:lineRule="exact"/>
        <w:ind w:firstLine="601" w:firstLineChars="200"/>
        <w:rPr>
          <w:rFonts w:ascii="华文仿宋" w:hAnsi="华文仿宋" w:eastAsia="华文仿宋"/>
          <w:b/>
          <w:bCs/>
          <w:sz w:val="30"/>
          <w:szCs w:val="30"/>
        </w:rPr>
      </w:pPr>
      <w:r>
        <w:rPr>
          <w:rFonts w:hint="eastAsia" w:ascii="华文仿宋" w:hAnsi="华文仿宋" w:eastAsia="华文仿宋"/>
          <w:b/>
          <w:bCs/>
          <w:sz w:val="30"/>
          <w:szCs w:val="30"/>
        </w:rPr>
        <w:t>（一）组织机构及人员情况</w:t>
      </w:r>
    </w:p>
    <w:p>
      <w:pPr>
        <w:spacing w:line="600" w:lineRule="exact"/>
        <w:ind w:firstLine="600" w:firstLineChars="200"/>
        <w:rPr>
          <w:rFonts w:ascii="华文仿宋" w:hAnsi="华文仿宋" w:eastAsia="华文仿宋"/>
          <w:bCs/>
          <w:sz w:val="30"/>
          <w:szCs w:val="30"/>
        </w:rPr>
      </w:pPr>
      <w:r>
        <w:rPr>
          <w:rFonts w:hint="eastAsia" w:ascii="华文仿宋" w:hAnsi="华文仿宋" w:eastAsia="华文仿宋"/>
          <w:bCs/>
          <w:sz w:val="30"/>
          <w:szCs w:val="30"/>
        </w:rPr>
        <w:t>我单位属于参照公务员</w:t>
      </w:r>
      <w:r>
        <w:rPr>
          <w:rFonts w:hint="eastAsia" w:ascii="华文仿宋" w:hAnsi="华文仿宋" w:eastAsia="华文仿宋"/>
          <w:bCs/>
          <w:sz w:val="30"/>
          <w:szCs w:val="30"/>
          <w:lang w:eastAsia="zh-CN"/>
        </w:rPr>
        <w:t>法</w:t>
      </w:r>
      <w:r>
        <w:rPr>
          <w:rFonts w:hint="eastAsia" w:ascii="华文仿宋" w:hAnsi="华文仿宋" w:eastAsia="华文仿宋"/>
          <w:bCs/>
          <w:sz w:val="30"/>
          <w:szCs w:val="30"/>
        </w:rPr>
        <w:t>管理的事业单位，内设股室8个。无下属二级机构。机关在职人员编制23个，其中：行政编制15个，全额事业编8个。年末实有人数</w:t>
      </w:r>
      <w:r>
        <w:rPr>
          <w:rFonts w:hint="eastAsia" w:ascii="华文仿宋" w:hAnsi="华文仿宋" w:eastAsia="华文仿宋"/>
          <w:bCs/>
          <w:sz w:val="30"/>
          <w:szCs w:val="30"/>
          <w:lang w:val="en-US" w:eastAsia="zh-CN"/>
        </w:rPr>
        <w:t>21</w:t>
      </w:r>
      <w:r>
        <w:rPr>
          <w:rFonts w:hint="eastAsia" w:ascii="华文仿宋" w:hAnsi="华文仿宋" w:eastAsia="华文仿宋"/>
          <w:bCs/>
          <w:sz w:val="30"/>
          <w:szCs w:val="30"/>
        </w:rPr>
        <w:t>人。</w:t>
      </w:r>
    </w:p>
    <w:p>
      <w:pPr>
        <w:spacing w:line="600" w:lineRule="exact"/>
        <w:ind w:firstLine="601" w:firstLineChars="200"/>
        <w:rPr>
          <w:rFonts w:ascii="华文仿宋" w:hAnsi="华文仿宋" w:eastAsia="华文仿宋"/>
          <w:b/>
          <w:bCs/>
          <w:sz w:val="30"/>
          <w:szCs w:val="30"/>
        </w:rPr>
      </w:pPr>
      <w:r>
        <w:rPr>
          <w:rFonts w:hint="eastAsia" w:ascii="华文仿宋" w:hAnsi="华文仿宋" w:eastAsia="华文仿宋"/>
          <w:b/>
          <w:bCs/>
          <w:sz w:val="30"/>
          <w:szCs w:val="30"/>
        </w:rPr>
        <w:t>（二）职能概述</w:t>
      </w:r>
    </w:p>
    <w:p>
      <w:pPr>
        <w:spacing w:line="600" w:lineRule="exact"/>
        <w:ind w:firstLine="600" w:firstLineChars="200"/>
        <w:rPr>
          <w:rFonts w:ascii="华文仿宋" w:hAnsi="华文仿宋" w:eastAsia="华文仿宋"/>
          <w:bCs/>
          <w:sz w:val="30"/>
          <w:szCs w:val="30"/>
        </w:rPr>
      </w:pPr>
      <w:r>
        <w:rPr>
          <w:rFonts w:hint="eastAsia" w:ascii="华文仿宋" w:hAnsi="华文仿宋" w:eastAsia="华文仿宋"/>
          <w:bCs/>
          <w:sz w:val="30"/>
          <w:szCs w:val="30"/>
        </w:rPr>
        <w:t>县委、县政府赋予我单位的职能主要有：</w:t>
      </w:r>
    </w:p>
    <w:p>
      <w:pPr>
        <w:autoSpaceDN w:val="0"/>
        <w:spacing w:line="600" w:lineRule="exact"/>
        <w:ind w:firstLine="600" w:firstLineChars="200"/>
        <w:jc w:val="left"/>
        <w:textAlignment w:val="center"/>
        <w:rPr>
          <w:rFonts w:ascii="华文仿宋" w:hAnsi="华文仿宋" w:eastAsia="华文仿宋"/>
          <w:bCs/>
          <w:sz w:val="30"/>
          <w:szCs w:val="30"/>
        </w:rPr>
      </w:pPr>
      <w:r>
        <w:rPr>
          <w:rFonts w:hint="eastAsia" w:ascii="华文仿宋" w:hAnsi="华文仿宋" w:eastAsia="华文仿宋"/>
          <w:bCs/>
          <w:sz w:val="30"/>
          <w:szCs w:val="30"/>
        </w:rPr>
        <w:t>1、宣传、贯彻党和政府及上级供销社有关农村经济工作的方针、政策和法规。</w:t>
      </w:r>
    </w:p>
    <w:p>
      <w:pPr>
        <w:autoSpaceDN w:val="0"/>
        <w:spacing w:line="600" w:lineRule="exact"/>
        <w:ind w:firstLine="600" w:firstLineChars="200"/>
        <w:jc w:val="left"/>
        <w:textAlignment w:val="center"/>
        <w:rPr>
          <w:rFonts w:ascii="华文仿宋" w:hAnsi="华文仿宋" w:eastAsia="华文仿宋"/>
          <w:bCs/>
          <w:sz w:val="30"/>
          <w:szCs w:val="30"/>
        </w:rPr>
      </w:pPr>
      <w:r>
        <w:rPr>
          <w:rFonts w:hint="eastAsia" w:ascii="华文仿宋" w:hAnsi="华文仿宋" w:eastAsia="华文仿宋"/>
          <w:bCs/>
          <w:sz w:val="30"/>
          <w:szCs w:val="30"/>
        </w:rPr>
        <w:t>2、负责研究制定供销社的发展战略和规划，指导供销社的改革和发展。实施深化供销合作社综合改革。</w:t>
      </w:r>
    </w:p>
    <w:p>
      <w:pPr>
        <w:autoSpaceDN w:val="0"/>
        <w:spacing w:line="600" w:lineRule="exact"/>
        <w:ind w:firstLine="600" w:firstLineChars="200"/>
        <w:jc w:val="left"/>
        <w:textAlignment w:val="center"/>
        <w:rPr>
          <w:rFonts w:ascii="华文仿宋" w:hAnsi="华文仿宋" w:eastAsia="华文仿宋"/>
          <w:bCs/>
          <w:sz w:val="30"/>
          <w:szCs w:val="30"/>
        </w:rPr>
      </w:pPr>
      <w:r>
        <w:rPr>
          <w:rFonts w:hint="eastAsia" w:ascii="华文仿宋" w:hAnsi="华文仿宋" w:eastAsia="华文仿宋"/>
          <w:bCs/>
          <w:sz w:val="30"/>
          <w:szCs w:val="30"/>
        </w:rPr>
        <w:t>3、按照资产保值增值的要求，对社有资产进行监督管理。</w:t>
      </w:r>
    </w:p>
    <w:p>
      <w:pPr>
        <w:autoSpaceDN w:val="0"/>
        <w:spacing w:line="600" w:lineRule="exact"/>
        <w:ind w:firstLine="600" w:firstLineChars="200"/>
        <w:jc w:val="left"/>
        <w:textAlignment w:val="center"/>
        <w:rPr>
          <w:rFonts w:ascii="华文仿宋" w:hAnsi="华文仿宋" w:eastAsia="华文仿宋"/>
          <w:bCs/>
          <w:sz w:val="30"/>
          <w:szCs w:val="30"/>
        </w:rPr>
      </w:pPr>
      <w:r>
        <w:rPr>
          <w:rFonts w:hint="eastAsia" w:ascii="华文仿宋" w:hAnsi="华文仿宋" w:eastAsia="华文仿宋"/>
          <w:bCs/>
          <w:sz w:val="30"/>
          <w:szCs w:val="30"/>
        </w:rPr>
        <w:t>4、维护系统稳定，确保安全生产。</w:t>
      </w:r>
    </w:p>
    <w:p>
      <w:pPr>
        <w:spacing w:line="600" w:lineRule="exact"/>
        <w:ind w:firstLine="600" w:firstLineChars="200"/>
        <w:rPr>
          <w:rFonts w:hint="default" w:ascii="Times New Roman" w:hAnsi="Times New Roman" w:eastAsia="黑体" w:cs="Times New Roman"/>
          <w:kern w:val="2"/>
          <w:sz w:val="32"/>
          <w:szCs w:val="32"/>
          <w:lang w:val="en-US" w:eastAsia="zh-CN" w:bidi="ar-SA"/>
        </w:rPr>
      </w:pPr>
      <w:r>
        <w:rPr>
          <w:rFonts w:hint="eastAsia" w:ascii="华文仿宋" w:hAnsi="华文仿宋" w:eastAsia="华文仿宋" w:cs="仿宋_GB2312"/>
          <w:color w:val="000000"/>
          <w:sz w:val="30"/>
          <w:szCs w:val="30"/>
        </w:rPr>
        <w:t>5、承办县委、县政府及上级供销社交办的其他事项。</w:t>
      </w:r>
    </w:p>
    <w:p>
      <w:pPr>
        <w:pStyle w:val="13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default" w:ascii="Times New Roman" w:hAnsi="Times New Roman" w:eastAsia="黑体" w:cs="Times New Roman"/>
          <w:kern w:val="2"/>
          <w:sz w:val="32"/>
          <w:szCs w:val="32"/>
          <w:lang w:val="en-US" w:eastAsia="zh-CN" w:bidi="ar-SA"/>
        </w:rPr>
      </w:pPr>
      <w:r>
        <w:rPr>
          <w:rFonts w:hint="default" w:ascii="Times New Roman" w:hAnsi="Times New Roman" w:eastAsia="黑体" w:cs="Times New Roman"/>
          <w:kern w:val="2"/>
          <w:sz w:val="32"/>
          <w:szCs w:val="32"/>
          <w:lang w:val="en-US" w:eastAsia="zh-CN" w:bidi="ar-SA"/>
        </w:rPr>
        <w:t>二、基本支出情况</w:t>
      </w:r>
    </w:p>
    <w:p>
      <w:pPr>
        <w:spacing w:line="600" w:lineRule="exact"/>
        <w:ind w:firstLine="570"/>
        <w:rPr>
          <w:rFonts w:ascii="华文仿宋" w:hAnsi="华文仿宋" w:eastAsia="华文仿宋"/>
          <w:bCs/>
          <w:sz w:val="30"/>
          <w:szCs w:val="30"/>
        </w:rPr>
      </w:pPr>
      <w:r>
        <w:rPr>
          <w:rFonts w:hint="eastAsia" w:ascii="华文仿宋" w:hAnsi="华文仿宋" w:eastAsia="华文仿宋"/>
          <w:bCs/>
          <w:sz w:val="30"/>
          <w:szCs w:val="30"/>
        </w:rPr>
        <w:t>全年基本支出总额</w:t>
      </w:r>
      <w:r>
        <w:rPr>
          <w:rFonts w:hint="eastAsia" w:ascii="华文仿宋" w:hAnsi="华文仿宋" w:eastAsia="华文仿宋"/>
          <w:bCs/>
          <w:sz w:val="30"/>
          <w:szCs w:val="30"/>
          <w:lang w:val="en-US" w:eastAsia="zh-CN"/>
        </w:rPr>
        <w:t>377.25</w:t>
      </w:r>
      <w:r>
        <w:rPr>
          <w:rFonts w:hint="eastAsia" w:ascii="华文仿宋" w:hAnsi="华文仿宋" w:eastAsia="华文仿宋"/>
          <w:bCs/>
          <w:sz w:val="30"/>
          <w:szCs w:val="30"/>
        </w:rPr>
        <w:t>万元：①工资福利支出</w:t>
      </w:r>
      <w:r>
        <w:rPr>
          <w:rFonts w:hint="eastAsia" w:ascii="华文仿宋" w:hAnsi="华文仿宋" w:eastAsia="华文仿宋"/>
          <w:bCs/>
          <w:sz w:val="30"/>
          <w:szCs w:val="30"/>
          <w:lang w:val="en-US" w:eastAsia="zh-CN"/>
        </w:rPr>
        <w:t>303.65</w:t>
      </w:r>
      <w:r>
        <w:rPr>
          <w:rFonts w:hint="eastAsia" w:ascii="华文仿宋" w:hAnsi="华文仿宋" w:eastAsia="华文仿宋"/>
          <w:bCs/>
          <w:sz w:val="30"/>
          <w:szCs w:val="30"/>
        </w:rPr>
        <w:t>万元；②商品和服务支出</w:t>
      </w:r>
      <w:r>
        <w:rPr>
          <w:rFonts w:hint="eastAsia" w:ascii="华文仿宋" w:hAnsi="华文仿宋" w:eastAsia="华文仿宋"/>
          <w:bCs/>
          <w:sz w:val="30"/>
          <w:szCs w:val="30"/>
          <w:lang w:val="en-US" w:eastAsia="zh-CN"/>
        </w:rPr>
        <w:t>73.6</w:t>
      </w:r>
      <w:r>
        <w:rPr>
          <w:rFonts w:hint="eastAsia" w:ascii="华文仿宋" w:hAnsi="华文仿宋" w:eastAsia="华文仿宋"/>
          <w:bCs/>
          <w:sz w:val="30"/>
          <w:szCs w:val="30"/>
        </w:rPr>
        <w:t>万元</w:t>
      </w:r>
      <w:r>
        <w:rPr>
          <w:rFonts w:hint="eastAsia" w:ascii="华文仿宋" w:hAnsi="华文仿宋" w:eastAsia="华文仿宋"/>
          <w:bCs/>
          <w:sz w:val="30"/>
          <w:szCs w:val="30"/>
          <w:lang w:eastAsia="zh-CN"/>
        </w:rPr>
        <w:t>。</w:t>
      </w:r>
      <w:r>
        <w:rPr>
          <w:rFonts w:hint="eastAsia" w:ascii="华文仿宋" w:hAnsi="华文仿宋" w:eastAsia="华文仿宋"/>
          <w:bCs/>
          <w:sz w:val="30"/>
          <w:szCs w:val="30"/>
        </w:rPr>
        <w:t>年度“三公”经费支出</w:t>
      </w:r>
      <w:r>
        <w:rPr>
          <w:rFonts w:hint="eastAsia" w:ascii="华文仿宋" w:hAnsi="华文仿宋" w:eastAsia="华文仿宋"/>
          <w:bCs/>
          <w:sz w:val="30"/>
          <w:szCs w:val="30"/>
          <w:lang w:val="en-US" w:eastAsia="zh-CN"/>
        </w:rPr>
        <w:t>1.86</w:t>
      </w:r>
      <w:r>
        <w:rPr>
          <w:rFonts w:hint="eastAsia" w:ascii="华文仿宋" w:hAnsi="华文仿宋" w:eastAsia="华文仿宋"/>
          <w:bCs/>
          <w:sz w:val="30"/>
          <w:szCs w:val="30"/>
        </w:rPr>
        <w:t>万元（其中：公务接待费</w:t>
      </w:r>
      <w:r>
        <w:rPr>
          <w:rFonts w:hint="eastAsia" w:ascii="华文仿宋" w:hAnsi="华文仿宋" w:eastAsia="华文仿宋"/>
          <w:bCs/>
          <w:sz w:val="30"/>
          <w:szCs w:val="30"/>
          <w:lang w:val="en-US" w:eastAsia="zh-CN"/>
        </w:rPr>
        <w:t>1.86</w:t>
      </w:r>
      <w:r>
        <w:rPr>
          <w:rFonts w:hint="eastAsia" w:ascii="华文仿宋" w:hAnsi="华文仿宋" w:eastAsia="华文仿宋"/>
          <w:bCs/>
          <w:sz w:val="30"/>
          <w:szCs w:val="30"/>
        </w:rPr>
        <w:t>万元，公务用车运行维护费0万元），占年初预算</w:t>
      </w:r>
      <w:r>
        <w:rPr>
          <w:rFonts w:hint="eastAsia" w:ascii="华文仿宋" w:hAnsi="华文仿宋" w:eastAsia="华文仿宋"/>
          <w:bCs/>
          <w:sz w:val="30"/>
          <w:szCs w:val="30"/>
          <w:lang w:val="en-US" w:eastAsia="zh-CN"/>
        </w:rPr>
        <w:t>2</w:t>
      </w:r>
      <w:r>
        <w:rPr>
          <w:rFonts w:hint="eastAsia" w:ascii="华文仿宋" w:hAnsi="华文仿宋" w:eastAsia="华文仿宋"/>
          <w:bCs/>
          <w:sz w:val="30"/>
          <w:szCs w:val="30"/>
        </w:rPr>
        <w:t>万元的</w:t>
      </w:r>
      <w:r>
        <w:rPr>
          <w:rFonts w:hint="eastAsia" w:ascii="华文仿宋" w:hAnsi="华文仿宋" w:eastAsia="华文仿宋"/>
          <w:bCs/>
          <w:sz w:val="30"/>
          <w:szCs w:val="30"/>
          <w:lang w:val="en-US" w:eastAsia="zh-CN"/>
        </w:rPr>
        <w:t>93%</w:t>
      </w:r>
      <w:r>
        <w:rPr>
          <w:rFonts w:hint="eastAsia" w:ascii="华文仿宋" w:hAnsi="华文仿宋" w:eastAsia="华文仿宋"/>
          <w:bCs/>
          <w:sz w:val="30"/>
          <w:szCs w:val="30"/>
        </w:rPr>
        <w:t>。我们本着勤俭节约、从严管理的原则，严把开支关，制订和健全了一系列规章制度，强化了费用开支审批制度，加大了民主理财力度，规范“三公”经费的支出</w:t>
      </w:r>
      <w:r>
        <w:rPr>
          <w:rFonts w:hint="eastAsia" w:ascii="华文仿宋" w:hAnsi="华文仿宋" w:eastAsia="华文仿宋"/>
          <w:bCs/>
          <w:sz w:val="30"/>
          <w:szCs w:val="30"/>
          <w:lang w:eastAsia="zh-CN"/>
        </w:rPr>
        <w:t>范围</w:t>
      </w:r>
      <w:r>
        <w:rPr>
          <w:rFonts w:hint="eastAsia" w:ascii="华文仿宋" w:hAnsi="华文仿宋" w:eastAsia="华文仿宋"/>
          <w:bCs/>
          <w:sz w:val="30"/>
          <w:szCs w:val="30"/>
        </w:rPr>
        <w:t>和</w:t>
      </w:r>
      <w:r>
        <w:rPr>
          <w:rFonts w:hint="eastAsia" w:ascii="华文仿宋" w:hAnsi="华文仿宋" w:eastAsia="华文仿宋"/>
          <w:bCs/>
          <w:sz w:val="30"/>
          <w:szCs w:val="30"/>
          <w:lang w:eastAsia="zh-CN"/>
        </w:rPr>
        <w:t>使用标准</w:t>
      </w:r>
      <w:r>
        <w:rPr>
          <w:rFonts w:hint="eastAsia" w:ascii="华文仿宋" w:hAnsi="华文仿宋" w:eastAsia="华文仿宋"/>
          <w:bCs/>
          <w:sz w:val="30"/>
          <w:szCs w:val="30"/>
        </w:rPr>
        <w:t>。</w:t>
      </w:r>
    </w:p>
    <w:p>
      <w:pPr>
        <w:pStyle w:val="13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jc w:val="both"/>
        <w:textAlignment w:val="auto"/>
        <w:rPr>
          <w:rFonts w:hint="default" w:ascii="Times New Roman" w:hAnsi="Times New Roman" w:eastAsia="黑体" w:cs="Times New Roman"/>
          <w:kern w:val="2"/>
          <w:sz w:val="32"/>
          <w:szCs w:val="32"/>
          <w:lang w:val="en-US" w:eastAsia="zh-CN" w:bidi="ar-SA"/>
        </w:rPr>
      </w:pPr>
      <w:r>
        <w:rPr>
          <w:rFonts w:hint="default" w:ascii="Times New Roman" w:hAnsi="Times New Roman" w:eastAsia="黑体" w:cs="Times New Roman"/>
          <w:kern w:val="2"/>
          <w:sz w:val="32"/>
          <w:szCs w:val="32"/>
          <w:lang w:val="en-US" w:eastAsia="zh-CN" w:bidi="ar-SA"/>
        </w:rPr>
        <w:t>三、项目支出情况</w:t>
      </w:r>
    </w:p>
    <w:p>
      <w:pPr>
        <w:pStyle w:val="13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jc w:val="both"/>
        <w:textAlignment w:val="auto"/>
        <w:rPr>
          <w:rFonts w:hint="default" w:ascii="Times New Roman" w:hAnsi="Times New Roman" w:eastAsia="黑体" w:cs="Times New Roman"/>
          <w:kern w:val="2"/>
          <w:sz w:val="32"/>
          <w:szCs w:val="32"/>
          <w:lang w:val="en-US" w:eastAsia="zh-CN" w:bidi="ar-SA"/>
        </w:rPr>
      </w:pPr>
      <w:r>
        <w:rPr>
          <w:rFonts w:hint="eastAsia" w:ascii="华文仿宋" w:hAnsi="华文仿宋" w:eastAsia="华文仿宋"/>
          <w:bCs/>
          <w:sz w:val="30"/>
          <w:szCs w:val="30"/>
        </w:rPr>
        <w:t>本年度专项资金</w:t>
      </w:r>
      <w:r>
        <w:rPr>
          <w:rFonts w:hint="eastAsia" w:ascii="华文仿宋" w:hAnsi="华文仿宋" w:eastAsia="华文仿宋"/>
          <w:bCs/>
          <w:sz w:val="30"/>
          <w:szCs w:val="30"/>
          <w:lang w:val="en-US" w:eastAsia="zh-CN"/>
        </w:rPr>
        <w:t>120</w:t>
      </w:r>
      <w:r>
        <w:rPr>
          <w:rFonts w:hint="eastAsia" w:ascii="华文仿宋" w:hAnsi="华文仿宋" w:eastAsia="华文仿宋"/>
          <w:bCs/>
          <w:sz w:val="30"/>
          <w:szCs w:val="30"/>
        </w:rPr>
        <w:t>万元</w:t>
      </w:r>
      <w:r>
        <w:rPr>
          <w:rFonts w:hint="eastAsia" w:ascii="华文仿宋" w:hAnsi="华文仿宋" w:eastAsia="华文仿宋"/>
          <w:bCs/>
          <w:sz w:val="30"/>
          <w:szCs w:val="30"/>
          <w:lang w:eastAsia="zh-CN"/>
        </w:rPr>
        <w:t>。</w:t>
      </w:r>
      <w:r>
        <w:rPr>
          <w:rFonts w:hint="eastAsia" w:ascii="华文仿宋" w:hAnsi="华文仿宋" w:eastAsia="华文仿宋"/>
          <w:bCs/>
          <w:sz w:val="30"/>
          <w:szCs w:val="30"/>
          <w:lang w:val="en-US" w:eastAsia="zh-CN"/>
        </w:rPr>
        <w:t>2023年县政府为我社列入国有资本经营预算收入120万元，解决改制负责人社保、生活费、退休补差等开支。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default" w:ascii="Times New Roman" w:hAnsi="Times New Roman" w:eastAsia="黑体" w:cs="Times New Roman"/>
          <w:sz w:val="32"/>
          <w:szCs w:val="32"/>
        </w:rPr>
      </w:pPr>
      <w:r>
        <w:rPr>
          <w:rFonts w:hint="eastAsia" w:eastAsia="黑体" w:cs="Times New Roman"/>
          <w:sz w:val="32"/>
          <w:szCs w:val="32"/>
          <w:lang w:eastAsia="zh-CN"/>
        </w:rPr>
        <w:t>四</w:t>
      </w:r>
      <w:r>
        <w:rPr>
          <w:rFonts w:hint="default" w:ascii="Times New Roman" w:hAnsi="Times New Roman" w:eastAsia="黑体" w:cs="Times New Roman"/>
          <w:sz w:val="32"/>
          <w:szCs w:val="32"/>
        </w:rPr>
        <w:t>、部门整体支出绩效情况</w:t>
      </w:r>
    </w:p>
    <w:p>
      <w:pPr>
        <w:spacing w:line="600" w:lineRule="exact"/>
        <w:ind w:firstLine="570"/>
        <w:rPr>
          <w:rFonts w:ascii="华文仿宋" w:hAnsi="华文仿宋" w:eastAsia="华文仿宋"/>
          <w:bCs/>
          <w:sz w:val="30"/>
          <w:szCs w:val="30"/>
        </w:rPr>
      </w:pPr>
      <w:r>
        <w:rPr>
          <w:rFonts w:hint="eastAsia" w:ascii="华文仿宋" w:hAnsi="华文仿宋" w:eastAsia="华文仿宋"/>
          <w:bCs/>
          <w:sz w:val="30"/>
          <w:szCs w:val="30"/>
        </w:rPr>
        <w:t>20</w:t>
      </w:r>
      <w:r>
        <w:rPr>
          <w:rFonts w:hint="eastAsia" w:ascii="华文仿宋" w:hAnsi="华文仿宋" w:eastAsia="华文仿宋"/>
          <w:bCs/>
          <w:sz w:val="30"/>
          <w:szCs w:val="30"/>
          <w:lang w:val="en-US" w:eastAsia="zh-CN"/>
        </w:rPr>
        <w:t>23</w:t>
      </w:r>
      <w:r>
        <w:rPr>
          <w:rFonts w:hint="eastAsia" w:ascii="华文仿宋" w:hAnsi="华文仿宋" w:eastAsia="华文仿宋"/>
          <w:bCs/>
          <w:sz w:val="30"/>
          <w:szCs w:val="30"/>
        </w:rPr>
        <w:t>年，我社根据年初工作规划，积极履行职责，强化管理，较好地完成了年度工作目标。通过加强预算收支的管理，不断建立健全内部管理体制，单位整体支出管理情况得到了提升。其支出绩效情况如下：</w:t>
      </w:r>
    </w:p>
    <w:p>
      <w:pPr>
        <w:spacing w:line="600" w:lineRule="exact"/>
        <w:ind w:firstLine="570"/>
        <w:rPr>
          <w:rFonts w:ascii="华文仿宋" w:hAnsi="华文仿宋" w:eastAsia="华文仿宋"/>
          <w:b/>
          <w:bCs/>
          <w:sz w:val="30"/>
          <w:szCs w:val="30"/>
        </w:rPr>
      </w:pPr>
      <w:r>
        <w:rPr>
          <w:rFonts w:hint="eastAsia" w:ascii="华文仿宋" w:hAnsi="华文仿宋" w:eastAsia="华文仿宋"/>
          <w:b/>
          <w:bCs/>
          <w:sz w:val="30"/>
          <w:szCs w:val="30"/>
        </w:rPr>
        <w:t>（一）经济性评价</w:t>
      </w:r>
    </w:p>
    <w:p>
      <w:pPr>
        <w:spacing w:line="600" w:lineRule="exact"/>
        <w:ind w:firstLine="570"/>
        <w:rPr>
          <w:rFonts w:ascii="华文仿宋" w:hAnsi="华文仿宋" w:eastAsia="华文仿宋"/>
          <w:bCs/>
          <w:sz w:val="30"/>
          <w:szCs w:val="30"/>
        </w:rPr>
      </w:pPr>
      <w:r>
        <w:rPr>
          <w:rFonts w:hint="eastAsia" w:ascii="华文仿宋" w:hAnsi="华文仿宋" w:eastAsia="华文仿宋"/>
          <w:bCs/>
          <w:sz w:val="30"/>
          <w:szCs w:val="30"/>
        </w:rPr>
        <w:t>1、预算指标执行到位。财政供养人员控制率没有超标，无人员超编现象。年末实有人数</w:t>
      </w:r>
      <w:r>
        <w:rPr>
          <w:rFonts w:hint="eastAsia" w:ascii="华文仿宋" w:hAnsi="华文仿宋" w:eastAsia="华文仿宋"/>
          <w:bCs/>
          <w:sz w:val="30"/>
          <w:szCs w:val="30"/>
          <w:lang w:val="en-US" w:eastAsia="zh-CN"/>
        </w:rPr>
        <w:t>21</w:t>
      </w:r>
      <w:r>
        <w:rPr>
          <w:rFonts w:hint="eastAsia" w:ascii="华文仿宋" w:hAnsi="华文仿宋" w:eastAsia="华文仿宋"/>
          <w:bCs/>
          <w:sz w:val="30"/>
          <w:szCs w:val="30"/>
        </w:rPr>
        <w:t>人，</w:t>
      </w:r>
      <w:r>
        <w:rPr>
          <w:rFonts w:hint="eastAsia" w:ascii="华文仿宋" w:hAnsi="华文仿宋" w:eastAsia="华文仿宋"/>
          <w:bCs/>
          <w:sz w:val="30"/>
          <w:szCs w:val="30"/>
          <w:lang w:eastAsia="zh-CN"/>
        </w:rPr>
        <w:t>与上年持平</w:t>
      </w:r>
      <w:r>
        <w:rPr>
          <w:rFonts w:hint="eastAsia" w:ascii="华文仿宋" w:hAnsi="华文仿宋" w:eastAsia="华文仿宋"/>
          <w:bCs/>
          <w:sz w:val="30"/>
          <w:szCs w:val="30"/>
        </w:rPr>
        <w:t>。</w:t>
      </w:r>
    </w:p>
    <w:p>
      <w:pPr>
        <w:spacing w:line="600" w:lineRule="exact"/>
        <w:ind w:firstLine="570"/>
        <w:rPr>
          <w:rFonts w:ascii="华文仿宋" w:hAnsi="华文仿宋" w:eastAsia="华文仿宋"/>
          <w:bCs/>
          <w:sz w:val="30"/>
          <w:szCs w:val="30"/>
        </w:rPr>
      </w:pPr>
      <w:r>
        <w:rPr>
          <w:rFonts w:hint="eastAsia" w:ascii="华文仿宋" w:hAnsi="华文仿宋" w:eastAsia="华文仿宋"/>
          <w:bCs/>
          <w:sz w:val="30"/>
          <w:szCs w:val="30"/>
        </w:rPr>
        <w:t>2、“三公”经费控制到位。全年“三公”经费</w:t>
      </w:r>
      <w:r>
        <w:rPr>
          <w:rFonts w:hint="eastAsia" w:ascii="华文仿宋" w:hAnsi="华文仿宋" w:eastAsia="华文仿宋"/>
          <w:bCs/>
          <w:sz w:val="30"/>
          <w:szCs w:val="30"/>
          <w:lang w:val="en-US" w:eastAsia="zh-CN"/>
        </w:rPr>
        <w:t>1.86</w:t>
      </w:r>
      <w:r>
        <w:rPr>
          <w:rFonts w:hint="eastAsia" w:ascii="华文仿宋" w:hAnsi="华文仿宋" w:eastAsia="华文仿宋"/>
          <w:bCs/>
          <w:sz w:val="30"/>
          <w:szCs w:val="30"/>
        </w:rPr>
        <w:t>万元，比年初预算</w:t>
      </w:r>
      <w:r>
        <w:rPr>
          <w:rFonts w:hint="eastAsia" w:ascii="华文仿宋" w:hAnsi="华文仿宋" w:eastAsia="华文仿宋"/>
          <w:bCs/>
          <w:sz w:val="30"/>
          <w:szCs w:val="30"/>
          <w:lang w:eastAsia="zh-CN"/>
        </w:rPr>
        <w:t>的</w:t>
      </w:r>
      <w:r>
        <w:rPr>
          <w:rFonts w:hint="eastAsia" w:ascii="华文仿宋" w:hAnsi="华文仿宋" w:eastAsia="华文仿宋"/>
          <w:bCs/>
          <w:sz w:val="30"/>
          <w:szCs w:val="30"/>
          <w:lang w:val="en-US" w:eastAsia="zh-CN"/>
        </w:rPr>
        <w:t>2</w:t>
      </w:r>
      <w:r>
        <w:rPr>
          <w:rFonts w:hint="eastAsia" w:ascii="华文仿宋" w:hAnsi="华文仿宋" w:eastAsia="华文仿宋"/>
          <w:bCs/>
          <w:sz w:val="30"/>
          <w:szCs w:val="30"/>
        </w:rPr>
        <w:t>万元</w:t>
      </w:r>
      <w:r>
        <w:rPr>
          <w:rFonts w:hint="eastAsia" w:ascii="华文仿宋" w:hAnsi="华文仿宋" w:eastAsia="华文仿宋"/>
          <w:bCs/>
          <w:sz w:val="30"/>
          <w:szCs w:val="30"/>
          <w:lang w:eastAsia="zh-CN"/>
        </w:rPr>
        <w:t>节约</w:t>
      </w:r>
      <w:r>
        <w:rPr>
          <w:rFonts w:hint="eastAsia" w:ascii="华文仿宋" w:hAnsi="华文仿宋" w:eastAsia="华文仿宋"/>
          <w:bCs/>
          <w:sz w:val="30"/>
          <w:szCs w:val="30"/>
          <w:lang w:val="en-US" w:eastAsia="zh-CN"/>
        </w:rPr>
        <w:t>0.14</w:t>
      </w:r>
      <w:r>
        <w:rPr>
          <w:rFonts w:hint="eastAsia" w:ascii="华文仿宋" w:hAnsi="华文仿宋" w:eastAsia="华文仿宋"/>
          <w:bCs/>
          <w:sz w:val="30"/>
          <w:szCs w:val="30"/>
        </w:rPr>
        <w:t>万元，仅占单位基本支出</w:t>
      </w:r>
      <w:r>
        <w:rPr>
          <w:rFonts w:hint="eastAsia" w:ascii="华文仿宋" w:hAnsi="华文仿宋" w:eastAsia="华文仿宋"/>
          <w:bCs/>
          <w:sz w:val="30"/>
          <w:szCs w:val="30"/>
          <w:lang w:val="en-US" w:eastAsia="zh-CN"/>
        </w:rPr>
        <w:t>377.25</w:t>
      </w:r>
      <w:r>
        <w:rPr>
          <w:rFonts w:hint="eastAsia" w:ascii="华文仿宋" w:hAnsi="华文仿宋" w:eastAsia="华文仿宋"/>
          <w:bCs/>
          <w:sz w:val="30"/>
          <w:szCs w:val="30"/>
        </w:rPr>
        <w:t>万元的0.</w:t>
      </w:r>
      <w:r>
        <w:rPr>
          <w:rFonts w:hint="eastAsia" w:ascii="华文仿宋" w:hAnsi="华文仿宋" w:eastAsia="华文仿宋"/>
          <w:bCs/>
          <w:sz w:val="30"/>
          <w:szCs w:val="30"/>
          <w:lang w:val="en-US" w:eastAsia="zh-CN"/>
        </w:rPr>
        <w:t>037</w:t>
      </w:r>
      <w:r>
        <w:rPr>
          <w:rFonts w:hint="eastAsia" w:ascii="华文仿宋" w:hAnsi="华文仿宋" w:eastAsia="华文仿宋"/>
          <w:bCs/>
          <w:sz w:val="30"/>
          <w:szCs w:val="30"/>
        </w:rPr>
        <w:t>%，比20</w:t>
      </w:r>
      <w:r>
        <w:rPr>
          <w:rFonts w:hint="eastAsia" w:ascii="华文仿宋" w:hAnsi="华文仿宋" w:eastAsia="华文仿宋"/>
          <w:bCs/>
          <w:sz w:val="30"/>
          <w:szCs w:val="30"/>
          <w:lang w:val="en-US" w:eastAsia="zh-CN"/>
        </w:rPr>
        <w:t>22</w:t>
      </w:r>
      <w:r>
        <w:rPr>
          <w:rFonts w:hint="eastAsia" w:ascii="华文仿宋" w:hAnsi="华文仿宋" w:eastAsia="华文仿宋"/>
          <w:bCs/>
          <w:sz w:val="30"/>
          <w:szCs w:val="30"/>
        </w:rPr>
        <w:t>年的</w:t>
      </w:r>
      <w:r>
        <w:rPr>
          <w:rFonts w:hint="eastAsia" w:ascii="华文仿宋" w:hAnsi="华文仿宋" w:eastAsia="华文仿宋"/>
          <w:bCs/>
          <w:sz w:val="30"/>
          <w:szCs w:val="30"/>
          <w:lang w:val="en-US" w:eastAsia="zh-CN"/>
        </w:rPr>
        <w:t>2.68</w:t>
      </w:r>
      <w:r>
        <w:rPr>
          <w:rFonts w:hint="eastAsia" w:ascii="华文仿宋" w:hAnsi="华文仿宋" w:eastAsia="华文仿宋"/>
          <w:bCs/>
          <w:sz w:val="30"/>
          <w:szCs w:val="30"/>
        </w:rPr>
        <w:t>万元</w:t>
      </w:r>
      <w:r>
        <w:rPr>
          <w:rFonts w:hint="eastAsia" w:ascii="华文仿宋" w:hAnsi="华文仿宋" w:eastAsia="华文仿宋"/>
          <w:bCs/>
          <w:sz w:val="30"/>
          <w:szCs w:val="30"/>
          <w:lang w:eastAsia="zh-CN"/>
        </w:rPr>
        <w:t>减少</w:t>
      </w:r>
      <w:r>
        <w:rPr>
          <w:rFonts w:hint="eastAsia" w:ascii="华文仿宋" w:hAnsi="华文仿宋" w:eastAsia="华文仿宋"/>
          <w:bCs/>
          <w:sz w:val="30"/>
          <w:szCs w:val="30"/>
          <w:lang w:val="en-US" w:eastAsia="zh-CN"/>
        </w:rPr>
        <w:t>0.82</w:t>
      </w:r>
      <w:r>
        <w:rPr>
          <w:rFonts w:hint="eastAsia" w:ascii="华文仿宋" w:hAnsi="华文仿宋" w:eastAsia="华文仿宋"/>
          <w:bCs/>
          <w:sz w:val="30"/>
          <w:szCs w:val="30"/>
        </w:rPr>
        <w:t>万元</w:t>
      </w:r>
      <w:r>
        <w:rPr>
          <w:rFonts w:hint="eastAsia" w:ascii="华文仿宋" w:hAnsi="华文仿宋" w:eastAsia="华文仿宋"/>
          <w:bCs/>
          <w:sz w:val="30"/>
          <w:szCs w:val="30"/>
          <w:lang w:eastAsia="zh-CN"/>
        </w:rPr>
        <w:t>。公务接待费从严管控成果明显。</w:t>
      </w:r>
    </w:p>
    <w:p>
      <w:pPr>
        <w:spacing w:line="600" w:lineRule="exact"/>
        <w:ind w:firstLine="570"/>
        <w:rPr>
          <w:rFonts w:ascii="华文仿宋" w:hAnsi="华文仿宋" w:eastAsia="华文仿宋"/>
          <w:b/>
          <w:bCs/>
          <w:sz w:val="30"/>
          <w:szCs w:val="30"/>
        </w:rPr>
      </w:pPr>
      <w:r>
        <w:rPr>
          <w:rFonts w:hint="eastAsia" w:ascii="华文仿宋" w:hAnsi="华文仿宋" w:eastAsia="华文仿宋"/>
          <w:b/>
          <w:bCs/>
          <w:sz w:val="30"/>
          <w:szCs w:val="30"/>
        </w:rPr>
        <w:t>（二）效率性评价</w:t>
      </w:r>
    </w:p>
    <w:p>
      <w:pPr>
        <w:spacing w:line="600" w:lineRule="exact"/>
        <w:ind w:firstLine="570"/>
        <w:rPr>
          <w:rFonts w:ascii="华文仿宋" w:hAnsi="华文仿宋" w:eastAsia="华文仿宋"/>
          <w:bCs/>
          <w:sz w:val="30"/>
          <w:szCs w:val="30"/>
        </w:rPr>
      </w:pPr>
      <w:r>
        <w:rPr>
          <w:rFonts w:hint="eastAsia" w:ascii="华文仿宋" w:hAnsi="华文仿宋" w:eastAsia="华文仿宋"/>
          <w:bCs/>
          <w:sz w:val="30"/>
          <w:szCs w:val="30"/>
        </w:rPr>
        <w:t>1、认真搞好了信访、综治、安全生产工作。20</w:t>
      </w:r>
      <w:r>
        <w:rPr>
          <w:rFonts w:hint="eastAsia" w:ascii="华文仿宋" w:hAnsi="华文仿宋" w:eastAsia="华文仿宋"/>
          <w:bCs/>
          <w:sz w:val="30"/>
          <w:szCs w:val="30"/>
          <w:lang w:val="en-US" w:eastAsia="zh-CN"/>
        </w:rPr>
        <w:t>23</w:t>
      </w:r>
      <w:r>
        <w:rPr>
          <w:rFonts w:hint="eastAsia" w:ascii="华文仿宋" w:hAnsi="华文仿宋" w:eastAsia="华文仿宋"/>
          <w:bCs/>
          <w:sz w:val="30"/>
          <w:szCs w:val="30"/>
        </w:rPr>
        <w:t>年没有出现大的信访和安全事故，维护了系统稳定。</w:t>
      </w:r>
    </w:p>
    <w:p>
      <w:pPr>
        <w:spacing w:line="600" w:lineRule="exact"/>
        <w:ind w:firstLine="570"/>
        <w:rPr>
          <w:rFonts w:ascii="华文仿宋" w:hAnsi="华文仿宋" w:eastAsia="华文仿宋"/>
          <w:bCs/>
          <w:sz w:val="30"/>
          <w:szCs w:val="30"/>
        </w:rPr>
      </w:pPr>
      <w:r>
        <w:rPr>
          <w:rFonts w:hint="eastAsia" w:ascii="华文仿宋" w:hAnsi="华文仿宋" w:eastAsia="华文仿宋"/>
          <w:bCs/>
          <w:sz w:val="30"/>
          <w:szCs w:val="30"/>
        </w:rPr>
        <w:t>2、严格执行了国库集中支付、公务卡结算制度等有关规定，确保了支出管理流程、审批手续的完整，增强了资金使用</w:t>
      </w:r>
      <w:r>
        <w:rPr>
          <w:rFonts w:hint="eastAsia" w:ascii="华文仿宋" w:hAnsi="华文仿宋" w:eastAsia="华文仿宋"/>
          <w:bCs/>
          <w:sz w:val="30"/>
          <w:szCs w:val="30"/>
          <w:lang w:eastAsia="zh-CN"/>
        </w:rPr>
        <w:t>效益</w:t>
      </w:r>
      <w:r>
        <w:rPr>
          <w:rFonts w:hint="eastAsia" w:ascii="华文仿宋" w:hAnsi="华文仿宋" w:eastAsia="华文仿宋"/>
          <w:bCs/>
          <w:sz w:val="30"/>
          <w:szCs w:val="30"/>
        </w:rPr>
        <w:t>。</w:t>
      </w:r>
    </w:p>
    <w:p>
      <w:pPr>
        <w:spacing w:line="600" w:lineRule="exact"/>
        <w:ind w:firstLine="570"/>
        <w:rPr>
          <w:rFonts w:ascii="华文仿宋" w:hAnsi="华文仿宋" w:eastAsia="华文仿宋"/>
          <w:b/>
          <w:bCs/>
          <w:sz w:val="30"/>
          <w:szCs w:val="30"/>
        </w:rPr>
      </w:pPr>
      <w:r>
        <w:rPr>
          <w:rFonts w:hint="eastAsia" w:ascii="华文仿宋" w:hAnsi="华文仿宋" w:eastAsia="华文仿宋"/>
          <w:b/>
          <w:bCs/>
          <w:sz w:val="30"/>
          <w:szCs w:val="30"/>
        </w:rPr>
        <w:t>（三）有效性评价</w:t>
      </w:r>
    </w:p>
    <w:p>
      <w:pPr>
        <w:autoSpaceDE w:val="0"/>
        <w:spacing w:line="540" w:lineRule="exact"/>
        <w:ind w:firstLine="600" w:firstLineChars="200"/>
        <w:rPr>
          <w:rFonts w:ascii="华文仿宋" w:hAnsi="华文仿宋" w:eastAsia="华文仿宋"/>
          <w:sz w:val="30"/>
          <w:szCs w:val="30"/>
        </w:rPr>
      </w:pPr>
      <w:r>
        <w:rPr>
          <w:rFonts w:hint="eastAsia" w:ascii="华文仿宋" w:hAnsi="华文仿宋" w:eastAsia="华文仿宋"/>
          <w:bCs/>
          <w:sz w:val="30"/>
          <w:szCs w:val="30"/>
        </w:rPr>
        <w:t>1、深化供销合作社综合改革工作向纵深推进。年末</w:t>
      </w:r>
      <w:r>
        <w:rPr>
          <w:rFonts w:hint="eastAsia" w:ascii="华文仿宋" w:hAnsi="华文仿宋" w:eastAsia="华文仿宋"/>
          <w:bCs/>
          <w:sz w:val="30"/>
          <w:szCs w:val="30"/>
          <w:lang w:val="en-US" w:eastAsia="zh-CN"/>
        </w:rPr>
        <w:t>14个乡镇惠农</w:t>
      </w:r>
      <w:r>
        <w:rPr>
          <w:rFonts w:hint="eastAsia" w:ascii="华文仿宋" w:hAnsi="华文仿宋" w:eastAsia="华文仿宋"/>
          <w:bCs/>
          <w:sz w:val="30"/>
          <w:szCs w:val="30"/>
        </w:rPr>
        <w:t>服务中心</w:t>
      </w:r>
      <w:r>
        <w:rPr>
          <w:rFonts w:hint="eastAsia" w:ascii="华文仿宋" w:hAnsi="华文仿宋" w:eastAsia="华文仿宋"/>
          <w:bCs/>
          <w:sz w:val="30"/>
          <w:szCs w:val="30"/>
          <w:lang w:eastAsia="zh-CN"/>
        </w:rPr>
        <w:t>组建完成</w:t>
      </w:r>
      <w:r>
        <w:rPr>
          <w:rFonts w:hint="eastAsia" w:ascii="华文仿宋" w:hAnsi="华文仿宋" w:eastAsia="华文仿宋"/>
          <w:bCs/>
          <w:sz w:val="30"/>
          <w:szCs w:val="30"/>
        </w:rPr>
        <w:t>，托管、流转土地2</w:t>
      </w:r>
      <w:r>
        <w:rPr>
          <w:rFonts w:hint="eastAsia" w:ascii="华文仿宋" w:hAnsi="华文仿宋" w:eastAsia="华文仿宋"/>
          <w:bCs/>
          <w:sz w:val="30"/>
          <w:szCs w:val="30"/>
          <w:lang w:val="en-US" w:eastAsia="zh-CN"/>
        </w:rPr>
        <w:t>3</w:t>
      </w:r>
      <w:r>
        <w:rPr>
          <w:rFonts w:hint="eastAsia" w:ascii="华文仿宋" w:hAnsi="华文仿宋" w:eastAsia="华文仿宋"/>
          <w:bCs/>
          <w:sz w:val="30"/>
          <w:szCs w:val="30"/>
        </w:rPr>
        <w:t>万多亩，实现了“农民外出打工，供销社为农民打工”的运行模式，</w:t>
      </w:r>
      <w:r>
        <w:rPr>
          <w:rFonts w:hint="eastAsia" w:ascii="华文仿宋" w:hAnsi="华文仿宋" w:eastAsia="华文仿宋"/>
          <w:sz w:val="30"/>
          <w:szCs w:val="30"/>
        </w:rPr>
        <w:t>取得了较好的经济效益和社会效益。</w:t>
      </w:r>
    </w:p>
    <w:p>
      <w:pPr>
        <w:autoSpaceDE w:val="0"/>
        <w:spacing w:line="540" w:lineRule="exact"/>
        <w:ind w:firstLine="600" w:firstLineChars="200"/>
        <w:rPr>
          <w:rFonts w:hint="eastAsia" w:ascii="华文仿宋" w:hAnsi="华文仿宋" w:eastAsia="华文仿宋"/>
          <w:sz w:val="30"/>
          <w:szCs w:val="30"/>
          <w:lang w:eastAsia="zh-CN"/>
        </w:rPr>
      </w:pPr>
      <w:r>
        <w:rPr>
          <w:rFonts w:hint="eastAsia" w:ascii="华文仿宋" w:hAnsi="华文仿宋" w:eastAsia="华文仿宋"/>
          <w:bCs/>
          <w:sz w:val="30"/>
          <w:szCs w:val="30"/>
        </w:rPr>
        <w:t>2、积极发展农村电子商务。</w:t>
      </w:r>
      <w:r>
        <w:rPr>
          <w:rFonts w:hint="eastAsia" w:ascii="华文仿宋" w:hAnsi="华文仿宋" w:eastAsia="华文仿宋"/>
          <w:sz w:val="30"/>
          <w:szCs w:val="30"/>
        </w:rPr>
        <w:t>我社在全市率先成立的供销电子商务有限公司，已发展网点10</w:t>
      </w:r>
      <w:r>
        <w:rPr>
          <w:rFonts w:hint="eastAsia" w:ascii="华文仿宋" w:hAnsi="华文仿宋" w:eastAsia="华文仿宋"/>
          <w:sz w:val="30"/>
          <w:szCs w:val="30"/>
          <w:lang w:val="en-US" w:eastAsia="zh-CN"/>
        </w:rPr>
        <w:t>2</w:t>
      </w:r>
      <w:r>
        <w:rPr>
          <w:rFonts w:hint="eastAsia" w:ascii="华文仿宋" w:hAnsi="华文仿宋" w:eastAsia="华文仿宋"/>
          <w:sz w:val="30"/>
          <w:szCs w:val="30"/>
        </w:rPr>
        <w:t>个。极大方便了周边居民的生产与生活</w:t>
      </w:r>
      <w:r>
        <w:rPr>
          <w:rFonts w:hint="eastAsia" w:ascii="华文仿宋" w:hAnsi="华文仿宋" w:eastAsia="华文仿宋"/>
          <w:sz w:val="30"/>
          <w:szCs w:val="30"/>
          <w:lang w:eastAsia="zh-CN"/>
        </w:rPr>
        <w:t>，同时也助力全县乡村振兴工作。</w:t>
      </w:r>
    </w:p>
    <w:p>
      <w:pPr>
        <w:spacing w:line="600" w:lineRule="exact"/>
        <w:ind w:firstLine="570"/>
        <w:rPr>
          <w:rFonts w:ascii="华文仿宋" w:hAnsi="华文仿宋" w:eastAsia="华文仿宋"/>
          <w:b/>
          <w:bCs/>
          <w:sz w:val="30"/>
          <w:szCs w:val="30"/>
        </w:rPr>
      </w:pPr>
      <w:r>
        <w:rPr>
          <w:rFonts w:hint="eastAsia" w:ascii="华文仿宋" w:hAnsi="华文仿宋" w:eastAsia="华文仿宋"/>
          <w:b/>
          <w:bCs/>
          <w:sz w:val="30"/>
          <w:szCs w:val="30"/>
        </w:rPr>
        <w:t>（四）可持续性评价</w:t>
      </w:r>
    </w:p>
    <w:p>
      <w:pPr>
        <w:widowControl/>
        <w:spacing w:line="600" w:lineRule="exact"/>
        <w:ind w:firstLine="600" w:firstLineChars="200"/>
        <w:jc w:val="left"/>
        <w:rPr>
          <w:rFonts w:ascii="华文仿宋" w:hAnsi="华文仿宋" w:eastAsia="华文仿宋"/>
          <w:bCs/>
          <w:sz w:val="30"/>
          <w:szCs w:val="30"/>
        </w:rPr>
      </w:pPr>
      <w:r>
        <w:rPr>
          <w:rFonts w:hint="eastAsia" w:ascii="华文仿宋" w:hAnsi="华文仿宋" w:eastAsia="华文仿宋"/>
          <w:bCs/>
          <w:sz w:val="30"/>
          <w:szCs w:val="30"/>
        </w:rPr>
        <w:t>1、成立了民主理财小组。定期对机关经费开支情况进行审查审核，并将审查结果张榜公开，为规范经费使用提供了保障。</w:t>
      </w:r>
    </w:p>
    <w:p>
      <w:pPr>
        <w:widowControl/>
        <w:spacing w:line="600" w:lineRule="exact"/>
        <w:ind w:firstLine="600" w:firstLineChars="200"/>
        <w:jc w:val="left"/>
        <w:rPr>
          <w:rFonts w:ascii="华文仿宋" w:hAnsi="华文仿宋" w:eastAsia="华文仿宋"/>
          <w:bCs/>
          <w:sz w:val="30"/>
          <w:szCs w:val="30"/>
        </w:rPr>
      </w:pPr>
      <w:r>
        <w:rPr>
          <w:rFonts w:hint="eastAsia" w:ascii="华文仿宋" w:hAnsi="华文仿宋" w:eastAsia="华文仿宋"/>
          <w:bCs/>
          <w:sz w:val="30"/>
          <w:szCs w:val="30"/>
        </w:rPr>
        <w:t>2、加强对财务制度的学习。根据《党政机关厉行节约反对浪费条例》、《湖南省党政机关国内公务接待管理办法》、《关于厉行节约反对浪费的实施意见》、《关于党政机关停止新建楼堂馆所和清理办公用房的实施意见》等一系列文件精神，组织机关人员学习</w:t>
      </w:r>
      <w:r>
        <w:rPr>
          <w:rFonts w:hint="eastAsia" w:ascii="华文仿宋" w:hAnsi="华文仿宋" w:eastAsia="华文仿宋"/>
          <w:bCs/>
          <w:sz w:val="30"/>
          <w:szCs w:val="30"/>
          <w:lang w:eastAsia="zh-CN"/>
        </w:rPr>
        <w:t>、领会</w:t>
      </w:r>
      <w:r>
        <w:rPr>
          <w:rFonts w:hint="eastAsia" w:ascii="华文仿宋" w:hAnsi="华文仿宋" w:eastAsia="华文仿宋"/>
          <w:bCs/>
          <w:sz w:val="30"/>
          <w:szCs w:val="30"/>
        </w:rPr>
        <w:t>，将厉行节约反对浪费教育作为机关作风建设的重要内容，强化了机关厉行节约的管理意识。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00" w:firstLineChars="200"/>
        <w:jc w:val="both"/>
        <w:textAlignment w:val="auto"/>
        <w:rPr>
          <w:rFonts w:hint="default" w:ascii="Times New Roman" w:hAnsi="Times New Roman" w:eastAsia="仿宋_GB2312" w:cs="Times New Roman"/>
          <w:color w:val="000000"/>
          <w:sz w:val="32"/>
          <w:szCs w:val="32"/>
        </w:rPr>
      </w:pPr>
      <w:r>
        <w:rPr>
          <w:rFonts w:hint="eastAsia" w:ascii="华文仿宋" w:hAnsi="华文仿宋" w:eastAsia="华文仿宋"/>
          <w:bCs/>
          <w:sz w:val="30"/>
          <w:szCs w:val="30"/>
        </w:rPr>
        <w:t>3、随着深化供销合作社综合改革步伐的不断加快，我县供销事业定会迎来美好明天。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default" w:ascii="Times New Roman" w:hAnsi="Times New Roman" w:eastAsia="仿宋_GB2312" w:cs="Times New Roman"/>
          <w:color w:val="000000"/>
          <w:sz w:val="32"/>
          <w:szCs w:val="32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default" w:ascii="Times New Roman" w:hAnsi="Times New Roman" w:eastAsia="仿宋_GB2312" w:cs="Times New Roman"/>
          <w:color w:val="000000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000000"/>
          <w:sz w:val="32"/>
          <w:szCs w:val="32"/>
        </w:rPr>
        <w:t>总结归纳本部门（单位）“四本预算”支出的绩效目标完成情况，实现产出和取得效益的情况。围绕部门（单位）职责、行业发展规划，以预算资金管理为主线，总结部门（单位）资产管理和开展业务情况，从运行成本、管理效率、履职效能、社会效应、可持续发展能力和服务对象满意度等方面，衡量部门（单位）整体及核心业务实施效果。</w:t>
      </w:r>
    </w:p>
    <w:p>
      <w:pPr>
        <w:pStyle w:val="13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default" w:ascii="Times New Roman" w:hAnsi="Times New Roman" w:eastAsia="黑体" w:cs="Times New Roman"/>
          <w:sz w:val="32"/>
          <w:szCs w:val="32"/>
        </w:rPr>
      </w:pPr>
      <w:r>
        <w:rPr>
          <w:rFonts w:hint="eastAsia" w:ascii="Times New Roman" w:hAnsi="Times New Roman" w:eastAsia="黑体" w:cs="Times New Roman"/>
          <w:sz w:val="32"/>
          <w:szCs w:val="32"/>
          <w:lang w:eastAsia="zh-CN"/>
        </w:rPr>
        <w:t>五、</w:t>
      </w:r>
      <w:r>
        <w:rPr>
          <w:rFonts w:hint="default" w:ascii="Times New Roman" w:hAnsi="Times New Roman" w:eastAsia="黑体" w:cs="Times New Roman"/>
          <w:sz w:val="32"/>
          <w:szCs w:val="32"/>
        </w:rPr>
        <w:t>存在的问题及原因分析</w:t>
      </w:r>
    </w:p>
    <w:p>
      <w:pPr>
        <w:widowControl/>
        <w:spacing w:line="600" w:lineRule="exact"/>
        <w:ind w:firstLine="573"/>
        <w:rPr>
          <w:rFonts w:ascii="华文仿宋" w:hAnsi="华文仿宋" w:eastAsia="华文仿宋"/>
          <w:bCs/>
          <w:sz w:val="30"/>
          <w:szCs w:val="30"/>
        </w:rPr>
      </w:pPr>
      <w:r>
        <w:rPr>
          <w:rFonts w:hint="eastAsia" w:ascii="华文仿宋" w:hAnsi="华文仿宋" w:eastAsia="华文仿宋"/>
          <w:bCs/>
          <w:sz w:val="30"/>
          <w:szCs w:val="30"/>
        </w:rPr>
        <w:t>公用经费预算不足。20</w:t>
      </w:r>
      <w:r>
        <w:rPr>
          <w:rFonts w:hint="eastAsia" w:ascii="华文仿宋" w:hAnsi="华文仿宋" w:eastAsia="华文仿宋"/>
          <w:bCs/>
          <w:sz w:val="30"/>
          <w:szCs w:val="30"/>
          <w:lang w:val="en-US" w:eastAsia="zh-CN"/>
        </w:rPr>
        <w:t>23</w:t>
      </w:r>
      <w:r>
        <w:rPr>
          <w:rFonts w:hint="eastAsia" w:ascii="华文仿宋" w:hAnsi="华文仿宋" w:eastAsia="华文仿宋"/>
          <w:bCs/>
          <w:sz w:val="30"/>
          <w:szCs w:val="30"/>
        </w:rPr>
        <w:t>年县财政对公用经费预算是按人平1</w:t>
      </w:r>
      <w:r>
        <w:rPr>
          <w:rFonts w:hint="eastAsia" w:ascii="华文仿宋" w:hAnsi="华文仿宋" w:eastAsia="华文仿宋"/>
          <w:bCs/>
          <w:sz w:val="30"/>
          <w:szCs w:val="30"/>
          <w:lang w:val="en-US" w:eastAsia="zh-CN"/>
        </w:rPr>
        <w:t>3000</w:t>
      </w:r>
      <w:r>
        <w:rPr>
          <w:rFonts w:hint="eastAsia" w:ascii="华文仿宋" w:hAnsi="华文仿宋" w:eastAsia="华文仿宋"/>
          <w:bCs/>
          <w:sz w:val="30"/>
          <w:szCs w:val="30"/>
        </w:rPr>
        <w:t>元/人标准，我单位共预算</w:t>
      </w:r>
      <w:r>
        <w:rPr>
          <w:rFonts w:hint="eastAsia" w:ascii="华文仿宋" w:hAnsi="华文仿宋" w:eastAsia="华文仿宋"/>
          <w:bCs/>
          <w:sz w:val="30"/>
          <w:szCs w:val="30"/>
          <w:lang w:val="en-US" w:eastAsia="zh-CN"/>
        </w:rPr>
        <w:t>27.3</w:t>
      </w:r>
      <w:r>
        <w:rPr>
          <w:rFonts w:hint="eastAsia" w:ascii="华文仿宋" w:hAnsi="华文仿宋" w:eastAsia="华文仿宋"/>
          <w:bCs/>
          <w:sz w:val="30"/>
          <w:szCs w:val="30"/>
        </w:rPr>
        <w:t>万元，但</w:t>
      </w:r>
      <w:r>
        <w:rPr>
          <w:rFonts w:hint="eastAsia" w:ascii="华文仿宋" w:hAnsi="华文仿宋" w:eastAsia="华文仿宋"/>
          <w:bCs/>
          <w:sz w:val="30"/>
          <w:szCs w:val="30"/>
          <w:lang w:eastAsia="zh-CN"/>
        </w:rPr>
        <w:t>乡村振兴</w:t>
      </w:r>
      <w:r>
        <w:rPr>
          <w:rFonts w:hint="eastAsia" w:ascii="华文仿宋" w:hAnsi="华文仿宋" w:eastAsia="华文仿宋"/>
          <w:bCs/>
          <w:sz w:val="30"/>
          <w:szCs w:val="30"/>
        </w:rPr>
        <w:t>、社区建设、支农助学、基层建设</w:t>
      </w:r>
      <w:r>
        <w:rPr>
          <w:rFonts w:hint="eastAsia" w:ascii="华文仿宋" w:hAnsi="华文仿宋" w:eastAsia="华文仿宋"/>
          <w:bCs/>
          <w:sz w:val="30"/>
          <w:szCs w:val="30"/>
          <w:lang w:eastAsia="zh-CN"/>
        </w:rPr>
        <w:t>、破产改制</w:t>
      </w:r>
      <w:r>
        <w:rPr>
          <w:rFonts w:hint="eastAsia" w:ascii="华文仿宋" w:hAnsi="华文仿宋" w:eastAsia="华文仿宋"/>
          <w:bCs/>
          <w:sz w:val="30"/>
          <w:szCs w:val="30"/>
        </w:rPr>
        <w:t>等任务的加大，公用经费严重不足，已远远不能适应实际工作的需要。</w:t>
      </w:r>
    </w:p>
    <w:p>
      <w:pPr>
        <w:widowControl/>
        <w:spacing w:line="600" w:lineRule="exact"/>
        <w:ind w:firstLine="573"/>
        <w:rPr>
          <w:rFonts w:ascii="华文仿宋" w:hAnsi="华文仿宋" w:eastAsia="华文仿宋"/>
          <w:bCs/>
          <w:sz w:val="30"/>
          <w:szCs w:val="30"/>
        </w:rPr>
      </w:pPr>
      <w:r>
        <w:rPr>
          <w:rFonts w:hint="eastAsia" w:ascii="华文仿宋" w:hAnsi="华文仿宋" w:eastAsia="华文仿宋"/>
          <w:bCs/>
          <w:sz w:val="30"/>
          <w:szCs w:val="30"/>
        </w:rPr>
        <w:t>人员老化，青黄不接。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default" w:ascii="Times New Roman" w:hAnsi="Times New Roman" w:eastAsia="黑体" w:cs="Times New Roman"/>
          <w:sz w:val="32"/>
          <w:szCs w:val="32"/>
        </w:rPr>
      </w:pPr>
      <w:r>
        <w:rPr>
          <w:rFonts w:hint="eastAsia" w:eastAsia="黑体" w:cs="Times New Roman"/>
          <w:sz w:val="32"/>
          <w:szCs w:val="32"/>
          <w:lang w:eastAsia="zh-CN"/>
        </w:rPr>
        <w:t>六</w:t>
      </w:r>
      <w:r>
        <w:rPr>
          <w:rFonts w:hint="default" w:ascii="Times New Roman" w:hAnsi="Times New Roman" w:eastAsia="黑体" w:cs="Times New Roman"/>
          <w:sz w:val="32"/>
          <w:szCs w:val="32"/>
        </w:rPr>
        <w:t>、下一步改进措施</w:t>
      </w:r>
    </w:p>
    <w:p>
      <w:pPr>
        <w:widowControl/>
        <w:spacing w:line="600" w:lineRule="exact"/>
        <w:ind w:firstLine="570"/>
        <w:jc w:val="left"/>
        <w:rPr>
          <w:rFonts w:ascii="华文仿宋" w:hAnsi="华文仿宋" w:eastAsia="华文仿宋"/>
          <w:bCs/>
          <w:sz w:val="30"/>
          <w:szCs w:val="30"/>
        </w:rPr>
      </w:pPr>
      <w:r>
        <w:rPr>
          <w:rFonts w:hint="eastAsia" w:ascii="华文仿宋" w:hAnsi="华文仿宋" w:eastAsia="华文仿宋"/>
          <w:bCs/>
          <w:sz w:val="30"/>
          <w:szCs w:val="30"/>
        </w:rPr>
        <w:t>①</w:t>
      </w:r>
      <w:r>
        <w:rPr>
          <w:rFonts w:hint="eastAsia" w:ascii="华文仿宋" w:hAnsi="华文仿宋" w:eastAsia="华文仿宋"/>
          <w:bCs/>
          <w:sz w:val="30"/>
          <w:szCs w:val="30"/>
          <w:lang w:eastAsia="zh-CN"/>
        </w:rPr>
        <w:t>严控商品和服务支出，特别是公务接待费支出</w:t>
      </w:r>
      <w:r>
        <w:rPr>
          <w:rFonts w:hint="eastAsia" w:ascii="华文仿宋" w:hAnsi="华文仿宋" w:eastAsia="华文仿宋"/>
          <w:bCs/>
          <w:sz w:val="30"/>
          <w:szCs w:val="30"/>
        </w:rPr>
        <w:t>。</w:t>
      </w:r>
    </w:p>
    <w:p>
      <w:pPr>
        <w:pStyle w:val="13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00" w:firstLineChars="200"/>
        <w:jc w:val="both"/>
        <w:textAlignment w:val="auto"/>
        <w:rPr>
          <w:rFonts w:hint="default" w:ascii="Times New Roman" w:hAnsi="Times New Roman" w:eastAsia="黑体" w:cs="Times New Roman"/>
          <w:sz w:val="32"/>
          <w:szCs w:val="32"/>
        </w:rPr>
      </w:pPr>
      <w:r>
        <w:rPr>
          <w:rFonts w:hint="eastAsia" w:ascii="华文仿宋" w:hAnsi="华文仿宋" w:eastAsia="华文仿宋"/>
          <w:bCs/>
          <w:sz w:val="30"/>
          <w:szCs w:val="30"/>
        </w:rPr>
        <w:t>②适当调</w:t>
      </w:r>
      <w:r>
        <w:rPr>
          <w:rFonts w:hint="eastAsia" w:ascii="华文仿宋" w:hAnsi="华文仿宋" w:eastAsia="华文仿宋"/>
          <w:bCs/>
          <w:sz w:val="30"/>
          <w:szCs w:val="30"/>
          <w:lang w:eastAsia="zh-CN"/>
        </w:rPr>
        <w:t>增</w:t>
      </w:r>
      <w:r>
        <w:rPr>
          <w:rFonts w:hint="eastAsia" w:ascii="华文仿宋" w:hAnsi="华文仿宋" w:eastAsia="华文仿宋"/>
          <w:bCs/>
          <w:sz w:val="30"/>
          <w:szCs w:val="30"/>
        </w:rPr>
        <w:t>信用卡刷卡比例，相应</w:t>
      </w:r>
      <w:r>
        <w:rPr>
          <w:rFonts w:hint="eastAsia" w:ascii="华文仿宋" w:hAnsi="华文仿宋" w:eastAsia="华文仿宋"/>
          <w:bCs/>
          <w:sz w:val="30"/>
          <w:szCs w:val="30"/>
          <w:lang w:eastAsia="zh-CN"/>
        </w:rPr>
        <w:t>减少</w:t>
      </w:r>
      <w:r>
        <w:rPr>
          <w:rFonts w:hint="eastAsia" w:ascii="华文仿宋" w:hAnsi="华文仿宋" w:eastAsia="华文仿宋"/>
          <w:bCs/>
          <w:sz w:val="30"/>
          <w:szCs w:val="30"/>
        </w:rPr>
        <w:t>现金支付率。</w:t>
      </w:r>
    </w:p>
    <w:p>
      <w:pPr>
        <w:pStyle w:val="13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default" w:ascii="Times New Roman" w:hAnsi="Times New Roman" w:eastAsia="仿宋_GB2312" w:cs="Times New Roman"/>
          <w:sz w:val="32"/>
          <w:szCs w:val="32"/>
        </w:rPr>
      </w:pPr>
      <w:r>
        <w:rPr>
          <w:rFonts w:hint="default" w:ascii="Times New Roman" w:hAnsi="Times New Roman" w:eastAsia="仿宋_GB2312" w:cs="Times New Roman"/>
          <w:sz w:val="32"/>
          <w:szCs w:val="32"/>
        </w:rPr>
        <w:t>可以从预算和预算绩效管理，部门履职效能，资金分配、使用和管理，资产和财务管理、政府采购等方面归纳存在的问</w:t>
      </w:r>
      <w:r>
        <w:rPr>
          <w:rFonts w:hint="default" w:ascii="Times New Roman" w:hAnsi="Times New Roman" w:eastAsia="仿宋_GB2312" w:cs="Times New Roman"/>
          <w:spacing w:val="11"/>
          <w:sz w:val="32"/>
          <w:szCs w:val="32"/>
        </w:rPr>
        <w:t>题；反映各种</w:t>
      </w:r>
      <w:r>
        <w:rPr>
          <w:rFonts w:hint="default" w:ascii="Times New Roman" w:hAnsi="Times New Roman" w:eastAsia="仿宋_GB2312" w:cs="Times New Roman"/>
          <w:color w:val="000000"/>
          <w:spacing w:val="11"/>
          <w:sz w:val="32"/>
          <w:szCs w:val="32"/>
        </w:rPr>
        <w:t>预算支出执行偏离绩效目标的情况，</w:t>
      </w:r>
      <w:r>
        <w:rPr>
          <w:rFonts w:hint="default" w:ascii="Times New Roman" w:hAnsi="Times New Roman" w:eastAsia="仿宋_GB2312" w:cs="Times New Roman"/>
          <w:spacing w:val="11"/>
          <w:sz w:val="32"/>
          <w:szCs w:val="32"/>
        </w:rPr>
        <w:t>并分析其原因</w:t>
      </w:r>
      <w:r>
        <w:rPr>
          <w:rFonts w:hint="default" w:ascii="Times New Roman" w:hAnsi="Times New Roman" w:eastAsia="仿宋_GB2312" w:cs="Times New Roman"/>
          <w:sz w:val="32"/>
          <w:szCs w:val="32"/>
        </w:rPr>
        <w:t>。</w:t>
      </w:r>
    </w:p>
    <w:p>
      <w:pPr>
        <w:pStyle w:val="2"/>
        <w:rPr>
          <w:rFonts w:hint="default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default" w:ascii="Times New Roman" w:hAnsi="Times New Roman" w:eastAsia="仿宋_GB2312" w:cs="Times New Roman"/>
          <w:sz w:val="32"/>
          <w:szCs w:val="32"/>
        </w:rPr>
      </w:pPr>
      <w:r>
        <w:rPr>
          <w:rFonts w:hint="eastAsia" w:eastAsia="黑体" w:cs="Times New Roman"/>
          <w:sz w:val="32"/>
          <w:szCs w:val="32"/>
          <w:lang w:eastAsia="zh-CN"/>
        </w:rPr>
        <w:t>七</w:t>
      </w:r>
      <w:r>
        <w:rPr>
          <w:rFonts w:hint="default" w:ascii="Times New Roman" w:hAnsi="Times New Roman" w:eastAsia="黑体" w:cs="Times New Roman"/>
          <w:sz w:val="32"/>
          <w:szCs w:val="32"/>
        </w:rPr>
        <w:t>、其他需要说明的情况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jc w:val="both"/>
        <w:textAlignment w:val="auto"/>
        <w:rPr>
          <w:rFonts w:hint="default" w:ascii="Times New Roman" w:hAnsi="Times New Roman" w:eastAsia="仿宋_GB2312" w:cs="Times New Roman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0" w:firstLineChars="0"/>
        <w:jc w:val="left"/>
        <w:textAlignment w:val="auto"/>
        <w:outlineLvl w:val="0"/>
        <w:rPr>
          <w:rFonts w:hint="eastAsia" w:ascii="仿宋_GB2312" w:eastAsia="仿宋_GB2312"/>
          <w:sz w:val="32"/>
          <w:szCs w:val="32"/>
          <w:lang w:val="en-US" w:eastAsia="zh-CN"/>
        </w:rPr>
        <w:sectPr>
          <w:pgSz w:w="11906" w:h="16838"/>
          <w:pgMar w:top="1984" w:right="1701" w:bottom="1984" w:left="1701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0" w:num="1"/>
          <w:rtlGutter w:val="0"/>
          <w:docGrid w:type="lines" w:linePitch="312" w:charSpace="0"/>
        </w:sectPr>
      </w:pPr>
    </w:p>
    <w:p>
      <w:pPr>
        <w:pStyle w:val="4"/>
        <w:spacing w:before="97" w:line="222" w:lineRule="auto"/>
        <w:ind w:left="19"/>
        <w:rPr>
          <w:rFonts w:ascii="Arial"/>
          <w:sz w:val="21"/>
        </w:rPr>
      </w:pPr>
      <w:r>
        <w:rPr>
          <w:b/>
          <w:bCs/>
          <w:spacing w:val="27"/>
          <w:sz w:val="30"/>
          <w:szCs w:val="30"/>
        </w:rPr>
        <w:t>附件4</w:t>
      </w:r>
    </w:p>
    <w:p>
      <w:pPr>
        <w:spacing w:before="146" w:line="219" w:lineRule="auto"/>
        <w:ind w:left="841"/>
        <w:rPr>
          <w:rFonts w:ascii="宋体" w:hAnsi="宋体" w:eastAsia="宋体" w:cs="宋体"/>
          <w:sz w:val="45"/>
          <w:szCs w:val="45"/>
        </w:rPr>
      </w:pPr>
      <w:r>
        <w:rPr>
          <w:rFonts w:ascii="宋体" w:hAnsi="宋体" w:eastAsia="宋体" w:cs="宋体"/>
          <w:b/>
          <w:bCs/>
          <w:spacing w:val="1"/>
          <w:sz w:val="45"/>
          <w:szCs w:val="45"/>
        </w:rPr>
        <w:t>2023年度部门整体支出绩效自评表</w:t>
      </w:r>
    </w:p>
    <w:p>
      <w:pPr>
        <w:spacing w:line="78" w:lineRule="exact"/>
      </w:pPr>
    </w:p>
    <w:tbl>
      <w:tblPr>
        <w:tblStyle w:val="14"/>
        <w:tblW w:w="8540" w:type="dxa"/>
        <w:tblInd w:w="5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834"/>
        <w:gridCol w:w="999"/>
        <w:gridCol w:w="959"/>
        <w:gridCol w:w="1009"/>
        <w:gridCol w:w="1029"/>
        <w:gridCol w:w="959"/>
        <w:gridCol w:w="699"/>
        <w:gridCol w:w="719"/>
        <w:gridCol w:w="1333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84" w:hRule="atLeast"/>
        </w:trPr>
        <w:tc>
          <w:tcPr>
            <w:tcW w:w="2792" w:type="dxa"/>
            <w:gridSpan w:val="3"/>
            <w:vAlign w:val="top"/>
          </w:tcPr>
          <w:p>
            <w:pPr>
              <w:spacing w:line="270" w:lineRule="auto"/>
              <w:rPr>
                <w:rFonts w:ascii="Arial"/>
                <w:sz w:val="21"/>
              </w:rPr>
            </w:pPr>
          </w:p>
          <w:p>
            <w:pPr>
              <w:pStyle w:val="15"/>
              <w:spacing w:before="69" w:line="219" w:lineRule="auto"/>
              <w:ind w:left="238"/>
              <w:rPr>
                <w:sz w:val="21"/>
                <w:szCs w:val="21"/>
              </w:rPr>
            </w:pPr>
            <w:r>
              <w:rPr>
                <w:b/>
                <w:bCs/>
                <w:spacing w:val="-4"/>
                <w:sz w:val="21"/>
                <w:szCs w:val="21"/>
              </w:rPr>
              <w:t>省级预算部门、单位名称</w:t>
            </w:r>
          </w:p>
        </w:tc>
        <w:tc>
          <w:tcPr>
            <w:tcW w:w="5748" w:type="dxa"/>
            <w:gridSpan w:val="6"/>
            <w:vAlign w:val="top"/>
          </w:tcPr>
          <w:p>
            <w:pPr>
              <w:rPr>
                <w:rFonts w:hint="eastAsia" w:ascii="Arial" w:eastAsia="宋体"/>
                <w:sz w:val="21"/>
                <w:lang w:eastAsia="zh-CN"/>
              </w:rPr>
            </w:pPr>
            <w:r>
              <w:rPr>
                <w:rFonts w:hint="eastAsia" w:ascii="Arial"/>
                <w:sz w:val="21"/>
                <w:lang w:eastAsia="zh-CN"/>
              </w:rPr>
              <w:t>华容县供销合作社联社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9" w:hRule="atLeast"/>
        </w:trPr>
        <w:tc>
          <w:tcPr>
            <w:tcW w:w="834" w:type="dxa"/>
            <w:vMerge w:val="restart"/>
            <w:tcBorders>
              <w:bottom w:val="nil"/>
            </w:tcBorders>
            <w:vAlign w:val="top"/>
          </w:tcPr>
          <w:p>
            <w:pPr>
              <w:spacing w:line="256" w:lineRule="auto"/>
              <w:rPr>
                <w:rFonts w:ascii="Arial"/>
                <w:sz w:val="21"/>
              </w:rPr>
            </w:pPr>
          </w:p>
          <w:p>
            <w:pPr>
              <w:spacing w:line="256" w:lineRule="auto"/>
              <w:rPr>
                <w:rFonts w:ascii="Arial"/>
                <w:sz w:val="21"/>
              </w:rPr>
            </w:pPr>
          </w:p>
          <w:p>
            <w:pPr>
              <w:spacing w:line="256" w:lineRule="auto"/>
              <w:rPr>
                <w:rFonts w:ascii="Arial"/>
                <w:sz w:val="21"/>
              </w:rPr>
            </w:pPr>
          </w:p>
          <w:p>
            <w:pPr>
              <w:spacing w:line="257" w:lineRule="auto"/>
              <w:rPr>
                <w:rFonts w:ascii="Arial"/>
                <w:sz w:val="21"/>
              </w:rPr>
            </w:pPr>
          </w:p>
          <w:p>
            <w:pPr>
              <w:spacing w:line="257" w:lineRule="auto"/>
              <w:rPr>
                <w:rFonts w:ascii="Arial"/>
                <w:sz w:val="21"/>
              </w:rPr>
            </w:pPr>
          </w:p>
          <w:p>
            <w:pPr>
              <w:spacing w:line="257" w:lineRule="auto"/>
              <w:rPr>
                <w:rFonts w:ascii="Arial"/>
                <w:sz w:val="21"/>
              </w:rPr>
            </w:pPr>
          </w:p>
          <w:p>
            <w:pPr>
              <w:pStyle w:val="15"/>
              <w:spacing w:before="68" w:line="220" w:lineRule="auto"/>
              <w:ind w:left="97" w:right="56"/>
              <w:jc w:val="both"/>
              <w:rPr>
                <w:sz w:val="21"/>
                <w:szCs w:val="21"/>
              </w:rPr>
            </w:pPr>
            <w:r>
              <w:rPr>
                <w:b/>
                <w:bCs/>
                <w:spacing w:val="-6"/>
                <w:sz w:val="21"/>
                <w:szCs w:val="21"/>
              </w:rPr>
              <w:t>年度预</w:t>
            </w:r>
            <w:r>
              <w:rPr>
                <w:spacing w:val="1"/>
                <w:sz w:val="21"/>
                <w:szCs w:val="21"/>
              </w:rPr>
              <w:t xml:space="preserve"> </w:t>
            </w:r>
            <w:r>
              <w:rPr>
                <w:b/>
                <w:bCs/>
                <w:spacing w:val="-6"/>
                <w:sz w:val="21"/>
                <w:szCs w:val="21"/>
              </w:rPr>
              <w:t>算申请</w:t>
            </w:r>
            <w:r>
              <w:rPr>
                <w:sz w:val="21"/>
                <w:szCs w:val="21"/>
              </w:rPr>
              <w:t xml:space="preserve"> </w:t>
            </w:r>
            <w:r>
              <w:rPr>
                <w:b/>
                <w:bCs/>
                <w:spacing w:val="7"/>
                <w:sz w:val="21"/>
                <w:szCs w:val="21"/>
              </w:rPr>
              <w:t>(万元)</w:t>
            </w:r>
          </w:p>
        </w:tc>
        <w:tc>
          <w:tcPr>
            <w:tcW w:w="1958" w:type="dxa"/>
            <w:gridSpan w:val="2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009" w:type="dxa"/>
            <w:vAlign w:val="top"/>
          </w:tcPr>
          <w:p>
            <w:pPr>
              <w:pStyle w:val="15"/>
              <w:spacing w:before="179" w:line="217" w:lineRule="auto"/>
              <w:ind w:left="282"/>
              <w:rPr>
                <w:sz w:val="21"/>
                <w:szCs w:val="21"/>
              </w:rPr>
            </w:pPr>
            <w:r>
              <w:rPr>
                <w:spacing w:val="5"/>
                <w:sz w:val="21"/>
                <w:szCs w:val="21"/>
              </w:rPr>
              <w:t>年初</w:t>
            </w:r>
          </w:p>
          <w:p>
            <w:pPr>
              <w:pStyle w:val="15"/>
              <w:spacing w:line="219" w:lineRule="auto"/>
              <w:ind w:left="186"/>
              <w:rPr>
                <w:sz w:val="21"/>
                <w:szCs w:val="21"/>
              </w:rPr>
            </w:pPr>
            <w:r>
              <w:rPr>
                <w:b/>
                <w:bCs/>
                <w:spacing w:val="-5"/>
                <w:sz w:val="21"/>
                <w:szCs w:val="21"/>
              </w:rPr>
              <w:t>预算数</w:t>
            </w:r>
          </w:p>
        </w:tc>
        <w:tc>
          <w:tcPr>
            <w:tcW w:w="1029" w:type="dxa"/>
            <w:vAlign w:val="top"/>
          </w:tcPr>
          <w:p>
            <w:pPr>
              <w:pStyle w:val="15"/>
              <w:spacing w:before="169" w:line="219" w:lineRule="auto"/>
              <w:ind w:left="294"/>
              <w:rPr>
                <w:sz w:val="21"/>
                <w:szCs w:val="21"/>
              </w:rPr>
            </w:pPr>
            <w:r>
              <w:rPr>
                <w:spacing w:val="-3"/>
                <w:sz w:val="21"/>
                <w:szCs w:val="21"/>
              </w:rPr>
              <w:t>全年</w:t>
            </w:r>
          </w:p>
          <w:p>
            <w:pPr>
              <w:pStyle w:val="15"/>
              <w:spacing w:before="18" w:line="219" w:lineRule="auto"/>
              <w:ind w:left="196"/>
              <w:rPr>
                <w:sz w:val="21"/>
                <w:szCs w:val="21"/>
              </w:rPr>
            </w:pPr>
            <w:r>
              <w:rPr>
                <w:b/>
                <w:bCs/>
                <w:spacing w:val="-5"/>
                <w:sz w:val="21"/>
                <w:szCs w:val="21"/>
              </w:rPr>
              <w:t>预算数</w:t>
            </w:r>
          </w:p>
        </w:tc>
        <w:tc>
          <w:tcPr>
            <w:tcW w:w="959" w:type="dxa"/>
            <w:vAlign w:val="top"/>
          </w:tcPr>
          <w:p>
            <w:pPr>
              <w:pStyle w:val="15"/>
              <w:spacing w:before="179" w:line="219" w:lineRule="auto"/>
              <w:ind w:left="264"/>
              <w:rPr>
                <w:sz w:val="21"/>
                <w:szCs w:val="21"/>
              </w:rPr>
            </w:pPr>
            <w:r>
              <w:rPr>
                <w:spacing w:val="-3"/>
                <w:sz w:val="21"/>
                <w:szCs w:val="21"/>
              </w:rPr>
              <w:t>全年</w:t>
            </w:r>
          </w:p>
          <w:p>
            <w:pPr>
              <w:pStyle w:val="15"/>
              <w:spacing w:before="17" w:line="219" w:lineRule="auto"/>
              <w:ind w:left="158"/>
              <w:rPr>
                <w:sz w:val="21"/>
                <w:szCs w:val="21"/>
              </w:rPr>
            </w:pPr>
            <w:r>
              <w:rPr>
                <w:b/>
                <w:bCs/>
                <w:spacing w:val="-5"/>
                <w:sz w:val="21"/>
                <w:szCs w:val="21"/>
              </w:rPr>
              <w:t>执行数</w:t>
            </w:r>
          </w:p>
        </w:tc>
        <w:tc>
          <w:tcPr>
            <w:tcW w:w="699" w:type="dxa"/>
            <w:vAlign w:val="top"/>
          </w:tcPr>
          <w:p>
            <w:pPr>
              <w:pStyle w:val="15"/>
              <w:spacing w:before="296" w:line="219" w:lineRule="auto"/>
              <w:ind w:left="139"/>
              <w:rPr>
                <w:sz w:val="21"/>
                <w:szCs w:val="21"/>
              </w:rPr>
            </w:pPr>
            <w:r>
              <w:rPr>
                <w:b/>
                <w:bCs/>
                <w:spacing w:val="-5"/>
                <w:sz w:val="21"/>
                <w:szCs w:val="21"/>
              </w:rPr>
              <w:t>分值</w:t>
            </w:r>
          </w:p>
        </w:tc>
        <w:tc>
          <w:tcPr>
            <w:tcW w:w="719" w:type="dxa"/>
            <w:vAlign w:val="top"/>
          </w:tcPr>
          <w:p>
            <w:pPr>
              <w:pStyle w:val="15"/>
              <w:spacing w:before="299" w:line="219" w:lineRule="auto"/>
              <w:ind w:left="37"/>
              <w:rPr>
                <w:sz w:val="21"/>
                <w:szCs w:val="21"/>
              </w:rPr>
            </w:pPr>
            <w:r>
              <w:rPr>
                <w:spacing w:val="-2"/>
                <w:sz w:val="21"/>
                <w:szCs w:val="21"/>
              </w:rPr>
              <w:t>执行率</w:t>
            </w:r>
          </w:p>
        </w:tc>
        <w:tc>
          <w:tcPr>
            <w:tcW w:w="1333" w:type="dxa"/>
            <w:vAlign w:val="top"/>
          </w:tcPr>
          <w:p>
            <w:pPr>
              <w:pStyle w:val="15"/>
              <w:spacing w:before="296" w:line="219" w:lineRule="auto"/>
              <w:ind w:left="240"/>
              <w:rPr>
                <w:sz w:val="21"/>
                <w:szCs w:val="21"/>
              </w:rPr>
            </w:pPr>
            <w:r>
              <w:rPr>
                <w:b/>
                <w:bCs/>
                <w:spacing w:val="-2"/>
                <w:sz w:val="21"/>
                <w:szCs w:val="21"/>
              </w:rPr>
              <w:t>自评得分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09" w:hRule="atLeast"/>
        </w:trPr>
        <w:tc>
          <w:tcPr>
            <w:tcW w:w="834" w:type="dxa"/>
            <w:vMerge w:val="continue"/>
            <w:tcBorders>
              <w:top w:val="nil"/>
              <w:bottom w:val="nil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958" w:type="dxa"/>
            <w:gridSpan w:val="2"/>
            <w:vAlign w:val="top"/>
          </w:tcPr>
          <w:p>
            <w:pPr>
              <w:pStyle w:val="15"/>
              <w:spacing w:before="147" w:line="219" w:lineRule="auto"/>
              <w:ind w:left="354"/>
              <w:rPr>
                <w:sz w:val="21"/>
                <w:szCs w:val="21"/>
              </w:rPr>
            </w:pPr>
            <w:r>
              <w:rPr>
                <w:b/>
                <w:bCs/>
                <w:spacing w:val="-4"/>
                <w:sz w:val="21"/>
                <w:szCs w:val="21"/>
              </w:rPr>
              <w:t>年度资金总额</w:t>
            </w:r>
          </w:p>
        </w:tc>
        <w:tc>
          <w:tcPr>
            <w:tcW w:w="1009" w:type="dxa"/>
            <w:vAlign w:val="top"/>
          </w:tcPr>
          <w:p>
            <w:pPr>
              <w:rPr>
                <w:rFonts w:hint="default" w:ascii="Arial" w:eastAsia="宋体"/>
                <w:sz w:val="21"/>
                <w:lang w:val="en-US" w:eastAsia="zh-CN"/>
              </w:rPr>
            </w:pPr>
            <w:r>
              <w:rPr>
                <w:rFonts w:hint="eastAsia" w:ascii="Arial"/>
                <w:sz w:val="21"/>
                <w:lang w:val="en-US" w:eastAsia="zh-CN"/>
              </w:rPr>
              <w:t>498</w:t>
            </w:r>
          </w:p>
        </w:tc>
        <w:tc>
          <w:tcPr>
            <w:tcW w:w="1029" w:type="dxa"/>
            <w:vAlign w:val="top"/>
          </w:tcPr>
          <w:p>
            <w:pPr>
              <w:rPr>
                <w:rFonts w:hint="default" w:ascii="Arial" w:eastAsia="宋体"/>
                <w:sz w:val="21"/>
                <w:lang w:val="en-US" w:eastAsia="zh-CN"/>
              </w:rPr>
            </w:pPr>
            <w:r>
              <w:rPr>
                <w:rFonts w:hint="eastAsia" w:ascii="Arial"/>
                <w:sz w:val="21"/>
                <w:lang w:val="en-US" w:eastAsia="zh-CN"/>
              </w:rPr>
              <w:t>497.25</w:t>
            </w:r>
          </w:p>
        </w:tc>
        <w:tc>
          <w:tcPr>
            <w:tcW w:w="959" w:type="dxa"/>
            <w:vAlign w:val="top"/>
          </w:tcPr>
          <w:p>
            <w:pPr>
              <w:rPr>
                <w:rFonts w:hint="default" w:ascii="Arial" w:eastAsia="宋体"/>
                <w:sz w:val="21"/>
                <w:lang w:val="en-US" w:eastAsia="zh-CN"/>
              </w:rPr>
            </w:pPr>
            <w:r>
              <w:rPr>
                <w:rFonts w:hint="eastAsia" w:ascii="Arial"/>
                <w:sz w:val="21"/>
                <w:lang w:val="en-US" w:eastAsia="zh-CN"/>
              </w:rPr>
              <w:t>497.25</w:t>
            </w:r>
          </w:p>
        </w:tc>
        <w:tc>
          <w:tcPr>
            <w:tcW w:w="699" w:type="dxa"/>
            <w:vAlign w:val="top"/>
          </w:tcPr>
          <w:p>
            <w:pPr>
              <w:pStyle w:val="15"/>
              <w:spacing w:before="203" w:line="184" w:lineRule="auto"/>
              <w:ind w:left="235"/>
              <w:rPr>
                <w:sz w:val="21"/>
                <w:szCs w:val="21"/>
              </w:rPr>
            </w:pPr>
            <w:r>
              <w:rPr>
                <w:spacing w:val="-6"/>
                <w:sz w:val="21"/>
                <w:szCs w:val="21"/>
              </w:rPr>
              <w:t>10</w:t>
            </w:r>
          </w:p>
        </w:tc>
        <w:tc>
          <w:tcPr>
            <w:tcW w:w="71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333" w:type="dxa"/>
            <w:vAlign w:val="top"/>
          </w:tcPr>
          <w:p>
            <w:pPr>
              <w:rPr>
                <w:rFonts w:hint="default" w:ascii="Arial" w:eastAsia="宋体"/>
                <w:sz w:val="21"/>
                <w:lang w:val="en-US" w:eastAsia="zh-CN"/>
              </w:rPr>
            </w:pPr>
            <w:r>
              <w:rPr>
                <w:rFonts w:hint="eastAsia" w:ascii="Arial"/>
                <w:sz w:val="21"/>
                <w:lang w:val="en-US" w:eastAsia="zh-CN"/>
              </w:rPr>
              <w:t>10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</w:trPr>
        <w:tc>
          <w:tcPr>
            <w:tcW w:w="834" w:type="dxa"/>
            <w:vMerge w:val="continue"/>
            <w:tcBorders>
              <w:top w:val="nil"/>
              <w:bottom w:val="nil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3996" w:type="dxa"/>
            <w:gridSpan w:val="4"/>
            <w:vAlign w:val="top"/>
          </w:tcPr>
          <w:p>
            <w:pPr>
              <w:pStyle w:val="15"/>
              <w:spacing w:before="151" w:line="219" w:lineRule="auto"/>
              <w:ind w:left="60"/>
              <w:rPr>
                <w:rFonts w:hint="default" w:eastAsia="宋体"/>
                <w:sz w:val="21"/>
                <w:szCs w:val="21"/>
                <w:lang w:val="en-US" w:eastAsia="zh-CN"/>
              </w:rPr>
            </w:pPr>
            <w:r>
              <w:rPr>
                <w:spacing w:val="-1"/>
                <w:sz w:val="21"/>
                <w:szCs w:val="21"/>
              </w:rPr>
              <w:t>按收入性质分：</w:t>
            </w:r>
            <w:r>
              <w:rPr>
                <w:rFonts w:hint="eastAsia" w:eastAsia="宋体"/>
                <w:spacing w:val="-1"/>
                <w:sz w:val="21"/>
                <w:szCs w:val="21"/>
                <w:lang w:val="en-US" w:eastAsia="zh-CN"/>
              </w:rPr>
              <w:t>497.25</w:t>
            </w:r>
          </w:p>
        </w:tc>
        <w:tc>
          <w:tcPr>
            <w:tcW w:w="3710" w:type="dxa"/>
            <w:gridSpan w:val="4"/>
            <w:vAlign w:val="top"/>
          </w:tcPr>
          <w:p>
            <w:pPr>
              <w:pStyle w:val="15"/>
              <w:spacing w:before="151" w:line="219" w:lineRule="auto"/>
              <w:ind w:left="244"/>
              <w:rPr>
                <w:sz w:val="21"/>
                <w:szCs w:val="21"/>
              </w:rPr>
            </w:pPr>
            <w:r>
              <w:rPr>
                <w:spacing w:val="-1"/>
                <w:sz w:val="21"/>
                <w:szCs w:val="21"/>
              </w:rPr>
              <w:t>按支出性质分：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</w:trPr>
        <w:tc>
          <w:tcPr>
            <w:tcW w:w="834" w:type="dxa"/>
            <w:vMerge w:val="continue"/>
            <w:tcBorders>
              <w:top w:val="nil"/>
              <w:bottom w:val="nil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3996" w:type="dxa"/>
            <w:gridSpan w:val="4"/>
            <w:vAlign w:val="top"/>
          </w:tcPr>
          <w:p>
            <w:pPr>
              <w:pStyle w:val="15"/>
              <w:spacing w:before="151" w:line="219" w:lineRule="auto"/>
              <w:ind w:left="220"/>
              <w:rPr>
                <w:rFonts w:hint="default" w:eastAsia="宋体"/>
                <w:sz w:val="21"/>
                <w:szCs w:val="21"/>
                <w:lang w:val="en-US" w:eastAsia="zh-CN"/>
              </w:rPr>
            </w:pPr>
            <w:r>
              <w:rPr>
                <w:spacing w:val="-13"/>
                <w:sz w:val="21"/>
                <w:szCs w:val="21"/>
              </w:rPr>
              <w:t>其中：</w:t>
            </w:r>
            <w:r>
              <w:rPr>
                <w:spacing w:val="21"/>
                <w:sz w:val="21"/>
                <w:szCs w:val="21"/>
              </w:rPr>
              <w:t xml:space="preserve"> </w:t>
            </w:r>
            <w:r>
              <w:rPr>
                <w:spacing w:val="-13"/>
                <w:sz w:val="21"/>
                <w:szCs w:val="21"/>
              </w:rPr>
              <w:t>一般公共预算：</w:t>
            </w:r>
            <w:r>
              <w:rPr>
                <w:rFonts w:hint="eastAsia" w:eastAsia="宋体"/>
                <w:spacing w:val="-13"/>
                <w:sz w:val="21"/>
                <w:szCs w:val="21"/>
                <w:lang w:val="en-US" w:eastAsia="zh-CN"/>
              </w:rPr>
              <w:t>377.25</w:t>
            </w:r>
          </w:p>
        </w:tc>
        <w:tc>
          <w:tcPr>
            <w:tcW w:w="3710" w:type="dxa"/>
            <w:gridSpan w:val="4"/>
            <w:vAlign w:val="top"/>
          </w:tcPr>
          <w:p>
            <w:pPr>
              <w:pStyle w:val="15"/>
              <w:spacing w:before="150" w:line="219" w:lineRule="auto"/>
              <w:ind w:left="244"/>
              <w:rPr>
                <w:rFonts w:hint="default" w:eastAsia="宋体"/>
                <w:sz w:val="21"/>
                <w:szCs w:val="21"/>
                <w:lang w:val="en-US" w:eastAsia="zh-CN"/>
              </w:rPr>
            </w:pPr>
            <w:r>
              <w:rPr>
                <w:spacing w:val="-1"/>
                <w:sz w:val="21"/>
                <w:szCs w:val="21"/>
              </w:rPr>
              <w:t>其中：基本支出：</w:t>
            </w:r>
            <w:r>
              <w:rPr>
                <w:rFonts w:hint="eastAsia" w:eastAsia="宋体"/>
                <w:spacing w:val="-1"/>
                <w:sz w:val="21"/>
                <w:szCs w:val="21"/>
                <w:lang w:val="en-US" w:eastAsia="zh-CN"/>
              </w:rPr>
              <w:t>377.25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</w:trPr>
        <w:tc>
          <w:tcPr>
            <w:tcW w:w="834" w:type="dxa"/>
            <w:vMerge w:val="continue"/>
            <w:tcBorders>
              <w:top w:val="nil"/>
              <w:bottom w:val="nil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3996" w:type="dxa"/>
            <w:gridSpan w:val="4"/>
            <w:vAlign w:val="top"/>
          </w:tcPr>
          <w:p>
            <w:pPr>
              <w:pStyle w:val="15"/>
              <w:spacing w:before="150" w:line="219" w:lineRule="auto"/>
              <w:ind w:left="871"/>
              <w:rPr>
                <w:sz w:val="21"/>
                <w:szCs w:val="21"/>
              </w:rPr>
            </w:pPr>
            <w:r>
              <w:rPr>
                <w:spacing w:val="-1"/>
                <w:sz w:val="21"/>
                <w:szCs w:val="21"/>
              </w:rPr>
              <w:t>政府性基金拨款：</w:t>
            </w:r>
          </w:p>
        </w:tc>
        <w:tc>
          <w:tcPr>
            <w:tcW w:w="3710" w:type="dxa"/>
            <w:gridSpan w:val="4"/>
            <w:vAlign w:val="top"/>
          </w:tcPr>
          <w:p>
            <w:pPr>
              <w:pStyle w:val="15"/>
              <w:spacing w:before="152" w:line="220" w:lineRule="auto"/>
              <w:ind w:left="844"/>
              <w:rPr>
                <w:rFonts w:hint="default" w:eastAsia="宋体"/>
                <w:sz w:val="21"/>
                <w:szCs w:val="21"/>
                <w:lang w:val="en-US" w:eastAsia="zh-CN"/>
              </w:rPr>
            </w:pPr>
            <w:r>
              <w:rPr>
                <w:spacing w:val="-1"/>
                <w:sz w:val="21"/>
                <w:szCs w:val="21"/>
              </w:rPr>
              <w:t>项目支出：</w:t>
            </w:r>
            <w:r>
              <w:rPr>
                <w:rFonts w:hint="eastAsia" w:eastAsia="宋体"/>
                <w:spacing w:val="-1"/>
                <w:sz w:val="21"/>
                <w:szCs w:val="21"/>
                <w:lang w:val="en-US" w:eastAsia="zh-CN"/>
              </w:rPr>
              <w:t>120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09" w:hRule="atLeast"/>
        </w:trPr>
        <w:tc>
          <w:tcPr>
            <w:tcW w:w="834" w:type="dxa"/>
            <w:vMerge w:val="continue"/>
            <w:tcBorders>
              <w:top w:val="nil"/>
              <w:bottom w:val="nil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3996" w:type="dxa"/>
            <w:gridSpan w:val="4"/>
            <w:vAlign w:val="top"/>
          </w:tcPr>
          <w:p>
            <w:pPr>
              <w:pStyle w:val="15"/>
              <w:spacing w:before="151" w:line="219" w:lineRule="auto"/>
              <w:ind w:left="830"/>
              <w:rPr>
                <w:rFonts w:hint="default" w:eastAsia="宋体"/>
                <w:sz w:val="21"/>
                <w:szCs w:val="21"/>
                <w:lang w:val="en-US" w:eastAsia="zh-CN"/>
              </w:rPr>
            </w:pPr>
            <w:r>
              <w:rPr>
                <w:spacing w:val="-1"/>
                <w:sz w:val="21"/>
                <w:szCs w:val="21"/>
              </w:rPr>
              <w:t>纳入专户管理的非税收入拨款</w:t>
            </w:r>
            <w:r>
              <w:rPr>
                <w:rFonts w:hint="eastAsia" w:eastAsia="宋体"/>
                <w:spacing w:val="-1"/>
                <w:sz w:val="21"/>
                <w:szCs w:val="21"/>
                <w:lang w:eastAsia="zh-CN"/>
              </w:rPr>
              <w:t>：</w:t>
            </w:r>
            <w:r>
              <w:rPr>
                <w:rFonts w:hint="eastAsia" w:eastAsia="宋体"/>
                <w:spacing w:val="-1"/>
                <w:sz w:val="21"/>
                <w:szCs w:val="21"/>
                <w:lang w:val="en-US" w:eastAsia="zh-CN"/>
              </w:rPr>
              <w:t>120</w:t>
            </w:r>
          </w:p>
        </w:tc>
        <w:tc>
          <w:tcPr>
            <w:tcW w:w="3710" w:type="dxa"/>
            <w:gridSpan w:val="4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</w:trPr>
        <w:tc>
          <w:tcPr>
            <w:tcW w:w="834" w:type="dxa"/>
            <w:vMerge w:val="continue"/>
            <w:tcBorders>
              <w:top w:val="nil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3996" w:type="dxa"/>
            <w:gridSpan w:val="4"/>
            <w:vAlign w:val="top"/>
          </w:tcPr>
          <w:p>
            <w:pPr>
              <w:pStyle w:val="15"/>
              <w:spacing w:before="153" w:line="220" w:lineRule="auto"/>
              <w:ind w:left="871"/>
              <w:rPr>
                <w:sz w:val="21"/>
                <w:szCs w:val="21"/>
              </w:rPr>
            </w:pPr>
            <w:r>
              <w:rPr>
                <w:spacing w:val="-2"/>
                <w:sz w:val="21"/>
                <w:szCs w:val="21"/>
              </w:rPr>
              <w:t>其他资金</w:t>
            </w:r>
          </w:p>
        </w:tc>
        <w:tc>
          <w:tcPr>
            <w:tcW w:w="3710" w:type="dxa"/>
            <w:gridSpan w:val="4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9" w:hRule="atLeast"/>
        </w:trPr>
        <w:tc>
          <w:tcPr>
            <w:tcW w:w="834" w:type="dxa"/>
            <w:vMerge w:val="restart"/>
            <w:tcBorders>
              <w:bottom w:val="nil"/>
            </w:tcBorders>
            <w:vAlign w:val="top"/>
          </w:tcPr>
          <w:p>
            <w:pPr>
              <w:pStyle w:val="15"/>
              <w:spacing w:before="299" w:line="216" w:lineRule="auto"/>
              <w:ind w:left="97" w:right="83"/>
              <w:rPr>
                <w:sz w:val="21"/>
                <w:szCs w:val="21"/>
              </w:rPr>
            </w:pPr>
            <w:r>
              <w:rPr>
                <w:b/>
                <w:bCs/>
                <w:spacing w:val="1"/>
                <w:sz w:val="21"/>
                <w:szCs w:val="21"/>
              </w:rPr>
              <w:t>年度总</w:t>
            </w:r>
            <w:r>
              <w:rPr>
                <w:spacing w:val="1"/>
                <w:sz w:val="21"/>
                <w:szCs w:val="21"/>
              </w:rPr>
              <w:t xml:space="preserve"> </w:t>
            </w:r>
            <w:r>
              <w:rPr>
                <w:b/>
                <w:bCs/>
                <w:spacing w:val="-5"/>
                <w:sz w:val="21"/>
                <w:szCs w:val="21"/>
              </w:rPr>
              <w:t>体目标</w:t>
            </w:r>
          </w:p>
        </w:tc>
        <w:tc>
          <w:tcPr>
            <w:tcW w:w="3996" w:type="dxa"/>
            <w:gridSpan w:val="4"/>
            <w:vAlign w:val="top"/>
          </w:tcPr>
          <w:p>
            <w:pPr>
              <w:pStyle w:val="15"/>
              <w:spacing w:before="160" w:line="220" w:lineRule="auto"/>
              <w:ind w:left="1583"/>
              <w:rPr>
                <w:sz w:val="21"/>
                <w:szCs w:val="21"/>
              </w:rPr>
            </w:pPr>
            <w:r>
              <w:rPr>
                <w:b/>
                <w:bCs/>
                <w:spacing w:val="-5"/>
                <w:sz w:val="21"/>
                <w:szCs w:val="21"/>
              </w:rPr>
              <w:t>预期目标</w:t>
            </w:r>
          </w:p>
        </w:tc>
        <w:tc>
          <w:tcPr>
            <w:tcW w:w="3710" w:type="dxa"/>
            <w:gridSpan w:val="4"/>
            <w:vAlign w:val="top"/>
          </w:tcPr>
          <w:p>
            <w:pPr>
              <w:pStyle w:val="15"/>
              <w:spacing w:before="159" w:line="219" w:lineRule="auto"/>
              <w:ind w:left="1217"/>
              <w:rPr>
                <w:sz w:val="21"/>
                <w:szCs w:val="21"/>
              </w:rPr>
            </w:pPr>
            <w:r>
              <w:rPr>
                <w:b/>
                <w:bCs/>
                <w:spacing w:val="-5"/>
                <w:sz w:val="21"/>
                <w:szCs w:val="21"/>
              </w:rPr>
              <w:t>实际完成情况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00" w:hRule="atLeast"/>
        </w:trPr>
        <w:tc>
          <w:tcPr>
            <w:tcW w:w="834" w:type="dxa"/>
            <w:vMerge w:val="continue"/>
            <w:tcBorders>
              <w:top w:val="nil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3996" w:type="dxa"/>
            <w:gridSpan w:val="4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3710" w:type="dxa"/>
            <w:gridSpan w:val="4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59" w:hRule="atLeast"/>
        </w:trPr>
        <w:tc>
          <w:tcPr>
            <w:tcW w:w="834" w:type="dxa"/>
            <w:vMerge w:val="restart"/>
            <w:tcBorders>
              <w:bottom w:val="nil"/>
            </w:tcBorders>
            <w:textDirection w:val="tbRlV"/>
            <w:vAlign w:val="top"/>
          </w:tcPr>
          <w:p>
            <w:pPr>
              <w:pStyle w:val="15"/>
              <w:spacing w:before="308" w:line="217" w:lineRule="auto"/>
              <w:ind w:left="2084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绩效指标</w:t>
            </w:r>
          </w:p>
        </w:tc>
        <w:tc>
          <w:tcPr>
            <w:tcW w:w="999" w:type="dxa"/>
            <w:vAlign w:val="top"/>
          </w:tcPr>
          <w:p>
            <w:pPr>
              <w:pStyle w:val="15"/>
              <w:spacing w:before="213" w:line="218" w:lineRule="auto"/>
              <w:ind w:left="284"/>
              <w:rPr>
                <w:sz w:val="21"/>
                <w:szCs w:val="21"/>
              </w:rPr>
            </w:pPr>
            <w:r>
              <w:rPr>
                <w:b/>
                <w:bCs/>
                <w:spacing w:val="-8"/>
                <w:sz w:val="21"/>
                <w:szCs w:val="21"/>
              </w:rPr>
              <w:t>一级</w:t>
            </w:r>
          </w:p>
          <w:p>
            <w:pPr>
              <w:pStyle w:val="15"/>
              <w:spacing w:line="220" w:lineRule="auto"/>
              <w:ind w:left="284"/>
              <w:rPr>
                <w:sz w:val="21"/>
                <w:szCs w:val="21"/>
              </w:rPr>
            </w:pPr>
            <w:r>
              <w:rPr>
                <w:b/>
                <w:bCs/>
                <w:spacing w:val="-5"/>
                <w:sz w:val="21"/>
                <w:szCs w:val="21"/>
              </w:rPr>
              <w:t>指标</w:t>
            </w:r>
          </w:p>
        </w:tc>
        <w:tc>
          <w:tcPr>
            <w:tcW w:w="959" w:type="dxa"/>
            <w:vAlign w:val="top"/>
          </w:tcPr>
          <w:p>
            <w:pPr>
              <w:pStyle w:val="15"/>
              <w:spacing w:before="212" w:line="210" w:lineRule="auto"/>
              <w:ind w:left="264"/>
              <w:rPr>
                <w:sz w:val="21"/>
                <w:szCs w:val="21"/>
              </w:rPr>
            </w:pPr>
            <w:r>
              <w:rPr>
                <w:b/>
                <w:bCs/>
                <w:spacing w:val="-6"/>
                <w:sz w:val="21"/>
                <w:szCs w:val="21"/>
              </w:rPr>
              <w:t>二级</w:t>
            </w:r>
          </w:p>
          <w:p>
            <w:pPr>
              <w:pStyle w:val="15"/>
              <w:spacing w:line="220" w:lineRule="auto"/>
              <w:ind w:left="264"/>
              <w:rPr>
                <w:sz w:val="21"/>
                <w:szCs w:val="21"/>
              </w:rPr>
            </w:pPr>
            <w:r>
              <w:rPr>
                <w:b/>
                <w:bCs/>
                <w:spacing w:val="-5"/>
                <w:sz w:val="21"/>
                <w:szCs w:val="21"/>
              </w:rPr>
              <w:t>指标</w:t>
            </w:r>
          </w:p>
        </w:tc>
        <w:tc>
          <w:tcPr>
            <w:tcW w:w="1009" w:type="dxa"/>
            <w:vAlign w:val="top"/>
          </w:tcPr>
          <w:p>
            <w:pPr>
              <w:pStyle w:val="15"/>
              <w:spacing w:before="213" w:line="227" w:lineRule="auto"/>
              <w:ind w:left="285"/>
              <w:rPr>
                <w:sz w:val="21"/>
                <w:szCs w:val="21"/>
              </w:rPr>
            </w:pPr>
            <w:r>
              <w:rPr>
                <w:b/>
                <w:bCs/>
                <w:spacing w:val="-5"/>
                <w:sz w:val="21"/>
                <w:szCs w:val="21"/>
              </w:rPr>
              <w:t>三级</w:t>
            </w:r>
          </w:p>
          <w:p>
            <w:pPr>
              <w:pStyle w:val="15"/>
              <w:spacing w:line="220" w:lineRule="auto"/>
              <w:ind w:left="285"/>
              <w:rPr>
                <w:sz w:val="21"/>
                <w:szCs w:val="21"/>
              </w:rPr>
            </w:pPr>
            <w:r>
              <w:rPr>
                <w:b/>
                <w:bCs/>
                <w:spacing w:val="-5"/>
                <w:sz w:val="21"/>
                <w:szCs w:val="21"/>
              </w:rPr>
              <w:t>指标</w:t>
            </w:r>
          </w:p>
        </w:tc>
        <w:tc>
          <w:tcPr>
            <w:tcW w:w="1029" w:type="dxa"/>
            <w:vAlign w:val="top"/>
          </w:tcPr>
          <w:p>
            <w:pPr>
              <w:pStyle w:val="15"/>
              <w:spacing w:before="210" w:line="224" w:lineRule="auto"/>
              <w:ind w:left="196" w:right="202" w:firstLine="100"/>
              <w:rPr>
                <w:sz w:val="21"/>
                <w:szCs w:val="21"/>
              </w:rPr>
            </w:pPr>
            <w:r>
              <w:rPr>
                <w:b/>
                <w:bCs/>
                <w:spacing w:val="-7"/>
                <w:sz w:val="21"/>
                <w:szCs w:val="21"/>
              </w:rPr>
              <w:t>年度</w:t>
            </w:r>
            <w:r>
              <w:rPr>
                <w:sz w:val="21"/>
                <w:szCs w:val="21"/>
              </w:rPr>
              <w:t xml:space="preserve">  </w:t>
            </w:r>
            <w:r>
              <w:rPr>
                <w:b/>
                <w:bCs/>
                <w:spacing w:val="-6"/>
                <w:sz w:val="21"/>
                <w:szCs w:val="21"/>
              </w:rPr>
              <w:t>指标值</w:t>
            </w:r>
          </w:p>
        </w:tc>
        <w:tc>
          <w:tcPr>
            <w:tcW w:w="959" w:type="dxa"/>
            <w:vAlign w:val="top"/>
          </w:tcPr>
          <w:p>
            <w:pPr>
              <w:pStyle w:val="15"/>
              <w:spacing w:before="220" w:line="215" w:lineRule="auto"/>
              <w:ind w:left="158" w:right="170" w:firstLine="109"/>
              <w:rPr>
                <w:sz w:val="21"/>
                <w:szCs w:val="21"/>
              </w:rPr>
            </w:pPr>
            <w:r>
              <w:rPr>
                <w:b/>
                <w:bCs/>
                <w:spacing w:val="-9"/>
                <w:sz w:val="21"/>
                <w:szCs w:val="21"/>
              </w:rPr>
              <w:t>实际</w:t>
            </w:r>
            <w:r>
              <w:rPr>
                <w:sz w:val="21"/>
                <w:szCs w:val="21"/>
              </w:rPr>
              <w:t xml:space="preserve">  </w:t>
            </w:r>
            <w:r>
              <w:rPr>
                <w:b/>
                <w:bCs/>
                <w:spacing w:val="-6"/>
                <w:sz w:val="21"/>
                <w:szCs w:val="21"/>
              </w:rPr>
              <w:t>完成值</w:t>
            </w:r>
          </w:p>
        </w:tc>
        <w:tc>
          <w:tcPr>
            <w:tcW w:w="699" w:type="dxa"/>
            <w:vAlign w:val="top"/>
          </w:tcPr>
          <w:p>
            <w:pPr>
              <w:spacing w:line="260" w:lineRule="auto"/>
              <w:rPr>
                <w:rFonts w:ascii="Arial"/>
                <w:sz w:val="21"/>
              </w:rPr>
            </w:pPr>
          </w:p>
          <w:p>
            <w:pPr>
              <w:pStyle w:val="15"/>
              <w:spacing w:before="69" w:line="219" w:lineRule="auto"/>
              <w:ind w:left="139"/>
              <w:rPr>
                <w:sz w:val="21"/>
                <w:szCs w:val="21"/>
              </w:rPr>
            </w:pPr>
            <w:r>
              <w:rPr>
                <w:b/>
                <w:bCs/>
                <w:spacing w:val="-5"/>
                <w:sz w:val="21"/>
                <w:szCs w:val="21"/>
              </w:rPr>
              <w:t>分值</w:t>
            </w:r>
          </w:p>
        </w:tc>
        <w:tc>
          <w:tcPr>
            <w:tcW w:w="719" w:type="dxa"/>
            <w:vAlign w:val="top"/>
          </w:tcPr>
          <w:p>
            <w:pPr>
              <w:pStyle w:val="15"/>
              <w:spacing w:before="210" w:line="215" w:lineRule="auto"/>
              <w:ind w:left="149" w:right="136"/>
              <w:rPr>
                <w:sz w:val="21"/>
                <w:szCs w:val="21"/>
              </w:rPr>
            </w:pPr>
            <w:r>
              <w:rPr>
                <w:b/>
                <w:bCs/>
                <w:spacing w:val="-2"/>
                <w:sz w:val="21"/>
                <w:szCs w:val="21"/>
              </w:rPr>
              <w:t>自评</w:t>
            </w:r>
            <w:r>
              <w:rPr>
                <w:sz w:val="21"/>
                <w:szCs w:val="21"/>
              </w:rPr>
              <w:t xml:space="preserve"> </w:t>
            </w:r>
            <w:r>
              <w:rPr>
                <w:b/>
                <w:bCs/>
                <w:spacing w:val="-5"/>
                <w:sz w:val="21"/>
                <w:szCs w:val="21"/>
              </w:rPr>
              <w:t>得分</w:t>
            </w:r>
          </w:p>
        </w:tc>
        <w:tc>
          <w:tcPr>
            <w:tcW w:w="1333" w:type="dxa"/>
            <w:vAlign w:val="top"/>
          </w:tcPr>
          <w:p>
            <w:pPr>
              <w:pStyle w:val="15"/>
              <w:spacing w:before="190" w:line="219" w:lineRule="auto"/>
              <w:ind w:left="30"/>
              <w:rPr>
                <w:sz w:val="21"/>
                <w:szCs w:val="21"/>
              </w:rPr>
            </w:pPr>
            <w:r>
              <w:rPr>
                <w:b/>
                <w:bCs/>
                <w:spacing w:val="-4"/>
                <w:sz w:val="21"/>
                <w:szCs w:val="21"/>
              </w:rPr>
              <w:t>偏差原因分析</w:t>
            </w:r>
          </w:p>
          <w:p>
            <w:pPr>
              <w:pStyle w:val="15"/>
              <w:spacing w:before="21" w:line="219" w:lineRule="auto"/>
              <w:ind w:left="141"/>
              <w:rPr>
                <w:sz w:val="21"/>
                <w:szCs w:val="21"/>
              </w:rPr>
            </w:pPr>
            <w:r>
              <w:rPr>
                <w:b/>
                <w:bCs/>
                <w:spacing w:val="-4"/>
                <w:sz w:val="21"/>
                <w:szCs w:val="21"/>
              </w:rPr>
              <w:t>及改进措施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9" w:hRule="atLeast"/>
        </w:trPr>
        <w:tc>
          <w:tcPr>
            <w:tcW w:w="834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99" w:type="dxa"/>
            <w:vMerge w:val="restart"/>
            <w:tcBorders>
              <w:bottom w:val="nil"/>
            </w:tcBorders>
            <w:textDirection w:val="tbRlV"/>
            <w:vAlign w:val="top"/>
          </w:tcPr>
          <w:p>
            <w:pPr>
              <w:spacing w:line="318" w:lineRule="auto"/>
              <w:rPr>
                <w:rFonts w:ascii="Arial"/>
                <w:sz w:val="21"/>
              </w:rPr>
            </w:pPr>
            <w: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rightMargin">
                        <wp:posOffset>-532130</wp:posOffset>
                      </wp:positionH>
                      <wp:positionV relativeFrom="topMargin">
                        <wp:posOffset>1590675</wp:posOffset>
                      </wp:positionV>
                      <wp:extent cx="454660" cy="184785"/>
                      <wp:effectExtent l="0" t="0" r="0" b="0"/>
                      <wp:wrapNone/>
                      <wp:docPr id="3" name="文本框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54660" cy="184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pStyle w:val="15"/>
                                    <w:spacing w:before="20" w:line="220" w:lineRule="auto"/>
                                    <w:ind w:left="20"/>
                                    <w:rPr>
                                      <w:sz w:val="21"/>
                                      <w:szCs w:val="21"/>
                                    </w:rPr>
                                  </w:pPr>
                                  <w:r>
                                    <w:rPr>
                                      <w:spacing w:val="9"/>
                                      <w:sz w:val="21"/>
                                      <w:szCs w:val="21"/>
                                    </w:rPr>
                                    <w:t>(30分)</w:t>
                                  </w:r>
                                </w:p>
                              </w:txbxContent>
                            </wps:txbx>
                            <wps:bodyPr lIns="0" tIns="0" rIns="0" bIns="0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7.8pt;margin-top:125.75pt;height:14.55pt;width:35.8pt;mso-position-horizontal-relative:page;mso-position-vertical-relative:page;z-index:251659264;mso-width-relative:page;mso-height-relative:page;" filled="f" stroked="f" coordsize="21600,21600" o:gfxdata="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">
                      <v:fill on="f" focussize="0,0"/>
                      <v:stroke on="f"/>
                      <v:imagedata o:title=""/>
                      <o:lock v:ext="edit" aspectratio="f"/>
                      <v:textbox inset="0mm,0mm,0mm,0mm">
                        <w:txbxContent>
                          <w:p>
                            <w:pPr>
                              <w:pStyle w:val="15"/>
                              <w:spacing w:before="20" w:line="220" w:lineRule="auto"/>
                              <w:ind w:left="20"/>
                              <w:rPr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spacing w:val="9"/>
                                <w:sz w:val="21"/>
                                <w:szCs w:val="21"/>
                              </w:rPr>
                              <w:t>(30分)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>
            <w:pPr>
              <w:pStyle w:val="15"/>
              <w:spacing w:before="70" w:line="216" w:lineRule="auto"/>
              <w:ind w:left="1445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产</w:t>
            </w:r>
            <w:r>
              <w:rPr>
                <w:spacing w:val="-41"/>
                <w:sz w:val="21"/>
                <w:szCs w:val="21"/>
              </w:rPr>
              <w:t xml:space="preserve"> </w:t>
            </w:r>
            <w:r>
              <w:rPr>
                <w:sz w:val="21"/>
                <w:szCs w:val="21"/>
              </w:rPr>
              <w:t>出</w:t>
            </w:r>
            <w:r>
              <w:rPr>
                <w:spacing w:val="-41"/>
                <w:sz w:val="21"/>
                <w:szCs w:val="21"/>
              </w:rPr>
              <w:t xml:space="preserve"> </w:t>
            </w:r>
            <w:r>
              <w:rPr>
                <w:sz w:val="21"/>
                <w:szCs w:val="21"/>
              </w:rPr>
              <w:t>指</w:t>
            </w:r>
            <w:r>
              <w:rPr>
                <w:spacing w:val="-40"/>
                <w:sz w:val="21"/>
                <w:szCs w:val="21"/>
              </w:rPr>
              <w:t xml:space="preserve"> </w:t>
            </w:r>
            <w:r>
              <w:rPr>
                <w:sz w:val="21"/>
                <w:szCs w:val="21"/>
              </w:rPr>
              <w:t>标</w:t>
            </w:r>
          </w:p>
        </w:tc>
        <w:tc>
          <w:tcPr>
            <w:tcW w:w="959" w:type="dxa"/>
            <w:vMerge w:val="restart"/>
            <w:tcBorders>
              <w:bottom w:val="nil"/>
            </w:tcBorders>
            <w:vAlign w:val="top"/>
          </w:tcPr>
          <w:p>
            <w:pPr>
              <w:spacing w:line="414" w:lineRule="auto"/>
              <w:rPr>
                <w:rFonts w:ascii="Arial"/>
                <w:sz w:val="21"/>
              </w:rPr>
            </w:pPr>
          </w:p>
          <w:p>
            <w:pPr>
              <w:pStyle w:val="15"/>
              <w:spacing w:before="68" w:line="229" w:lineRule="auto"/>
              <w:ind w:left="261"/>
              <w:rPr>
                <w:sz w:val="21"/>
                <w:szCs w:val="21"/>
              </w:rPr>
            </w:pPr>
            <w:r>
              <w:rPr>
                <w:spacing w:val="-3"/>
                <w:sz w:val="21"/>
                <w:szCs w:val="21"/>
              </w:rPr>
              <w:t>数量</w:t>
            </w:r>
          </w:p>
          <w:p>
            <w:pPr>
              <w:pStyle w:val="15"/>
              <w:spacing w:line="220" w:lineRule="auto"/>
              <w:ind w:left="261"/>
              <w:rPr>
                <w:sz w:val="21"/>
                <w:szCs w:val="21"/>
              </w:rPr>
            </w:pPr>
            <w:r>
              <w:rPr>
                <w:spacing w:val="-3"/>
                <w:sz w:val="21"/>
                <w:szCs w:val="21"/>
              </w:rPr>
              <w:t>指标</w:t>
            </w:r>
          </w:p>
        </w:tc>
        <w:tc>
          <w:tcPr>
            <w:tcW w:w="1009" w:type="dxa"/>
            <w:vAlign w:val="top"/>
          </w:tcPr>
          <w:p>
            <w:pPr>
              <w:rPr>
                <w:rFonts w:hint="default" w:ascii="Arial" w:eastAsia="宋体"/>
                <w:sz w:val="21"/>
                <w:lang w:val="en-US" w:eastAsia="zh-CN"/>
              </w:rPr>
            </w:pPr>
            <w:r>
              <w:rPr>
                <w:rFonts w:hint="eastAsia" w:ascii="Arial"/>
                <w:sz w:val="21"/>
                <w:lang w:eastAsia="zh-CN"/>
              </w:rPr>
              <w:t>完成化肥、种子储备任务</w:t>
            </w:r>
          </w:p>
        </w:tc>
        <w:tc>
          <w:tcPr>
            <w:tcW w:w="1029" w:type="dxa"/>
            <w:vAlign w:val="top"/>
          </w:tcPr>
          <w:p>
            <w:pPr>
              <w:rPr>
                <w:rFonts w:hint="default" w:ascii="Arial" w:eastAsia="宋体"/>
                <w:sz w:val="21"/>
                <w:lang w:val="en-US" w:eastAsia="zh-CN"/>
              </w:rPr>
            </w:pPr>
            <w:r>
              <w:rPr>
                <w:rFonts w:hint="eastAsia" w:ascii="Arial"/>
                <w:sz w:val="21"/>
                <w:lang w:val="en-US" w:eastAsia="zh-CN"/>
              </w:rPr>
              <w:t>12000吨</w:t>
            </w:r>
          </w:p>
        </w:tc>
        <w:tc>
          <w:tcPr>
            <w:tcW w:w="959" w:type="dxa"/>
            <w:vAlign w:val="top"/>
          </w:tcPr>
          <w:p>
            <w:pPr>
              <w:rPr>
                <w:rFonts w:hint="default" w:ascii="Arial" w:eastAsia="宋体"/>
                <w:sz w:val="21"/>
                <w:lang w:val="en-US" w:eastAsia="zh-CN"/>
              </w:rPr>
            </w:pPr>
            <w:r>
              <w:rPr>
                <w:rFonts w:hint="eastAsia" w:ascii="Arial"/>
                <w:sz w:val="21"/>
                <w:lang w:val="en-US" w:eastAsia="zh-CN"/>
              </w:rPr>
              <w:t>12100吨</w:t>
            </w:r>
          </w:p>
        </w:tc>
        <w:tc>
          <w:tcPr>
            <w:tcW w:w="699" w:type="dxa"/>
            <w:vAlign w:val="top"/>
          </w:tcPr>
          <w:p>
            <w:pPr>
              <w:rPr>
                <w:rFonts w:hint="default" w:ascii="Arial" w:eastAsia="宋体"/>
                <w:sz w:val="21"/>
                <w:lang w:val="en-US" w:eastAsia="zh-CN"/>
              </w:rPr>
            </w:pPr>
            <w:r>
              <w:rPr>
                <w:rFonts w:hint="eastAsia" w:ascii="Arial"/>
                <w:sz w:val="21"/>
                <w:lang w:val="en-US" w:eastAsia="zh-CN"/>
              </w:rPr>
              <w:t>10</w:t>
            </w:r>
          </w:p>
        </w:tc>
        <w:tc>
          <w:tcPr>
            <w:tcW w:w="719" w:type="dxa"/>
            <w:vAlign w:val="top"/>
          </w:tcPr>
          <w:p>
            <w:pPr>
              <w:rPr>
                <w:rFonts w:hint="default" w:ascii="Arial" w:eastAsia="宋体"/>
                <w:sz w:val="21"/>
                <w:lang w:val="en-US" w:eastAsia="zh-CN"/>
              </w:rPr>
            </w:pPr>
            <w:r>
              <w:rPr>
                <w:rFonts w:hint="eastAsia" w:ascii="Arial"/>
                <w:sz w:val="21"/>
                <w:lang w:val="en-US" w:eastAsia="zh-CN"/>
              </w:rPr>
              <w:t>10</w:t>
            </w:r>
          </w:p>
        </w:tc>
        <w:tc>
          <w:tcPr>
            <w:tcW w:w="1333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0" w:hRule="atLeast"/>
        </w:trPr>
        <w:tc>
          <w:tcPr>
            <w:tcW w:w="834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99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59" w:type="dxa"/>
            <w:vMerge w:val="continue"/>
            <w:tcBorders>
              <w:top w:val="nil"/>
              <w:bottom w:val="nil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00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02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5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69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71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333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0" w:hRule="atLeast"/>
        </w:trPr>
        <w:tc>
          <w:tcPr>
            <w:tcW w:w="834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99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59" w:type="dxa"/>
            <w:vMerge w:val="continue"/>
            <w:tcBorders>
              <w:top w:val="nil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009" w:type="dxa"/>
            <w:vAlign w:val="top"/>
          </w:tcPr>
          <w:p>
            <w:pPr>
              <w:pStyle w:val="15"/>
              <w:spacing w:before="205" w:line="94" w:lineRule="exact"/>
              <w:ind w:left="433"/>
              <w:rPr>
                <w:sz w:val="6"/>
                <w:szCs w:val="6"/>
              </w:rPr>
            </w:pPr>
            <w:r>
              <w:rPr>
                <w:spacing w:val="-2"/>
                <w:position w:val="1"/>
                <w:sz w:val="6"/>
                <w:szCs w:val="6"/>
              </w:rPr>
              <w:t>……</w:t>
            </w:r>
          </w:p>
        </w:tc>
        <w:tc>
          <w:tcPr>
            <w:tcW w:w="102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5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69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71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333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9" w:hRule="atLeast"/>
        </w:trPr>
        <w:tc>
          <w:tcPr>
            <w:tcW w:w="834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99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59" w:type="dxa"/>
            <w:vMerge w:val="restart"/>
            <w:tcBorders>
              <w:bottom w:val="nil"/>
            </w:tcBorders>
            <w:vAlign w:val="top"/>
          </w:tcPr>
          <w:p>
            <w:pPr>
              <w:spacing w:line="415" w:lineRule="auto"/>
              <w:rPr>
                <w:rFonts w:ascii="Arial"/>
                <w:sz w:val="21"/>
              </w:rPr>
            </w:pPr>
          </w:p>
          <w:p>
            <w:pPr>
              <w:pStyle w:val="15"/>
              <w:spacing w:before="69" w:line="237" w:lineRule="auto"/>
              <w:ind w:left="261"/>
              <w:rPr>
                <w:sz w:val="21"/>
                <w:szCs w:val="21"/>
              </w:rPr>
            </w:pPr>
            <w:r>
              <w:rPr>
                <w:spacing w:val="-3"/>
                <w:sz w:val="21"/>
                <w:szCs w:val="21"/>
              </w:rPr>
              <w:t>质量</w:t>
            </w:r>
          </w:p>
          <w:p>
            <w:pPr>
              <w:pStyle w:val="15"/>
              <w:spacing w:line="220" w:lineRule="auto"/>
              <w:ind w:left="261"/>
              <w:rPr>
                <w:sz w:val="21"/>
                <w:szCs w:val="21"/>
              </w:rPr>
            </w:pPr>
            <w:r>
              <w:rPr>
                <w:spacing w:val="-3"/>
                <w:sz w:val="21"/>
                <w:szCs w:val="21"/>
              </w:rPr>
              <w:t>指标</w:t>
            </w:r>
          </w:p>
        </w:tc>
        <w:tc>
          <w:tcPr>
            <w:tcW w:w="1009" w:type="dxa"/>
            <w:vAlign w:val="top"/>
          </w:tcPr>
          <w:p>
            <w:pPr>
              <w:rPr>
                <w:rFonts w:hint="eastAsia" w:ascii="Arial" w:eastAsia="宋体"/>
                <w:sz w:val="21"/>
                <w:lang w:eastAsia="zh-CN"/>
              </w:rPr>
            </w:pPr>
            <w:r>
              <w:rPr>
                <w:rFonts w:hint="eastAsia" w:ascii="Arial"/>
                <w:sz w:val="21"/>
                <w:lang w:eastAsia="zh-CN"/>
              </w:rPr>
              <w:t>储备物资合格率</w:t>
            </w:r>
          </w:p>
        </w:tc>
        <w:tc>
          <w:tcPr>
            <w:tcW w:w="1029" w:type="dxa"/>
            <w:vAlign w:val="top"/>
          </w:tcPr>
          <w:p>
            <w:pPr>
              <w:rPr>
                <w:rFonts w:hint="default" w:ascii="Arial" w:eastAsia="宋体"/>
                <w:sz w:val="21"/>
                <w:lang w:val="en-US" w:eastAsia="zh-CN"/>
              </w:rPr>
            </w:pPr>
            <w:r>
              <w:rPr>
                <w:rFonts w:hint="eastAsia" w:ascii="Arial"/>
                <w:sz w:val="21"/>
                <w:lang w:val="en-US" w:eastAsia="zh-CN"/>
              </w:rPr>
              <w:t>1</w:t>
            </w:r>
          </w:p>
        </w:tc>
        <w:tc>
          <w:tcPr>
            <w:tcW w:w="959" w:type="dxa"/>
            <w:vAlign w:val="top"/>
          </w:tcPr>
          <w:p>
            <w:pPr>
              <w:rPr>
                <w:rFonts w:hint="default" w:ascii="Arial" w:eastAsia="宋体"/>
                <w:sz w:val="21"/>
                <w:lang w:val="en-US" w:eastAsia="zh-CN"/>
              </w:rPr>
            </w:pPr>
            <w:r>
              <w:rPr>
                <w:rFonts w:hint="eastAsia" w:ascii="Arial"/>
                <w:sz w:val="21"/>
                <w:lang w:val="en-US" w:eastAsia="zh-CN"/>
              </w:rPr>
              <w:t>98%</w:t>
            </w:r>
          </w:p>
        </w:tc>
        <w:tc>
          <w:tcPr>
            <w:tcW w:w="699" w:type="dxa"/>
            <w:vAlign w:val="top"/>
          </w:tcPr>
          <w:p>
            <w:pPr>
              <w:rPr>
                <w:rFonts w:hint="default" w:ascii="Arial" w:eastAsia="宋体"/>
                <w:sz w:val="21"/>
                <w:lang w:val="en-US" w:eastAsia="zh-CN"/>
              </w:rPr>
            </w:pPr>
            <w:r>
              <w:rPr>
                <w:rFonts w:hint="eastAsia" w:ascii="Arial"/>
                <w:sz w:val="21"/>
                <w:lang w:val="en-US" w:eastAsia="zh-CN"/>
              </w:rPr>
              <w:t>10</w:t>
            </w:r>
          </w:p>
        </w:tc>
        <w:tc>
          <w:tcPr>
            <w:tcW w:w="719" w:type="dxa"/>
            <w:vAlign w:val="top"/>
          </w:tcPr>
          <w:p>
            <w:pPr>
              <w:rPr>
                <w:rFonts w:hint="eastAsia" w:ascii="Arial" w:eastAsia="宋体"/>
                <w:sz w:val="21"/>
                <w:lang w:val="en-US" w:eastAsia="zh-CN"/>
              </w:rPr>
            </w:pPr>
            <w:r>
              <w:rPr>
                <w:rFonts w:hint="eastAsia" w:ascii="Arial"/>
                <w:sz w:val="21"/>
                <w:lang w:val="en-US" w:eastAsia="zh-CN"/>
              </w:rPr>
              <w:t>9</w:t>
            </w:r>
          </w:p>
        </w:tc>
        <w:tc>
          <w:tcPr>
            <w:tcW w:w="1333" w:type="dxa"/>
            <w:vAlign w:val="top"/>
          </w:tcPr>
          <w:p>
            <w:pPr>
              <w:rPr>
                <w:rFonts w:hint="default" w:ascii="Arial" w:eastAsia="宋体"/>
                <w:sz w:val="21"/>
                <w:lang w:val="en-US" w:eastAsia="zh-CN"/>
              </w:rPr>
            </w:pPr>
            <w:r>
              <w:rPr>
                <w:rFonts w:hint="eastAsia" w:ascii="Arial"/>
                <w:sz w:val="21"/>
                <w:lang w:val="en-US" w:eastAsia="zh-CN"/>
              </w:rPr>
              <w:t>2%为正常范围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0" w:hRule="atLeast"/>
        </w:trPr>
        <w:tc>
          <w:tcPr>
            <w:tcW w:w="834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99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59" w:type="dxa"/>
            <w:vMerge w:val="continue"/>
            <w:tcBorders>
              <w:top w:val="nil"/>
              <w:bottom w:val="nil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00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02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5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69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71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333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0" w:hRule="atLeast"/>
        </w:trPr>
        <w:tc>
          <w:tcPr>
            <w:tcW w:w="834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99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59" w:type="dxa"/>
            <w:vMerge w:val="continue"/>
            <w:tcBorders>
              <w:top w:val="nil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009" w:type="dxa"/>
            <w:vAlign w:val="top"/>
          </w:tcPr>
          <w:p>
            <w:pPr>
              <w:pStyle w:val="15"/>
              <w:spacing w:before="206" w:line="94" w:lineRule="exact"/>
              <w:ind w:left="433"/>
              <w:rPr>
                <w:sz w:val="6"/>
                <w:szCs w:val="6"/>
              </w:rPr>
            </w:pPr>
            <w:r>
              <w:rPr>
                <w:spacing w:val="-2"/>
                <w:position w:val="1"/>
                <w:sz w:val="6"/>
                <w:szCs w:val="6"/>
              </w:rPr>
              <w:t>……</w:t>
            </w:r>
          </w:p>
        </w:tc>
        <w:tc>
          <w:tcPr>
            <w:tcW w:w="102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5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69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71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333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9" w:hRule="atLeast"/>
        </w:trPr>
        <w:tc>
          <w:tcPr>
            <w:tcW w:w="834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99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59" w:type="dxa"/>
            <w:vMerge w:val="restart"/>
            <w:tcBorders>
              <w:bottom w:val="nil"/>
            </w:tcBorders>
            <w:vAlign w:val="top"/>
          </w:tcPr>
          <w:p>
            <w:pPr>
              <w:spacing w:line="376" w:lineRule="auto"/>
              <w:rPr>
                <w:rFonts w:ascii="Arial"/>
                <w:sz w:val="21"/>
              </w:rPr>
            </w:pPr>
          </w:p>
          <w:p>
            <w:pPr>
              <w:pStyle w:val="15"/>
              <w:spacing w:before="68" w:line="301" w:lineRule="exact"/>
              <w:ind w:left="261"/>
              <w:rPr>
                <w:sz w:val="21"/>
                <w:szCs w:val="21"/>
              </w:rPr>
            </w:pPr>
            <w:r>
              <w:rPr>
                <w:spacing w:val="4"/>
                <w:position w:val="6"/>
                <w:sz w:val="21"/>
                <w:szCs w:val="21"/>
              </w:rPr>
              <w:t>时效</w:t>
            </w:r>
          </w:p>
          <w:p>
            <w:pPr>
              <w:pStyle w:val="15"/>
              <w:spacing w:line="220" w:lineRule="auto"/>
              <w:ind w:left="261"/>
              <w:rPr>
                <w:sz w:val="21"/>
                <w:szCs w:val="21"/>
              </w:rPr>
            </w:pPr>
            <w:r>
              <w:rPr>
                <w:spacing w:val="-3"/>
                <w:sz w:val="21"/>
                <w:szCs w:val="21"/>
              </w:rPr>
              <w:t>指标</w:t>
            </w:r>
          </w:p>
        </w:tc>
        <w:tc>
          <w:tcPr>
            <w:tcW w:w="1009" w:type="dxa"/>
            <w:vAlign w:val="top"/>
          </w:tcPr>
          <w:p>
            <w:pPr>
              <w:rPr>
                <w:rFonts w:hint="eastAsia" w:ascii="Arial" w:eastAsia="宋体"/>
                <w:sz w:val="21"/>
                <w:lang w:eastAsia="zh-CN"/>
              </w:rPr>
            </w:pPr>
            <w:r>
              <w:rPr>
                <w:rFonts w:hint="eastAsia" w:ascii="Arial"/>
                <w:sz w:val="21"/>
                <w:lang w:eastAsia="zh-CN"/>
              </w:rPr>
              <w:t>资金下达时间</w:t>
            </w:r>
          </w:p>
        </w:tc>
        <w:tc>
          <w:tcPr>
            <w:tcW w:w="1029" w:type="dxa"/>
            <w:vAlign w:val="top"/>
          </w:tcPr>
          <w:p>
            <w:pPr>
              <w:rPr>
                <w:rFonts w:hint="default" w:ascii="Arial" w:eastAsia="宋体"/>
                <w:sz w:val="21"/>
                <w:lang w:val="en-US" w:eastAsia="zh-CN"/>
              </w:rPr>
            </w:pPr>
            <w:r>
              <w:rPr>
                <w:rFonts w:hint="eastAsia" w:ascii="Arial"/>
                <w:sz w:val="21"/>
                <w:lang w:val="en-US" w:eastAsia="zh-CN"/>
              </w:rPr>
              <w:t>2023年3月前</w:t>
            </w:r>
          </w:p>
        </w:tc>
        <w:tc>
          <w:tcPr>
            <w:tcW w:w="959" w:type="dxa"/>
            <w:vAlign w:val="top"/>
          </w:tcPr>
          <w:p>
            <w:pPr>
              <w:rPr>
                <w:rFonts w:hint="default" w:ascii="Arial" w:eastAsia="宋体"/>
                <w:sz w:val="21"/>
                <w:lang w:val="en-US" w:eastAsia="zh-CN"/>
              </w:rPr>
            </w:pPr>
            <w:r>
              <w:rPr>
                <w:rFonts w:hint="eastAsia" w:ascii="Arial"/>
                <w:sz w:val="21"/>
                <w:lang w:val="en-US" w:eastAsia="zh-CN"/>
              </w:rPr>
              <w:t>2023年2月</w:t>
            </w:r>
          </w:p>
        </w:tc>
        <w:tc>
          <w:tcPr>
            <w:tcW w:w="699" w:type="dxa"/>
            <w:vAlign w:val="top"/>
          </w:tcPr>
          <w:p>
            <w:pPr>
              <w:rPr>
                <w:rFonts w:hint="default" w:ascii="Arial" w:eastAsia="宋体"/>
                <w:sz w:val="21"/>
                <w:lang w:val="en-US" w:eastAsia="zh-CN"/>
              </w:rPr>
            </w:pPr>
            <w:r>
              <w:rPr>
                <w:rFonts w:hint="eastAsia" w:ascii="Arial"/>
                <w:sz w:val="21"/>
                <w:lang w:val="en-US" w:eastAsia="zh-CN"/>
              </w:rPr>
              <w:t>10</w:t>
            </w:r>
          </w:p>
        </w:tc>
        <w:tc>
          <w:tcPr>
            <w:tcW w:w="719" w:type="dxa"/>
            <w:vAlign w:val="top"/>
          </w:tcPr>
          <w:p>
            <w:pPr>
              <w:rPr>
                <w:rFonts w:hint="default" w:ascii="Arial" w:eastAsia="宋体"/>
                <w:sz w:val="21"/>
                <w:lang w:val="en-US" w:eastAsia="zh-CN"/>
              </w:rPr>
            </w:pPr>
            <w:r>
              <w:rPr>
                <w:rFonts w:hint="eastAsia" w:ascii="Arial"/>
                <w:sz w:val="21"/>
                <w:lang w:val="en-US" w:eastAsia="zh-CN"/>
              </w:rPr>
              <w:t>10</w:t>
            </w:r>
          </w:p>
        </w:tc>
        <w:tc>
          <w:tcPr>
            <w:tcW w:w="1333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0" w:hRule="atLeast"/>
        </w:trPr>
        <w:tc>
          <w:tcPr>
            <w:tcW w:w="834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99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59" w:type="dxa"/>
            <w:vMerge w:val="continue"/>
            <w:tcBorders>
              <w:top w:val="nil"/>
              <w:bottom w:val="nil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00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02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5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69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71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333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834" w:type="dxa"/>
            <w:vMerge w:val="continue"/>
            <w:tcBorders>
              <w:top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99" w:type="dxa"/>
            <w:vMerge w:val="continue"/>
            <w:tcBorders>
              <w:top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59" w:type="dxa"/>
            <w:vMerge w:val="continue"/>
            <w:tcBorders>
              <w:top w:val="nil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009" w:type="dxa"/>
            <w:vAlign w:val="top"/>
          </w:tcPr>
          <w:p>
            <w:pPr>
              <w:pStyle w:val="15"/>
              <w:spacing w:before="207" w:line="95" w:lineRule="exact"/>
              <w:ind w:left="433"/>
              <w:rPr>
                <w:sz w:val="6"/>
                <w:szCs w:val="6"/>
              </w:rPr>
            </w:pPr>
            <w:r>
              <w:rPr>
                <w:spacing w:val="-2"/>
                <w:position w:val="1"/>
                <w:sz w:val="6"/>
                <w:szCs w:val="6"/>
              </w:rPr>
              <w:t>……</w:t>
            </w:r>
          </w:p>
        </w:tc>
        <w:tc>
          <w:tcPr>
            <w:tcW w:w="102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5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69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71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333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</w:tbl>
    <w:p>
      <w:pPr>
        <w:spacing w:line="184" w:lineRule="auto"/>
        <w:rPr>
          <w:rFonts w:ascii="宋体" w:hAnsi="宋体" w:eastAsia="宋体" w:cs="宋体"/>
          <w:sz w:val="38"/>
          <w:szCs w:val="38"/>
        </w:rPr>
        <w:sectPr>
          <w:footerReference r:id="rId4" w:type="default"/>
          <w:pgSz w:w="11900" w:h="16830"/>
          <w:pgMar w:top="1430" w:right="1624" w:bottom="400" w:left="1725" w:header="0" w:footer="0" w:gutter="0"/>
          <w:pgNumType w:fmt="decimal"/>
          <w:cols w:space="720" w:num="1"/>
        </w:sectPr>
      </w:pPr>
    </w:p>
    <w:tbl>
      <w:tblPr>
        <w:tblStyle w:val="14"/>
        <w:tblpPr w:leftFromText="180" w:rightFromText="180" w:vertAnchor="text" w:horzAnchor="page" w:tblpX="1689" w:tblpY="-151"/>
        <w:tblOverlap w:val="never"/>
        <w:tblW w:w="8520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834"/>
        <w:gridCol w:w="989"/>
        <w:gridCol w:w="989"/>
        <w:gridCol w:w="989"/>
        <w:gridCol w:w="1029"/>
        <w:gridCol w:w="959"/>
        <w:gridCol w:w="699"/>
        <w:gridCol w:w="709"/>
        <w:gridCol w:w="1323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05" w:hRule="atLeast"/>
        </w:trPr>
        <w:tc>
          <w:tcPr>
            <w:tcW w:w="834" w:type="dxa"/>
            <w:vMerge w:val="restart"/>
            <w:tcBorders>
              <w:bottom w:val="nil"/>
            </w:tcBorders>
            <w:textDirection w:val="tbRlV"/>
            <w:vAlign w:val="top"/>
          </w:tcPr>
          <w:p>
            <w:pPr>
              <w:spacing w:line="270" w:lineRule="auto"/>
              <w:rPr>
                <w:rFonts w:ascii="Arial"/>
                <w:sz w:val="21"/>
              </w:rPr>
            </w:pPr>
          </w:p>
          <w:p>
            <w:pPr>
              <w:pStyle w:val="15"/>
              <w:spacing w:before="70" w:line="217" w:lineRule="auto"/>
              <w:ind w:left="4984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绩效指标</w:t>
            </w:r>
          </w:p>
        </w:tc>
        <w:tc>
          <w:tcPr>
            <w:tcW w:w="989" w:type="dxa"/>
            <w:vMerge w:val="restart"/>
            <w:tcBorders>
              <w:bottom w:val="nil"/>
            </w:tcBorders>
            <w:textDirection w:val="tbRlV"/>
            <w:vAlign w:val="top"/>
          </w:tcPr>
          <w:p>
            <w:pPr>
              <w:spacing w:line="307" w:lineRule="auto"/>
              <w:rPr>
                <w:rFonts w:ascii="Arial"/>
                <w:sz w:val="21"/>
              </w:rPr>
            </w:pPr>
            <w: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rightMargin">
                        <wp:posOffset>-525780</wp:posOffset>
                      </wp:positionH>
                      <wp:positionV relativeFrom="topMargin">
                        <wp:posOffset>2225040</wp:posOffset>
                      </wp:positionV>
                      <wp:extent cx="455295" cy="184785"/>
                      <wp:effectExtent l="0" t="0" r="0" b="0"/>
                      <wp:wrapNone/>
                      <wp:docPr id="1" name="文本框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55295" cy="184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pStyle w:val="15"/>
                                    <w:spacing w:before="20" w:line="220" w:lineRule="auto"/>
                                    <w:ind w:left="20"/>
                                    <w:rPr>
                                      <w:sz w:val="21"/>
                                      <w:szCs w:val="21"/>
                                    </w:rPr>
                                  </w:pPr>
                                  <w:r>
                                    <w:rPr>
                                      <w:spacing w:val="9"/>
                                      <w:sz w:val="21"/>
                                      <w:szCs w:val="21"/>
                                    </w:rPr>
                                    <w:t>(30分)</w:t>
                                  </w:r>
                                </w:p>
                              </w:txbxContent>
                            </wps:txbx>
                            <wps:bodyPr lIns="0" tIns="0" rIns="0" bIns="0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7.8pt;margin-top:175.7pt;height:14.55pt;width:35.85pt;mso-position-horizontal-relative:page;mso-position-vertical-relative:page;z-index:251661312;mso-width-relative:page;mso-height-relative:page;" filled="f" stroked="f" coordsize="21600,21600" o:gfxdata="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">
                      <v:fill on="f" focussize="0,0"/>
                      <v:stroke on="f"/>
                      <v:imagedata o:title=""/>
                      <o:lock v:ext="edit" aspectratio="f"/>
                      <v:textbox inset="0mm,0mm,0mm,0mm">
                        <w:txbxContent>
                          <w:p>
                            <w:pPr>
                              <w:pStyle w:val="15"/>
                              <w:spacing w:before="20" w:line="220" w:lineRule="auto"/>
                              <w:ind w:left="20"/>
                              <w:rPr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spacing w:val="9"/>
                                <w:sz w:val="21"/>
                                <w:szCs w:val="21"/>
                              </w:rPr>
                              <w:t>(30分)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>
            <w:pPr>
              <w:pStyle w:val="15"/>
              <w:spacing w:before="71" w:line="217" w:lineRule="auto"/>
              <w:ind w:left="2464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效益指标</w:t>
            </w:r>
          </w:p>
        </w:tc>
        <w:tc>
          <w:tcPr>
            <w:tcW w:w="989" w:type="dxa"/>
            <w:vMerge w:val="restart"/>
            <w:tcBorders>
              <w:bottom w:val="nil"/>
            </w:tcBorders>
            <w:vAlign w:val="top"/>
          </w:tcPr>
          <w:p>
            <w:pPr>
              <w:spacing w:line="353" w:lineRule="auto"/>
              <w:rPr>
                <w:rFonts w:ascii="Arial"/>
                <w:sz w:val="21"/>
              </w:rPr>
            </w:pPr>
          </w:p>
          <w:p>
            <w:pPr>
              <w:pStyle w:val="15"/>
              <w:spacing w:before="68" w:line="220" w:lineRule="auto"/>
              <w:ind w:left="271"/>
              <w:rPr>
                <w:sz w:val="21"/>
                <w:szCs w:val="21"/>
              </w:rPr>
            </w:pPr>
            <w:r>
              <w:rPr>
                <w:spacing w:val="-3"/>
                <w:sz w:val="21"/>
                <w:szCs w:val="21"/>
              </w:rPr>
              <w:t>经济</w:t>
            </w:r>
          </w:p>
          <w:p>
            <w:pPr>
              <w:pStyle w:val="15"/>
              <w:spacing w:line="220" w:lineRule="auto"/>
              <w:ind w:left="271"/>
              <w:rPr>
                <w:sz w:val="21"/>
                <w:szCs w:val="21"/>
              </w:rPr>
            </w:pPr>
            <w:r>
              <w:rPr>
                <w:spacing w:val="4"/>
                <w:sz w:val="21"/>
                <w:szCs w:val="21"/>
              </w:rPr>
              <w:t>效益</w:t>
            </w:r>
          </w:p>
          <w:p>
            <w:pPr>
              <w:pStyle w:val="15"/>
              <w:spacing w:before="9" w:line="220" w:lineRule="auto"/>
              <w:ind w:left="271"/>
              <w:rPr>
                <w:sz w:val="21"/>
                <w:szCs w:val="21"/>
              </w:rPr>
            </w:pPr>
            <w:r>
              <w:rPr>
                <w:spacing w:val="-3"/>
                <w:sz w:val="21"/>
                <w:szCs w:val="21"/>
              </w:rPr>
              <w:t>指标</w:t>
            </w:r>
          </w:p>
        </w:tc>
        <w:tc>
          <w:tcPr>
            <w:tcW w:w="989" w:type="dxa"/>
            <w:vAlign w:val="top"/>
          </w:tcPr>
          <w:p>
            <w:pPr>
              <w:rPr>
                <w:rFonts w:hint="eastAsia" w:ascii="Arial" w:eastAsia="宋体"/>
                <w:sz w:val="21"/>
                <w:lang w:eastAsia="zh-CN"/>
              </w:rPr>
            </w:pPr>
            <w:r>
              <w:rPr>
                <w:rFonts w:hint="eastAsia" w:ascii="Arial"/>
                <w:sz w:val="21"/>
                <w:lang w:eastAsia="zh-CN"/>
              </w:rPr>
              <w:t>系统利润</w:t>
            </w:r>
          </w:p>
        </w:tc>
        <w:tc>
          <w:tcPr>
            <w:tcW w:w="1029" w:type="dxa"/>
            <w:vAlign w:val="top"/>
          </w:tcPr>
          <w:p>
            <w:pPr>
              <w:rPr>
                <w:rFonts w:hint="default" w:ascii="Arial" w:eastAsia="宋体"/>
                <w:sz w:val="21"/>
                <w:lang w:val="en-US" w:eastAsia="zh-CN"/>
              </w:rPr>
            </w:pPr>
            <w:r>
              <w:rPr>
                <w:rFonts w:hint="eastAsia" w:ascii="Arial"/>
                <w:sz w:val="21"/>
                <w:lang w:val="en-US" w:eastAsia="zh-CN"/>
              </w:rPr>
              <w:t>大于100</w:t>
            </w:r>
          </w:p>
        </w:tc>
        <w:tc>
          <w:tcPr>
            <w:tcW w:w="959" w:type="dxa"/>
            <w:vAlign w:val="top"/>
          </w:tcPr>
          <w:p>
            <w:pPr>
              <w:rPr>
                <w:rFonts w:hint="default" w:ascii="Arial" w:eastAsia="宋体"/>
                <w:sz w:val="21"/>
                <w:lang w:val="en-US" w:eastAsia="zh-CN"/>
              </w:rPr>
            </w:pPr>
            <w:r>
              <w:rPr>
                <w:rFonts w:hint="eastAsia" w:ascii="Arial"/>
                <w:sz w:val="21"/>
                <w:lang w:val="en-US" w:eastAsia="zh-CN"/>
              </w:rPr>
              <w:t>108</w:t>
            </w:r>
          </w:p>
        </w:tc>
        <w:tc>
          <w:tcPr>
            <w:tcW w:w="699" w:type="dxa"/>
            <w:vAlign w:val="top"/>
          </w:tcPr>
          <w:p>
            <w:pPr>
              <w:rPr>
                <w:rFonts w:hint="default" w:ascii="Arial" w:eastAsia="宋体"/>
                <w:sz w:val="21"/>
                <w:lang w:val="en-US" w:eastAsia="zh-CN"/>
              </w:rPr>
            </w:pPr>
            <w:r>
              <w:rPr>
                <w:rFonts w:hint="eastAsia" w:ascii="Arial"/>
                <w:sz w:val="21"/>
                <w:lang w:val="en-US" w:eastAsia="zh-CN"/>
              </w:rPr>
              <w:t>15</w:t>
            </w:r>
          </w:p>
        </w:tc>
        <w:tc>
          <w:tcPr>
            <w:tcW w:w="709" w:type="dxa"/>
            <w:vAlign w:val="top"/>
          </w:tcPr>
          <w:p>
            <w:pPr>
              <w:rPr>
                <w:rFonts w:hint="default" w:ascii="Arial" w:eastAsia="宋体"/>
                <w:sz w:val="21"/>
                <w:lang w:val="en-US" w:eastAsia="zh-CN"/>
              </w:rPr>
            </w:pPr>
            <w:r>
              <w:rPr>
                <w:rFonts w:hint="eastAsia" w:ascii="Arial"/>
                <w:sz w:val="21"/>
                <w:lang w:val="en-US" w:eastAsia="zh-CN"/>
              </w:rPr>
              <w:t>15</w:t>
            </w:r>
          </w:p>
        </w:tc>
        <w:tc>
          <w:tcPr>
            <w:tcW w:w="1323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09" w:hRule="atLeast"/>
        </w:trPr>
        <w:tc>
          <w:tcPr>
            <w:tcW w:w="834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89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89" w:type="dxa"/>
            <w:vMerge w:val="continue"/>
            <w:tcBorders>
              <w:top w:val="nil"/>
              <w:bottom w:val="nil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8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02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5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69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70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323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</w:trPr>
        <w:tc>
          <w:tcPr>
            <w:tcW w:w="834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89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89" w:type="dxa"/>
            <w:vMerge w:val="continue"/>
            <w:tcBorders>
              <w:top w:val="nil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89" w:type="dxa"/>
            <w:vAlign w:val="top"/>
          </w:tcPr>
          <w:p>
            <w:pPr>
              <w:pStyle w:val="15"/>
              <w:spacing w:before="229" w:line="95" w:lineRule="exact"/>
              <w:ind w:left="453"/>
              <w:rPr>
                <w:sz w:val="6"/>
                <w:szCs w:val="6"/>
              </w:rPr>
            </w:pPr>
            <w:r>
              <w:rPr>
                <w:position w:val="1"/>
                <w:sz w:val="6"/>
                <w:szCs w:val="6"/>
              </w:rPr>
              <w:t>…</w:t>
            </w:r>
          </w:p>
        </w:tc>
        <w:tc>
          <w:tcPr>
            <w:tcW w:w="102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5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69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70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323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99" w:hRule="atLeast"/>
        </w:trPr>
        <w:tc>
          <w:tcPr>
            <w:tcW w:w="834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89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89" w:type="dxa"/>
            <w:vMerge w:val="restart"/>
            <w:tcBorders>
              <w:bottom w:val="nil"/>
            </w:tcBorders>
            <w:vAlign w:val="top"/>
          </w:tcPr>
          <w:p>
            <w:pPr>
              <w:spacing w:line="328" w:lineRule="auto"/>
              <w:rPr>
                <w:rFonts w:ascii="Arial"/>
                <w:sz w:val="21"/>
              </w:rPr>
            </w:pPr>
          </w:p>
          <w:p>
            <w:pPr>
              <w:pStyle w:val="15"/>
              <w:spacing w:before="68" w:line="282" w:lineRule="exact"/>
              <w:ind w:left="271"/>
              <w:rPr>
                <w:sz w:val="21"/>
                <w:szCs w:val="21"/>
              </w:rPr>
            </w:pPr>
            <w:r>
              <w:rPr>
                <w:spacing w:val="-3"/>
                <w:position w:val="4"/>
                <w:sz w:val="21"/>
                <w:szCs w:val="21"/>
              </w:rPr>
              <w:t>社会</w:t>
            </w:r>
          </w:p>
          <w:p>
            <w:pPr>
              <w:pStyle w:val="15"/>
              <w:spacing w:line="220" w:lineRule="auto"/>
              <w:ind w:left="271"/>
              <w:rPr>
                <w:sz w:val="21"/>
                <w:szCs w:val="21"/>
              </w:rPr>
            </w:pPr>
            <w:r>
              <w:rPr>
                <w:spacing w:val="4"/>
                <w:sz w:val="21"/>
                <w:szCs w:val="21"/>
              </w:rPr>
              <w:t>效益</w:t>
            </w:r>
          </w:p>
          <w:p>
            <w:pPr>
              <w:pStyle w:val="15"/>
              <w:spacing w:before="9" w:line="220" w:lineRule="auto"/>
              <w:ind w:left="271"/>
              <w:rPr>
                <w:sz w:val="21"/>
                <w:szCs w:val="21"/>
              </w:rPr>
            </w:pPr>
            <w:r>
              <w:rPr>
                <w:spacing w:val="-3"/>
                <w:sz w:val="21"/>
                <w:szCs w:val="21"/>
              </w:rPr>
              <w:t>指标</w:t>
            </w:r>
          </w:p>
        </w:tc>
        <w:tc>
          <w:tcPr>
            <w:tcW w:w="989" w:type="dxa"/>
            <w:vAlign w:val="top"/>
          </w:tcPr>
          <w:p>
            <w:pPr>
              <w:rPr>
                <w:rFonts w:hint="eastAsia" w:ascii="Arial" w:eastAsia="宋体"/>
                <w:sz w:val="21"/>
                <w:lang w:eastAsia="zh-CN"/>
              </w:rPr>
            </w:pPr>
            <w:r>
              <w:rPr>
                <w:rFonts w:hint="eastAsia" w:ascii="Arial"/>
                <w:sz w:val="21"/>
                <w:lang w:eastAsia="zh-CN"/>
              </w:rPr>
              <w:t>服务“三农”面积</w:t>
            </w:r>
          </w:p>
        </w:tc>
        <w:tc>
          <w:tcPr>
            <w:tcW w:w="1029" w:type="dxa"/>
            <w:vAlign w:val="top"/>
          </w:tcPr>
          <w:p>
            <w:pPr>
              <w:rPr>
                <w:rFonts w:hint="default" w:ascii="Arial" w:eastAsia="宋体"/>
                <w:sz w:val="21"/>
                <w:lang w:val="en-US" w:eastAsia="zh-CN"/>
              </w:rPr>
            </w:pPr>
            <w:r>
              <w:rPr>
                <w:rFonts w:hint="eastAsia" w:ascii="Arial"/>
                <w:sz w:val="21"/>
                <w:lang w:eastAsia="zh-CN"/>
              </w:rPr>
              <w:t>大于</w:t>
            </w:r>
            <w:r>
              <w:rPr>
                <w:rFonts w:hint="eastAsia" w:ascii="Arial"/>
                <w:sz w:val="21"/>
                <w:lang w:val="en-US" w:eastAsia="zh-CN"/>
              </w:rPr>
              <w:t>2万亩</w:t>
            </w:r>
          </w:p>
        </w:tc>
        <w:tc>
          <w:tcPr>
            <w:tcW w:w="959" w:type="dxa"/>
            <w:vAlign w:val="top"/>
          </w:tcPr>
          <w:p>
            <w:pPr>
              <w:rPr>
                <w:rFonts w:hint="default" w:ascii="Arial" w:eastAsia="宋体"/>
                <w:sz w:val="21"/>
                <w:lang w:val="en-US" w:eastAsia="zh-CN"/>
              </w:rPr>
            </w:pPr>
            <w:r>
              <w:rPr>
                <w:rFonts w:hint="eastAsia" w:ascii="Arial"/>
                <w:sz w:val="21"/>
                <w:lang w:val="en-US" w:eastAsia="zh-CN"/>
              </w:rPr>
              <w:t>2.3万亩</w:t>
            </w:r>
          </w:p>
        </w:tc>
        <w:tc>
          <w:tcPr>
            <w:tcW w:w="699" w:type="dxa"/>
            <w:vAlign w:val="top"/>
          </w:tcPr>
          <w:p>
            <w:pPr>
              <w:rPr>
                <w:rFonts w:hint="default" w:ascii="Arial" w:eastAsia="宋体"/>
                <w:sz w:val="21"/>
                <w:lang w:val="en-US" w:eastAsia="zh-CN"/>
              </w:rPr>
            </w:pPr>
            <w:r>
              <w:rPr>
                <w:rFonts w:hint="eastAsia" w:ascii="Arial"/>
                <w:sz w:val="21"/>
                <w:lang w:val="en-US" w:eastAsia="zh-CN"/>
              </w:rPr>
              <w:t>15</w:t>
            </w:r>
          </w:p>
        </w:tc>
        <w:tc>
          <w:tcPr>
            <w:tcW w:w="709" w:type="dxa"/>
            <w:vAlign w:val="top"/>
          </w:tcPr>
          <w:p>
            <w:pPr>
              <w:rPr>
                <w:rFonts w:hint="default" w:ascii="Arial" w:eastAsia="宋体"/>
                <w:sz w:val="21"/>
                <w:lang w:val="en-US" w:eastAsia="zh-CN"/>
              </w:rPr>
            </w:pPr>
            <w:r>
              <w:rPr>
                <w:rFonts w:hint="eastAsia" w:ascii="Arial"/>
                <w:sz w:val="21"/>
                <w:lang w:val="en-US" w:eastAsia="zh-CN"/>
              </w:rPr>
              <w:t>15</w:t>
            </w:r>
          </w:p>
        </w:tc>
        <w:tc>
          <w:tcPr>
            <w:tcW w:w="1323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</w:trPr>
        <w:tc>
          <w:tcPr>
            <w:tcW w:w="834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89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89" w:type="dxa"/>
            <w:vMerge w:val="continue"/>
            <w:tcBorders>
              <w:top w:val="nil"/>
              <w:bottom w:val="nil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8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02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5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69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70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323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99" w:hRule="atLeast"/>
        </w:trPr>
        <w:tc>
          <w:tcPr>
            <w:tcW w:w="834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89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89" w:type="dxa"/>
            <w:vMerge w:val="continue"/>
            <w:tcBorders>
              <w:top w:val="nil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89" w:type="dxa"/>
            <w:vAlign w:val="top"/>
          </w:tcPr>
          <w:p>
            <w:pPr>
              <w:pStyle w:val="15"/>
              <w:spacing w:before="220" w:line="95" w:lineRule="exact"/>
              <w:ind w:left="423"/>
              <w:rPr>
                <w:sz w:val="6"/>
                <w:szCs w:val="6"/>
              </w:rPr>
            </w:pPr>
            <w:r>
              <w:rPr>
                <w:spacing w:val="-2"/>
                <w:position w:val="1"/>
                <w:sz w:val="6"/>
                <w:szCs w:val="6"/>
              </w:rPr>
              <w:t>……</w:t>
            </w:r>
          </w:p>
        </w:tc>
        <w:tc>
          <w:tcPr>
            <w:tcW w:w="102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5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69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70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323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</w:trPr>
        <w:tc>
          <w:tcPr>
            <w:tcW w:w="834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89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89" w:type="dxa"/>
            <w:vMerge w:val="restart"/>
            <w:tcBorders>
              <w:bottom w:val="nil"/>
            </w:tcBorders>
            <w:vAlign w:val="top"/>
          </w:tcPr>
          <w:p>
            <w:pPr>
              <w:spacing w:line="366" w:lineRule="auto"/>
              <w:rPr>
                <w:rFonts w:ascii="Arial"/>
                <w:sz w:val="21"/>
              </w:rPr>
            </w:pPr>
          </w:p>
          <w:p>
            <w:pPr>
              <w:pStyle w:val="15"/>
              <w:spacing w:before="68" w:line="207" w:lineRule="auto"/>
              <w:ind w:left="271"/>
              <w:rPr>
                <w:sz w:val="21"/>
                <w:szCs w:val="21"/>
              </w:rPr>
            </w:pPr>
            <w:r>
              <w:rPr>
                <w:spacing w:val="5"/>
                <w:sz w:val="21"/>
                <w:szCs w:val="21"/>
              </w:rPr>
              <w:t>生态</w:t>
            </w:r>
          </w:p>
          <w:p>
            <w:pPr>
              <w:pStyle w:val="15"/>
              <w:spacing w:line="220" w:lineRule="auto"/>
              <w:ind w:left="271"/>
              <w:rPr>
                <w:sz w:val="21"/>
                <w:szCs w:val="21"/>
              </w:rPr>
            </w:pPr>
            <w:r>
              <w:rPr>
                <w:spacing w:val="4"/>
                <w:sz w:val="21"/>
                <w:szCs w:val="21"/>
              </w:rPr>
              <w:t>效益</w:t>
            </w:r>
          </w:p>
          <w:p>
            <w:pPr>
              <w:pStyle w:val="15"/>
              <w:spacing w:before="29" w:line="220" w:lineRule="auto"/>
              <w:ind w:left="271"/>
              <w:rPr>
                <w:sz w:val="21"/>
                <w:szCs w:val="21"/>
              </w:rPr>
            </w:pPr>
            <w:r>
              <w:rPr>
                <w:spacing w:val="-3"/>
                <w:sz w:val="21"/>
                <w:szCs w:val="21"/>
              </w:rPr>
              <w:t>指标</w:t>
            </w:r>
          </w:p>
        </w:tc>
        <w:tc>
          <w:tcPr>
            <w:tcW w:w="98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02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5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69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70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323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99" w:hRule="atLeast"/>
        </w:trPr>
        <w:tc>
          <w:tcPr>
            <w:tcW w:w="834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89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89" w:type="dxa"/>
            <w:vMerge w:val="continue"/>
            <w:tcBorders>
              <w:top w:val="nil"/>
              <w:bottom w:val="nil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8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02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5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69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70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323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</w:trPr>
        <w:tc>
          <w:tcPr>
            <w:tcW w:w="834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89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89" w:type="dxa"/>
            <w:vMerge w:val="continue"/>
            <w:tcBorders>
              <w:top w:val="nil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89" w:type="dxa"/>
            <w:vAlign w:val="top"/>
          </w:tcPr>
          <w:p>
            <w:pPr>
              <w:pStyle w:val="15"/>
              <w:spacing w:before="232" w:line="95" w:lineRule="exact"/>
              <w:ind w:left="423"/>
              <w:rPr>
                <w:sz w:val="6"/>
                <w:szCs w:val="6"/>
              </w:rPr>
            </w:pPr>
            <w:r>
              <w:rPr>
                <w:spacing w:val="-2"/>
                <w:position w:val="1"/>
                <w:sz w:val="6"/>
                <w:szCs w:val="6"/>
              </w:rPr>
              <w:t>……</w:t>
            </w:r>
          </w:p>
        </w:tc>
        <w:tc>
          <w:tcPr>
            <w:tcW w:w="102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5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69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70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323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</w:trPr>
        <w:tc>
          <w:tcPr>
            <w:tcW w:w="834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89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89" w:type="dxa"/>
            <w:vMerge w:val="restart"/>
            <w:tcBorders>
              <w:bottom w:val="nil"/>
            </w:tcBorders>
            <w:vAlign w:val="top"/>
          </w:tcPr>
          <w:p>
            <w:pPr>
              <w:spacing w:line="341" w:lineRule="auto"/>
              <w:rPr>
                <w:rFonts w:ascii="Arial"/>
                <w:sz w:val="21"/>
              </w:rPr>
            </w:pPr>
          </w:p>
          <w:p>
            <w:pPr>
              <w:pStyle w:val="15"/>
              <w:spacing w:before="68" w:line="232" w:lineRule="auto"/>
              <w:ind w:left="271" w:right="166" w:hanging="99"/>
              <w:jc w:val="both"/>
              <w:rPr>
                <w:sz w:val="21"/>
                <w:szCs w:val="21"/>
              </w:rPr>
            </w:pPr>
            <w:r>
              <w:rPr>
                <w:spacing w:val="3"/>
                <w:sz w:val="21"/>
                <w:szCs w:val="21"/>
              </w:rPr>
              <w:t>可持续</w:t>
            </w:r>
            <w:r>
              <w:rPr>
                <w:sz w:val="21"/>
                <w:szCs w:val="21"/>
              </w:rPr>
              <w:t xml:space="preserve"> </w:t>
            </w:r>
            <w:r>
              <w:rPr>
                <w:spacing w:val="8"/>
                <w:sz w:val="21"/>
                <w:szCs w:val="21"/>
              </w:rPr>
              <w:t>影响</w:t>
            </w:r>
            <w:r>
              <w:rPr>
                <w:sz w:val="21"/>
                <w:szCs w:val="21"/>
              </w:rPr>
              <w:t xml:space="preserve">  </w:t>
            </w:r>
            <w:r>
              <w:rPr>
                <w:spacing w:val="-3"/>
                <w:sz w:val="21"/>
                <w:szCs w:val="21"/>
              </w:rPr>
              <w:t>指标</w:t>
            </w:r>
          </w:p>
        </w:tc>
        <w:tc>
          <w:tcPr>
            <w:tcW w:w="98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02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5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69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70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323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</w:trPr>
        <w:tc>
          <w:tcPr>
            <w:tcW w:w="834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89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89" w:type="dxa"/>
            <w:vMerge w:val="continue"/>
            <w:tcBorders>
              <w:top w:val="nil"/>
              <w:bottom w:val="nil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8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02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5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69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70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323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99" w:hRule="atLeast"/>
        </w:trPr>
        <w:tc>
          <w:tcPr>
            <w:tcW w:w="834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89" w:type="dxa"/>
            <w:vMerge w:val="continue"/>
            <w:tcBorders>
              <w:top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89" w:type="dxa"/>
            <w:vMerge w:val="continue"/>
            <w:tcBorders>
              <w:top w:val="nil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89" w:type="dxa"/>
            <w:vAlign w:val="top"/>
          </w:tcPr>
          <w:p>
            <w:pPr>
              <w:pStyle w:val="15"/>
              <w:spacing w:before="222" w:line="94" w:lineRule="exact"/>
              <w:ind w:left="423"/>
              <w:rPr>
                <w:sz w:val="6"/>
                <w:szCs w:val="6"/>
              </w:rPr>
            </w:pPr>
            <w:r>
              <w:rPr>
                <w:spacing w:val="-2"/>
                <w:position w:val="1"/>
                <w:sz w:val="6"/>
                <w:szCs w:val="6"/>
              </w:rPr>
              <w:t>……</w:t>
            </w:r>
          </w:p>
        </w:tc>
        <w:tc>
          <w:tcPr>
            <w:tcW w:w="102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5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69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70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323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</w:trPr>
        <w:tc>
          <w:tcPr>
            <w:tcW w:w="834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89" w:type="dxa"/>
            <w:vMerge w:val="restart"/>
            <w:tcBorders>
              <w:bottom w:val="nil"/>
            </w:tcBorders>
            <w:vAlign w:val="top"/>
          </w:tcPr>
          <w:p>
            <w:pPr>
              <w:spacing w:line="333" w:lineRule="auto"/>
              <w:rPr>
                <w:rFonts w:ascii="Arial"/>
                <w:sz w:val="21"/>
              </w:rPr>
            </w:pPr>
          </w:p>
          <w:p>
            <w:pPr>
              <w:pStyle w:val="15"/>
              <w:spacing w:before="68" w:line="226" w:lineRule="auto"/>
              <w:ind w:left="170" w:right="131"/>
              <w:rPr>
                <w:sz w:val="21"/>
                <w:szCs w:val="21"/>
              </w:rPr>
            </w:pPr>
            <w:r>
              <w:rPr>
                <w:spacing w:val="4"/>
                <w:sz w:val="21"/>
                <w:szCs w:val="21"/>
              </w:rPr>
              <w:t>满意度</w:t>
            </w:r>
            <w:r>
              <w:rPr>
                <w:sz w:val="21"/>
                <w:szCs w:val="21"/>
              </w:rPr>
              <w:t xml:space="preserve"> </w:t>
            </w:r>
            <w:r>
              <w:rPr>
                <w:spacing w:val="44"/>
                <w:sz w:val="21"/>
                <w:szCs w:val="21"/>
              </w:rPr>
              <w:t>指标</w:t>
            </w:r>
            <w:r>
              <w:rPr>
                <w:sz w:val="21"/>
                <w:szCs w:val="21"/>
              </w:rPr>
              <w:t xml:space="preserve">  </w:t>
            </w:r>
            <w:r>
              <w:rPr>
                <w:spacing w:val="9"/>
                <w:sz w:val="21"/>
                <w:szCs w:val="21"/>
              </w:rPr>
              <w:t>(10分)</w:t>
            </w:r>
          </w:p>
        </w:tc>
        <w:tc>
          <w:tcPr>
            <w:tcW w:w="989" w:type="dxa"/>
            <w:vMerge w:val="restart"/>
            <w:tcBorders>
              <w:bottom w:val="nil"/>
            </w:tcBorders>
            <w:vAlign w:val="top"/>
          </w:tcPr>
          <w:p>
            <w:pPr>
              <w:spacing w:line="353" w:lineRule="auto"/>
              <w:rPr>
                <w:rFonts w:ascii="Arial"/>
                <w:sz w:val="21"/>
              </w:rPr>
            </w:pPr>
          </w:p>
          <w:p>
            <w:pPr>
              <w:pStyle w:val="15"/>
              <w:spacing w:before="68" w:line="219" w:lineRule="auto"/>
              <w:ind w:left="61"/>
              <w:rPr>
                <w:sz w:val="21"/>
                <w:szCs w:val="21"/>
              </w:rPr>
            </w:pPr>
            <w:r>
              <w:rPr>
                <w:spacing w:val="-2"/>
                <w:sz w:val="21"/>
                <w:szCs w:val="21"/>
              </w:rPr>
              <w:t>服务对象</w:t>
            </w:r>
          </w:p>
          <w:p>
            <w:pPr>
              <w:pStyle w:val="15"/>
              <w:spacing w:before="20" w:line="212" w:lineRule="auto"/>
              <w:ind w:left="172"/>
              <w:rPr>
                <w:sz w:val="21"/>
                <w:szCs w:val="21"/>
              </w:rPr>
            </w:pPr>
            <w:r>
              <w:rPr>
                <w:spacing w:val="4"/>
                <w:sz w:val="21"/>
                <w:szCs w:val="21"/>
              </w:rPr>
              <w:t>满意度</w:t>
            </w:r>
          </w:p>
          <w:p>
            <w:pPr>
              <w:pStyle w:val="15"/>
              <w:spacing w:line="220" w:lineRule="auto"/>
              <w:ind w:left="271"/>
              <w:rPr>
                <w:sz w:val="21"/>
                <w:szCs w:val="21"/>
              </w:rPr>
            </w:pPr>
            <w:r>
              <w:rPr>
                <w:spacing w:val="-3"/>
                <w:sz w:val="21"/>
                <w:szCs w:val="21"/>
              </w:rPr>
              <w:t>指标</w:t>
            </w:r>
          </w:p>
        </w:tc>
        <w:tc>
          <w:tcPr>
            <w:tcW w:w="989" w:type="dxa"/>
            <w:vAlign w:val="top"/>
          </w:tcPr>
          <w:p>
            <w:pPr>
              <w:rPr>
                <w:rFonts w:hint="eastAsia" w:ascii="Arial" w:eastAsia="宋体"/>
                <w:sz w:val="21"/>
                <w:lang w:eastAsia="zh-CN"/>
              </w:rPr>
            </w:pPr>
            <w:r>
              <w:rPr>
                <w:rFonts w:hint="eastAsia" w:ascii="Arial"/>
                <w:sz w:val="21"/>
                <w:lang w:eastAsia="zh-CN"/>
              </w:rPr>
              <w:t>社员满意度</w:t>
            </w:r>
          </w:p>
        </w:tc>
        <w:tc>
          <w:tcPr>
            <w:tcW w:w="1029" w:type="dxa"/>
            <w:vAlign w:val="top"/>
          </w:tcPr>
          <w:p>
            <w:pPr>
              <w:rPr>
                <w:rFonts w:hint="eastAsia" w:ascii="Arial" w:eastAsia="宋体"/>
                <w:sz w:val="21"/>
                <w:lang w:val="en-US" w:eastAsia="zh-CN"/>
              </w:rPr>
            </w:pPr>
            <w:r>
              <w:rPr>
                <w:rFonts w:hint="eastAsia" w:ascii="Arial"/>
                <w:sz w:val="21"/>
                <w:lang w:val="en-US" w:eastAsia="zh-CN"/>
              </w:rPr>
              <w:t>1</w:t>
            </w:r>
          </w:p>
        </w:tc>
        <w:tc>
          <w:tcPr>
            <w:tcW w:w="959" w:type="dxa"/>
            <w:vAlign w:val="top"/>
          </w:tcPr>
          <w:p>
            <w:pPr>
              <w:rPr>
                <w:rFonts w:hint="default" w:ascii="Arial" w:eastAsia="宋体"/>
                <w:sz w:val="21"/>
                <w:lang w:val="en-US" w:eastAsia="zh-CN"/>
              </w:rPr>
            </w:pPr>
            <w:r>
              <w:rPr>
                <w:rFonts w:hint="eastAsia" w:ascii="Arial"/>
                <w:sz w:val="21"/>
                <w:lang w:val="en-US" w:eastAsia="zh-CN"/>
              </w:rPr>
              <w:t>95%</w:t>
            </w:r>
          </w:p>
        </w:tc>
        <w:tc>
          <w:tcPr>
            <w:tcW w:w="699" w:type="dxa"/>
            <w:vAlign w:val="top"/>
          </w:tcPr>
          <w:p>
            <w:pPr>
              <w:rPr>
                <w:rFonts w:hint="default" w:ascii="Arial" w:eastAsia="宋体"/>
                <w:sz w:val="21"/>
                <w:lang w:val="en-US" w:eastAsia="zh-CN"/>
              </w:rPr>
            </w:pPr>
            <w:r>
              <w:rPr>
                <w:rFonts w:hint="eastAsia" w:ascii="Arial"/>
                <w:sz w:val="21"/>
                <w:lang w:val="en-US" w:eastAsia="zh-CN"/>
              </w:rPr>
              <w:t>10</w:t>
            </w:r>
          </w:p>
        </w:tc>
        <w:tc>
          <w:tcPr>
            <w:tcW w:w="709" w:type="dxa"/>
            <w:vAlign w:val="top"/>
          </w:tcPr>
          <w:p>
            <w:pPr>
              <w:rPr>
                <w:rFonts w:hint="eastAsia" w:ascii="Arial" w:eastAsia="宋体"/>
                <w:sz w:val="21"/>
                <w:lang w:val="en-US" w:eastAsia="zh-CN"/>
              </w:rPr>
            </w:pPr>
            <w:r>
              <w:rPr>
                <w:rFonts w:hint="eastAsia" w:ascii="Arial"/>
                <w:sz w:val="21"/>
                <w:lang w:val="en-US" w:eastAsia="zh-CN"/>
              </w:rPr>
              <w:t>8</w:t>
            </w:r>
          </w:p>
        </w:tc>
        <w:tc>
          <w:tcPr>
            <w:tcW w:w="1323" w:type="dxa"/>
            <w:vAlign w:val="top"/>
          </w:tcPr>
          <w:p>
            <w:pPr>
              <w:rPr>
                <w:rFonts w:hint="default" w:ascii="Arial" w:eastAsia="宋体"/>
                <w:sz w:val="21"/>
                <w:lang w:val="en-US" w:eastAsia="zh-CN"/>
              </w:rPr>
            </w:pPr>
            <w:r>
              <w:rPr>
                <w:rFonts w:hint="eastAsia" w:ascii="Arial"/>
                <w:sz w:val="21"/>
                <w:lang w:val="en-US" w:eastAsia="zh-CN"/>
              </w:rPr>
              <w:t>5%为基本满意，力争100%满意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99" w:hRule="atLeast"/>
        </w:trPr>
        <w:tc>
          <w:tcPr>
            <w:tcW w:w="834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89" w:type="dxa"/>
            <w:vMerge w:val="continue"/>
            <w:tcBorders>
              <w:top w:val="nil"/>
              <w:bottom w:val="nil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89" w:type="dxa"/>
            <w:vMerge w:val="continue"/>
            <w:tcBorders>
              <w:top w:val="nil"/>
              <w:bottom w:val="nil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8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02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5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69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70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323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</w:trPr>
        <w:tc>
          <w:tcPr>
            <w:tcW w:w="834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89" w:type="dxa"/>
            <w:vMerge w:val="continue"/>
            <w:tcBorders>
              <w:top w:val="nil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89" w:type="dxa"/>
            <w:vMerge w:val="continue"/>
            <w:tcBorders>
              <w:top w:val="nil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89" w:type="dxa"/>
            <w:vAlign w:val="top"/>
          </w:tcPr>
          <w:p>
            <w:pPr>
              <w:pStyle w:val="15"/>
              <w:spacing w:before="234" w:line="94" w:lineRule="exact"/>
              <w:ind w:left="453"/>
              <w:rPr>
                <w:sz w:val="6"/>
                <w:szCs w:val="6"/>
              </w:rPr>
            </w:pPr>
            <w:r>
              <w:rPr>
                <w:position w:val="1"/>
                <w:sz w:val="6"/>
                <w:szCs w:val="6"/>
              </w:rPr>
              <w:t>…</w:t>
            </w:r>
          </w:p>
        </w:tc>
        <w:tc>
          <w:tcPr>
            <w:tcW w:w="102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5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69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70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323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99" w:hRule="atLeast"/>
        </w:trPr>
        <w:tc>
          <w:tcPr>
            <w:tcW w:w="834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89" w:type="dxa"/>
            <w:vMerge w:val="restart"/>
            <w:tcBorders>
              <w:bottom w:val="nil"/>
            </w:tcBorders>
            <w:textDirection w:val="tbRlV"/>
            <w:vAlign w:val="top"/>
          </w:tcPr>
          <w:p>
            <w:pPr>
              <w:spacing w:line="308" w:lineRule="auto"/>
              <w:rPr>
                <w:rFonts w:ascii="Arial"/>
                <w:sz w:val="21"/>
              </w:rPr>
            </w:pPr>
            <w: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rightMargin">
                        <wp:posOffset>-525780</wp:posOffset>
                      </wp:positionH>
                      <wp:positionV relativeFrom="topMargin">
                        <wp:posOffset>1247775</wp:posOffset>
                      </wp:positionV>
                      <wp:extent cx="455295" cy="184785"/>
                      <wp:effectExtent l="0" t="0" r="0" b="0"/>
                      <wp:wrapNone/>
                      <wp:docPr id="2" name="文本框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55295" cy="184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pStyle w:val="15"/>
                                    <w:spacing w:before="20" w:line="220" w:lineRule="auto"/>
                                    <w:ind w:left="20"/>
                                    <w:rPr>
                                      <w:sz w:val="21"/>
                                      <w:szCs w:val="21"/>
                                    </w:rPr>
                                  </w:pPr>
                                  <w:r>
                                    <w:rPr>
                                      <w:spacing w:val="9"/>
                                      <w:sz w:val="21"/>
                                      <w:szCs w:val="21"/>
                                    </w:rPr>
                                    <w:t>(20分)</w:t>
                                  </w:r>
                                </w:p>
                              </w:txbxContent>
                            </wps:txbx>
                            <wps:bodyPr lIns="0" tIns="0" rIns="0" bIns="0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7.8pt;margin-top:98.75pt;height:14.55pt;width:35.85pt;mso-position-horizontal-relative:page;mso-position-vertical-relative:page;z-index:251660288;mso-width-relative:page;mso-height-relative:page;" filled="f" stroked="f" coordsize="21600,21600" o:gfxdata="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">
                      <v:fill on="f" focussize="0,0"/>
                      <v:stroke on="f"/>
                      <v:imagedata o:title=""/>
                      <o:lock v:ext="edit" aspectratio="f"/>
                      <v:textbox inset="0mm,0mm,0mm,0mm">
                        <w:txbxContent>
                          <w:p>
                            <w:pPr>
                              <w:pStyle w:val="15"/>
                              <w:spacing w:before="20" w:line="220" w:lineRule="auto"/>
                              <w:ind w:left="20"/>
                              <w:rPr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spacing w:val="9"/>
                                <w:sz w:val="21"/>
                                <w:szCs w:val="21"/>
                              </w:rPr>
                              <w:t>(20分)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>
            <w:pPr>
              <w:pStyle w:val="15"/>
              <w:spacing w:before="70" w:line="215" w:lineRule="auto"/>
              <w:ind w:left="932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成本指标</w:t>
            </w:r>
          </w:p>
        </w:tc>
        <w:tc>
          <w:tcPr>
            <w:tcW w:w="989" w:type="dxa"/>
            <w:vMerge w:val="restart"/>
            <w:tcBorders>
              <w:bottom w:val="nil"/>
            </w:tcBorders>
            <w:vAlign w:val="top"/>
          </w:tcPr>
          <w:p>
            <w:pPr>
              <w:pStyle w:val="15"/>
              <w:spacing w:before="175" w:line="218" w:lineRule="auto"/>
              <w:ind w:left="271"/>
              <w:rPr>
                <w:sz w:val="21"/>
                <w:szCs w:val="21"/>
              </w:rPr>
            </w:pPr>
            <w:r>
              <w:rPr>
                <w:spacing w:val="-3"/>
                <w:sz w:val="21"/>
                <w:szCs w:val="21"/>
              </w:rPr>
              <w:t>经济</w:t>
            </w:r>
          </w:p>
          <w:p>
            <w:pPr>
              <w:pStyle w:val="15"/>
              <w:spacing w:line="218" w:lineRule="auto"/>
              <w:ind w:left="271"/>
              <w:rPr>
                <w:sz w:val="21"/>
                <w:szCs w:val="21"/>
              </w:rPr>
            </w:pPr>
            <w:r>
              <w:rPr>
                <w:spacing w:val="-3"/>
                <w:sz w:val="21"/>
                <w:szCs w:val="21"/>
              </w:rPr>
              <w:t>成本</w:t>
            </w:r>
          </w:p>
          <w:p>
            <w:pPr>
              <w:pStyle w:val="15"/>
              <w:spacing w:before="2" w:line="220" w:lineRule="auto"/>
              <w:ind w:left="271"/>
              <w:rPr>
                <w:sz w:val="21"/>
                <w:szCs w:val="21"/>
              </w:rPr>
            </w:pPr>
            <w:r>
              <w:rPr>
                <w:spacing w:val="-3"/>
                <w:sz w:val="21"/>
                <w:szCs w:val="21"/>
              </w:rPr>
              <w:t>指标</w:t>
            </w:r>
          </w:p>
        </w:tc>
        <w:tc>
          <w:tcPr>
            <w:tcW w:w="989" w:type="dxa"/>
            <w:vAlign w:val="top"/>
          </w:tcPr>
          <w:p>
            <w:pPr>
              <w:rPr>
                <w:rFonts w:hint="eastAsia" w:ascii="Arial" w:eastAsia="宋体"/>
                <w:sz w:val="21"/>
                <w:lang w:eastAsia="zh-CN"/>
              </w:rPr>
            </w:pPr>
            <w:r>
              <w:rPr>
                <w:rFonts w:hint="eastAsia" w:ascii="Arial"/>
                <w:sz w:val="21"/>
                <w:lang w:eastAsia="zh-CN"/>
              </w:rPr>
              <w:t>储备成本</w:t>
            </w:r>
          </w:p>
        </w:tc>
        <w:tc>
          <w:tcPr>
            <w:tcW w:w="1029" w:type="dxa"/>
            <w:vAlign w:val="top"/>
          </w:tcPr>
          <w:p>
            <w:pPr>
              <w:rPr>
                <w:rFonts w:hint="default" w:ascii="Arial" w:eastAsia="宋体"/>
                <w:sz w:val="21"/>
                <w:lang w:val="en-US" w:eastAsia="zh-CN"/>
              </w:rPr>
            </w:pPr>
            <w:r>
              <w:rPr>
                <w:rFonts w:hint="eastAsia" w:ascii="Arial"/>
                <w:sz w:val="21"/>
                <w:lang w:eastAsia="zh-CN"/>
              </w:rPr>
              <w:t>小于</w:t>
            </w:r>
            <w:r>
              <w:rPr>
                <w:rFonts w:hint="eastAsia" w:ascii="Arial"/>
                <w:sz w:val="21"/>
                <w:lang w:val="en-US" w:eastAsia="zh-CN"/>
              </w:rPr>
              <w:t>6000</w:t>
            </w:r>
          </w:p>
        </w:tc>
        <w:tc>
          <w:tcPr>
            <w:tcW w:w="959" w:type="dxa"/>
            <w:vAlign w:val="top"/>
          </w:tcPr>
          <w:p>
            <w:pPr>
              <w:rPr>
                <w:rFonts w:hint="default" w:ascii="Arial" w:eastAsia="宋体"/>
                <w:sz w:val="21"/>
                <w:lang w:val="en-US" w:eastAsia="zh-CN"/>
              </w:rPr>
            </w:pPr>
            <w:r>
              <w:rPr>
                <w:rFonts w:hint="eastAsia" w:ascii="Arial"/>
                <w:sz w:val="21"/>
                <w:lang w:val="en-US" w:eastAsia="zh-CN"/>
              </w:rPr>
              <w:t>5800</w:t>
            </w:r>
          </w:p>
        </w:tc>
        <w:tc>
          <w:tcPr>
            <w:tcW w:w="699" w:type="dxa"/>
            <w:vAlign w:val="top"/>
          </w:tcPr>
          <w:p>
            <w:pPr>
              <w:rPr>
                <w:rFonts w:hint="default" w:ascii="Arial" w:eastAsia="宋体"/>
                <w:sz w:val="21"/>
                <w:lang w:val="en-US" w:eastAsia="zh-CN"/>
              </w:rPr>
            </w:pPr>
            <w:r>
              <w:rPr>
                <w:rFonts w:hint="eastAsia" w:ascii="Arial"/>
                <w:sz w:val="21"/>
                <w:lang w:val="en-US" w:eastAsia="zh-CN"/>
              </w:rPr>
              <w:t>20</w:t>
            </w:r>
          </w:p>
        </w:tc>
        <w:tc>
          <w:tcPr>
            <w:tcW w:w="709" w:type="dxa"/>
            <w:vAlign w:val="top"/>
          </w:tcPr>
          <w:p>
            <w:pPr>
              <w:rPr>
                <w:rFonts w:hint="default" w:ascii="Arial" w:eastAsia="宋体"/>
                <w:sz w:val="21"/>
                <w:lang w:val="en-US" w:eastAsia="zh-CN"/>
              </w:rPr>
            </w:pPr>
            <w:r>
              <w:rPr>
                <w:rFonts w:hint="eastAsia" w:ascii="Arial"/>
                <w:sz w:val="21"/>
                <w:lang w:val="en-US" w:eastAsia="zh-CN"/>
              </w:rPr>
              <w:t>19</w:t>
            </w:r>
          </w:p>
        </w:tc>
        <w:tc>
          <w:tcPr>
            <w:tcW w:w="1323" w:type="dxa"/>
            <w:vAlign w:val="top"/>
          </w:tcPr>
          <w:p>
            <w:pPr>
              <w:rPr>
                <w:rFonts w:hint="eastAsia" w:ascii="Arial" w:eastAsia="宋体"/>
                <w:sz w:val="21"/>
                <w:lang w:eastAsia="zh-CN"/>
              </w:rPr>
            </w:pPr>
            <w:r>
              <w:rPr>
                <w:rFonts w:hint="eastAsia" w:ascii="Arial"/>
                <w:sz w:val="21"/>
                <w:lang w:eastAsia="zh-CN"/>
              </w:rPr>
              <w:t>小于市场价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99" w:hRule="atLeast"/>
        </w:trPr>
        <w:tc>
          <w:tcPr>
            <w:tcW w:w="834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89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89" w:type="dxa"/>
            <w:vMerge w:val="continue"/>
            <w:tcBorders>
              <w:top w:val="nil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89" w:type="dxa"/>
            <w:vAlign w:val="top"/>
          </w:tcPr>
          <w:p>
            <w:pPr>
              <w:pStyle w:val="15"/>
              <w:spacing w:before="225" w:line="95" w:lineRule="exact"/>
              <w:ind w:left="423"/>
              <w:rPr>
                <w:sz w:val="6"/>
                <w:szCs w:val="6"/>
              </w:rPr>
            </w:pPr>
            <w:r>
              <w:rPr>
                <w:spacing w:val="-2"/>
                <w:position w:val="1"/>
                <w:sz w:val="6"/>
                <w:szCs w:val="6"/>
              </w:rPr>
              <w:t>……</w:t>
            </w:r>
          </w:p>
        </w:tc>
        <w:tc>
          <w:tcPr>
            <w:tcW w:w="102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5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69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70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323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</w:trPr>
        <w:tc>
          <w:tcPr>
            <w:tcW w:w="834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89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89" w:type="dxa"/>
            <w:vMerge w:val="restart"/>
            <w:tcBorders>
              <w:bottom w:val="nil"/>
            </w:tcBorders>
            <w:vAlign w:val="top"/>
          </w:tcPr>
          <w:p>
            <w:pPr>
              <w:pStyle w:val="15"/>
              <w:spacing w:before="176" w:line="237" w:lineRule="auto"/>
              <w:ind w:left="271"/>
              <w:rPr>
                <w:sz w:val="21"/>
                <w:szCs w:val="21"/>
              </w:rPr>
            </w:pPr>
            <w:r>
              <w:rPr>
                <w:spacing w:val="-3"/>
                <w:sz w:val="21"/>
                <w:szCs w:val="21"/>
              </w:rPr>
              <w:t>社会</w:t>
            </w:r>
          </w:p>
          <w:p>
            <w:pPr>
              <w:pStyle w:val="15"/>
              <w:spacing w:line="218" w:lineRule="auto"/>
              <w:ind w:left="271"/>
              <w:rPr>
                <w:sz w:val="21"/>
                <w:szCs w:val="21"/>
              </w:rPr>
            </w:pPr>
            <w:r>
              <w:rPr>
                <w:spacing w:val="-3"/>
                <w:sz w:val="21"/>
                <w:szCs w:val="21"/>
              </w:rPr>
              <w:t>成本</w:t>
            </w:r>
          </w:p>
          <w:p>
            <w:pPr>
              <w:pStyle w:val="15"/>
              <w:spacing w:before="12" w:line="220" w:lineRule="auto"/>
              <w:ind w:left="271"/>
              <w:rPr>
                <w:sz w:val="21"/>
                <w:szCs w:val="21"/>
              </w:rPr>
            </w:pPr>
            <w:r>
              <w:rPr>
                <w:spacing w:val="-3"/>
                <w:sz w:val="21"/>
                <w:szCs w:val="21"/>
              </w:rPr>
              <w:t>指标</w:t>
            </w:r>
          </w:p>
        </w:tc>
        <w:tc>
          <w:tcPr>
            <w:tcW w:w="98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02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5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69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70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323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</w:trPr>
        <w:tc>
          <w:tcPr>
            <w:tcW w:w="834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89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89" w:type="dxa"/>
            <w:vMerge w:val="continue"/>
            <w:tcBorders>
              <w:top w:val="nil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89" w:type="dxa"/>
            <w:vAlign w:val="top"/>
          </w:tcPr>
          <w:p>
            <w:pPr>
              <w:pStyle w:val="15"/>
              <w:spacing w:before="236" w:line="94" w:lineRule="exact"/>
              <w:ind w:left="453"/>
              <w:rPr>
                <w:sz w:val="6"/>
                <w:szCs w:val="6"/>
              </w:rPr>
            </w:pPr>
            <w:r>
              <w:rPr>
                <w:position w:val="1"/>
                <w:sz w:val="6"/>
                <w:szCs w:val="6"/>
              </w:rPr>
              <w:t>…</w:t>
            </w:r>
          </w:p>
        </w:tc>
        <w:tc>
          <w:tcPr>
            <w:tcW w:w="102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5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69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70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323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99" w:hRule="atLeast"/>
        </w:trPr>
        <w:tc>
          <w:tcPr>
            <w:tcW w:w="834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89" w:type="dxa"/>
            <w:vMerge w:val="continue"/>
            <w:tcBorders>
              <w:top w:val="nil"/>
              <w:bottom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89" w:type="dxa"/>
            <w:vMerge w:val="restart"/>
            <w:tcBorders>
              <w:bottom w:val="nil"/>
            </w:tcBorders>
            <w:vAlign w:val="top"/>
          </w:tcPr>
          <w:p>
            <w:pPr>
              <w:pStyle w:val="15"/>
              <w:spacing w:before="61" w:line="205" w:lineRule="auto"/>
              <w:ind w:left="271"/>
              <w:rPr>
                <w:sz w:val="21"/>
                <w:szCs w:val="21"/>
              </w:rPr>
            </w:pPr>
            <w:r>
              <w:rPr>
                <w:spacing w:val="5"/>
                <w:sz w:val="21"/>
                <w:szCs w:val="21"/>
              </w:rPr>
              <w:t>生态</w:t>
            </w:r>
          </w:p>
          <w:p>
            <w:pPr>
              <w:pStyle w:val="15"/>
              <w:spacing w:line="218" w:lineRule="auto"/>
              <w:ind w:left="271"/>
              <w:rPr>
                <w:sz w:val="21"/>
                <w:szCs w:val="21"/>
              </w:rPr>
            </w:pPr>
            <w:r>
              <w:rPr>
                <w:spacing w:val="-3"/>
                <w:sz w:val="21"/>
                <w:szCs w:val="21"/>
              </w:rPr>
              <w:t>环境</w:t>
            </w:r>
          </w:p>
          <w:p>
            <w:pPr>
              <w:pStyle w:val="15"/>
              <w:spacing w:before="17" w:line="217" w:lineRule="auto"/>
              <w:ind w:left="271"/>
              <w:rPr>
                <w:sz w:val="21"/>
                <w:szCs w:val="21"/>
              </w:rPr>
            </w:pPr>
            <w:r>
              <w:rPr>
                <w:spacing w:val="-3"/>
                <w:sz w:val="21"/>
                <w:szCs w:val="21"/>
              </w:rPr>
              <w:t>成本</w:t>
            </w:r>
          </w:p>
          <w:p>
            <w:pPr>
              <w:pStyle w:val="15"/>
              <w:spacing w:before="1" w:line="183" w:lineRule="auto"/>
              <w:ind w:left="271"/>
              <w:rPr>
                <w:sz w:val="21"/>
                <w:szCs w:val="21"/>
              </w:rPr>
            </w:pPr>
            <w:r>
              <w:rPr>
                <w:spacing w:val="-3"/>
                <w:sz w:val="21"/>
                <w:szCs w:val="21"/>
              </w:rPr>
              <w:t>指标</w:t>
            </w:r>
          </w:p>
        </w:tc>
        <w:tc>
          <w:tcPr>
            <w:tcW w:w="98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02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5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69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70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323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9" w:hRule="atLeast"/>
        </w:trPr>
        <w:tc>
          <w:tcPr>
            <w:tcW w:w="834" w:type="dxa"/>
            <w:vMerge w:val="continue"/>
            <w:tcBorders>
              <w:top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89" w:type="dxa"/>
            <w:vMerge w:val="continue"/>
            <w:tcBorders>
              <w:top w:val="nil"/>
            </w:tcBorders>
            <w:textDirection w:val="tbRlV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89" w:type="dxa"/>
            <w:vMerge w:val="continue"/>
            <w:tcBorders>
              <w:top w:val="nil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89" w:type="dxa"/>
            <w:vAlign w:val="top"/>
          </w:tcPr>
          <w:p>
            <w:pPr>
              <w:pStyle w:val="15"/>
              <w:spacing w:before="237" w:line="94" w:lineRule="exact"/>
              <w:ind w:left="423"/>
              <w:rPr>
                <w:sz w:val="6"/>
                <w:szCs w:val="6"/>
              </w:rPr>
            </w:pPr>
            <w:r>
              <w:rPr>
                <w:spacing w:val="-2"/>
                <w:position w:val="1"/>
                <w:sz w:val="6"/>
                <w:szCs w:val="6"/>
              </w:rPr>
              <w:t>……</w:t>
            </w:r>
          </w:p>
        </w:tc>
        <w:tc>
          <w:tcPr>
            <w:tcW w:w="102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95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69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709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323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5" w:hRule="atLeast"/>
        </w:trPr>
        <w:tc>
          <w:tcPr>
            <w:tcW w:w="5789" w:type="dxa"/>
            <w:gridSpan w:val="6"/>
            <w:vAlign w:val="top"/>
          </w:tcPr>
          <w:p>
            <w:pPr>
              <w:pStyle w:val="15"/>
              <w:spacing w:before="159" w:line="220" w:lineRule="auto"/>
              <w:ind w:left="2694"/>
              <w:rPr>
                <w:sz w:val="21"/>
                <w:szCs w:val="21"/>
              </w:rPr>
            </w:pPr>
            <w:r>
              <w:rPr>
                <w:spacing w:val="4"/>
                <w:sz w:val="21"/>
                <w:szCs w:val="21"/>
              </w:rPr>
              <w:t>总分</w:t>
            </w:r>
          </w:p>
        </w:tc>
        <w:tc>
          <w:tcPr>
            <w:tcW w:w="699" w:type="dxa"/>
            <w:vAlign w:val="top"/>
          </w:tcPr>
          <w:p>
            <w:pPr>
              <w:pStyle w:val="15"/>
              <w:spacing w:before="211" w:line="184" w:lineRule="auto"/>
              <w:ind w:left="195"/>
              <w:rPr>
                <w:sz w:val="21"/>
                <w:szCs w:val="21"/>
              </w:rPr>
            </w:pPr>
            <w:r>
              <w:rPr>
                <w:spacing w:val="-6"/>
                <w:sz w:val="21"/>
                <w:szCs w:val="21"/>
              </w:rPr>
              <w:t>100</w:t>
            </w:r>
          </w:p>
        </w:tc>
        <w:tc>
          <w:tcPr>
            <w:tcW w:w="709" w:type="dxa"/>
            <w:vAlign w:val="top"/>
          </w:tcPr>
          <w:p>
            <w:pPr>
              <w:rPr>
                <w:rFonts w:hint="default" w:ascii="Arial" w:eastAsia="宋体"/>
                <w:sz w:val="21"/>
                <w:lang w:val="en-US" w:eastAsia="zh-CN"/>
              </w:rPr>
            </w:pPr>
            <w:r>
              <w:rPr>
                <w:rFonts w:hint="eastAsia" w:ascii="Arial"/>
                <w:sz w:val="21"/>
                <w:lang w:val="en-US" w:eastAsia="zh-CN"/>
              </w:rPr>
              <w:t>96</w:t>
            </w:r>
          </w:p>
        </w:tc>
        <w:tc>
          <w:tcPr>
            <w:tcW w:w="1323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</w:tbl>
    <w:p>
      <w:pPr>
        <w:rPr>
          <w:rFonts w:hint="eastAsia"/>
        </w:rPr>
      </w:pPr>
      <w:r>
        <w:rPr>
          <w:rFonts w:hint="eastAsia"/>
        </w:rPr>
        <w:t>填表人</w:t>
      </w:r>
      <w:r>
        <w:rPr>
          <w:rFonts w:hint="eastAsia"/>
          <w:lang w:eastAsia="zh-CN"/>
        </w:rPr>
        <w:t>：白大平</w:t>
      </w:r>
      <w:r>
        <w:rPr>
          <w:rFonts w:hint="eastAsia"/>
        </w:rPr>
        <w:t xml:space="preserve">  填报日期：</w:t>
      </w:r>
      <w:r>
        <w:rPr>
          <w:rFonts w:hint="eastAsia"/>
          <w:lang w:val="en-US" w:eastAsia="zh-CN"/>
        </w:rPr>
        <w:t>2024.5.22</w:t>
      </w:r>
      <w:r>
        <w:rPr>
          <w:rFonts w:hint="eastAsia"/>
        </w:rPr>
        <w:t xml:space="preserve">    联系电话：</w:t>
      </w:r>
      <w:r>
        <w:rPr>
          <w:rFonts w:hint="eastAsia"/>
          <w:lang w:val="en-US" w:eastAsia="zh-CN"/>
        </w:rPr>
        <w:t>13607404829</w:t>
      </w:r>
      <w:r>
        <w:rPr>
          <w:rFonts w:hint="eastAsia"/>
        </w:rPr>
        <w:t xml:space="preserve">    单位负责人签字：</w:t>
      </w:r>
    </w:p>
    <w:p>
      <w:pPr>
        <w:rPr>
          <w:rFonts w:hint="eastAsia"/>
          <w:lang w:val="en-US" w:eastAsia="zh-CN"/>
        </w:rPr>
      </w:pPr>
      <w:bookmarkStart w:id="0" w:name="_GoBack"/>
      <w:bookmarkEnd w:id="0"/>
    </w:p>
    <w:sectPr>
      <w:footerReference r:id="rId5" w:type="default"/>
      <w:pgSz w:w="11905" w:h="16838"/>
      <w:pgMar w:top="1134" w:right="1701" w:bottom="1134" w:left="1701" w:header="850" w:footer="1587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decimal"/>
      <w:cols w:space="0" w:num="1"/>
      <w:rtlGutter w:val="0"/>
      <w:docGrid w:type="lines" w:linePitch="314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AB50D7AB-DBEE-4124-89B4-8EC959A76713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28393040-664F-4E53-BC2C-42A2441DBB74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67CC3F2A-1ADB-41ED-8025-495F5FB69859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57DA2DE2-DAC0-4964-BE17-82D9C2AFA657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9BBA18C4-20D2-4B65-95BD-1A2804150A59}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  <w:embedRegular r:id="rId6" w:fontKey="{7E094ACC-CC0E-46D0-8F1A-46FED34EEA16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_GB2312">
    <w:panose1 w:val="02010609030101010101"/>
    <w:charset w:val="86"/>
    <w:family w:val="auto"/>
    <w:pitch w:val="default"/>
    <w:sig w:usb0="00000000" w:usb1="00000000" w:usb2="00000000" w:usb3="00000000" w:csb0="00000000" w:csb1="00000000"/>
    <w:embedRegular r:id="rId7" w:fontKey="{D294F553-4426-4C42-A004-C70970D4C815}"/>
  </w:font>
  <w:font w:name="方正小标宋简体">
    <w:panose1 w:val="03000509000000000000"/>
    <w:charset w:val="86"/>
    <w:family w:val="auto"/>
    <w:pitch w:val="default"/>
    <w:sig w:usb0="00000000" w:usb1="00000000" w:usb2="00000000" w:usb3="00000000" w:csb0="00000000" w:csb1="00000000"/>
    <w:embedRegular r:id="rId8" w:fontKey="{285482EC-C8E0-4A58-AFD9-613024DEB87C}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  <w:embedRegular r:id="rId9" w:fontKey="{2EB648F9-0EFC-4221-931E-02B32F6BA1E2}"/>
  </w:font>
  <w:font w:name="华文仿宋">
    <w:panose1 w:val="02010600040101010101"/>
    <w:charset w:val="86"/>
    <w:family w:val="auto"/>
    <w:pitch w:val="default"/>
    <w:sig w:usb0="00000000" w:usb1="00000000" w:usb2="00000000" w:usb3="00000000" w:csb0="00000000" w:csb1="00000000"/>
    <w:embedRegular r:id="rId10" w:fontKey="{2E91192D-DE36-407B-A718-1734B5753392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before="1" w:line="174" w:lineRule="auto"/>
      <w:jc w:val="center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9" name="文本框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right;mso-position-horizontal-relative:margin;mso-wrap-style:none;z-index:251662336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s0lY7tAAAAAFAQAADwAAAAAAAAABACAA&#10;AAAiAAAAZHJzL2Rvd25yZXYueG1sUEsBAhQAFAAAAAgAh07iQCPLFPAVAgAAEwQAAA4AAAAAAAAA&#10;AQAgAAAAHwEAAGRycy9lMm9Eb2MueG1sUEsFBgAAAAAGAAYAWQEAAKY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4" w:lineRule="auto"/>
      <w:rPr>
        <w:rFonts w:ascii="Arial"/>
        <w:sz w:val="2"/>
      </w:rPr>
    </w:pPr>
    <w:r>
      <w:rPr>
        <w:sz w:val="2"/>
      </w:rP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0" name="文本框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right;mso-position-horizontal-relative:margin;mso-wrap-style:none;z-index:251663360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s0lY7tAAAAAFAQAADwAAAAAAAAABACAA&#10;AAAiAAAAZHJzL2Rvd25yZXYueG1sUEsBAhQAFAAAAAgAh07iQI3F45UVAgAAFQQAAA4AAAAAAAAA&#10;AQAgAAAAHwEAAGRycy9lMm9Eb2MueG1sUEsFBgAAAAAGAAYAWQEAAKY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9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before="1" w:line="174" w:lineRule="auto"/>
      <w:ind w:left="574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65408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2" name="文本框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right;mso-position-horizontal-relative:margin;mso-wrap-style:none;z-index:25166540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LNJWO7QAAAABQEAAA8AAAAAAAAAAQAgAAAA&#10;IgAAAGRycy9kb3ducmV2LnhtbFBLAQIUABQAAAAIAIdO4kBIk72REwIAABUEAAAOAAAAAAAAAAEA&#10;IAAAAB8BAABkcnMvZTJvRG9jLnhtbFBLBQYAAAAABgAGAFkBAACk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17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bordersDoNotSurroundHeader w:val="0"/>
  <w:bordersDoNotSurroundFooter w:val="0"/>
  <w:documentProtection w:enforcement="0"/>
  <w:defaultTabStop w:val="420"/>
  <w:drawingGridHorizontalSpacing w:val="210"/>
  <w:drawingGridVerticalSpacing w:val="157"/>
  <w:displayHorizontalDrawingGridEvery w:val="1"/>
  <w:displayVerticalDrawingGridEvery w:val="2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Q2OTRlNzNhNDVlYTMzMGJjNzdhYjkwNDAzNzljNGUifQ=="/>
    <w:docVar w:name="KSO_WPS_MARK_KEY" w:val="445f460c-af61-4eab-8ef1-4f2970cc63a1"/>
  </w:docVars>
  <w:rsids>
    <w:rsidRoot w:val="0CCB7736"/>
    <w:rsid w:val="00047FEF"/>
    <w:rsid w:val="000A3906"/>
    <w:rsid w:val="001776F1"/>
    <w:rsid w:val="006F0A16"/>
    <w:rsid w:val="00773328"/>
    <w:rsid w:val="00821883"/>
    <w:rsid w:val="00917857"/>
    <w:rsid w:val="00951882"/>
    <w:rsid w:val="00A755C2"/>
    <w:rsid w:val="00D06DD6"/>
    <w:rsid w:val="011D2710"/>
    <w:rsid w:val="016A347B"/>
    <w:rsid w:val="01B42948"/>
    <w:rsid w:val="01BF20E7"/>
    <w:rsid w:val="01E4322D"/>
    <w:rsid w:val="021138F7"/>
    <w:rsid w:val="02B50488"/>
    <w:rsid w:val="0338470A"/>
    <w:rsid w:val="034822A9"/>
    <w:rsid w:val="03D86621"/>
    <w:rsid w:val="04EE6171"/>
    <w:rsid w:val="05315F6B"/>
    <w:rsid w:val="05395EA9"/>
    <w:rsid w:val="0616597F"/>
    <w:rsid w:val="06426ACC"/>
    <w:rsid w:val="07A62D33"/>
    <w:rsid w:val="086B5F82"/>
    <w:rsid w:val="09E6794E"/>
    <w:rsid w:val="0A067AB9"/>
    <w:rsid w:val="0ABD557B"/>
    <w:rsid w:val="0BBB5A8D"/>
    <w:rsid w:val="0C104906"/>
    <w:rsid w:val="0C607C21"/>
    <w:rsid w:val="0CCB7736"/>
    <w:rsid w:val="0D9E0E8D"/>
    <w:rsid w:val="0E1F65D3"/>
    <w:rsid w:val="0E3E5716"/>
    <w:rsid w:val="0E6B257C"/>
    <w:rsid w:val="0EAB7397"/>
    <w:rsid w:val="0EF755B3"/>
    <w:rsid w:val="0F17035E"/>
    <w:rsid w:val="0F4E168D"/>
    <w:rsid w:val="0F7A0392"/>
    <w:rsid w:val="0FAF3959"/>
    <w:rsid w:val="0FD26E31"/>
    <w:rsid w:val="1020625B"/>
    <w:rsid w:val="11404466"/>
    <w:rsid w:val="1155307D"/>
    <w:rsid w:val="11627A32"/>
    <w:rsid w:val="11837AA9"/>
    <w:rsid w:val="11963ADD"/>
    <w:rsid w:val="11EB0F5C"/>
    <w:rsid w:val="11F20483"/>
    <w:rsid w:val="12123C76"/>
    <w:rsid w:val="12831010"/>
    <w:rsid w:val="129038DB"/>
    <w:rsid w:val="13441D7E"/>
    <w:rsid w:val="136A474B"/>
    <w:rsid w:val="136F31F8"/>
    <w:rsid w:val="138750E0"/>
    <w:rsid w:val="1396506E"/>
    <w:rsid w:val="13D82A59"/>
    <w:rsid w:val="140E6961"/>
    <w:rsid w:val="144323FE"/>
    <w:rsid w:val="15604228"/>
    <w:rsid w:val="15A620D3"/>
    <w:rsid w:val="1687609D"/>
    <w:rsid w:val="16A3369E"/>
    <w:rsid w:val="17114A8B"/>
    <w:rsid w:val="176B77A7"/>
    <w:rsid w:val="178536BD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F15B4E"/>
    <w:rsid w:val="1CA34935"/>
    <w:rsid w:val="1D5A640E"/>
    <w:rsid w:val="1E9351E5"/>
    <w:rsid w:val="1F7640EC"/>
    <w:rsid w:val="20176B8B"/>
    <w:rsid w:val="20D30097"/>
    <w:rsid w:val="20D76C5F"/>
    <w:rsid w:val="20E55C2B"/>
    <w:rsid w:val="21057490"/>
    <w:rsid w:val="214A230E"/>
    <w:rsid w:val="21B052C4"/>
    <w:rsid w:val="22B43877"/>
    <w:rsid w:val="22CA430C"/>
    <w:rsid w:val="22DF2F05"/>
    <w:rsid w:val="22FF5445"/>
    <w:rsid w:val="23201E3D"/>
    <w:rsid w:val="2342170A"/>
    <w:rsid w:val="238D0E57"/>
    <w:rsid w:val="24256710"/>
    <w:rsid w:val="251E7983"/>
    <w:rsid w:val="25FE2B31"/>
    <w:rsid w:val="260D5D83"/>
    <w:rsid w:val="260E1D77"/>
    <w:rsid w:val="271E3F8B"/>
    <w:rsid w:val="277A77CA"/>
    <w:rsid w:val="28043432"/>
    <w:rsid w:val="284A2254"/>
    <w:rsid w:val="29015BEA"/>
    <w:rsid w:val="29165294"/>
    <w:rsid w:val="292F1467"/>
    <w:rsid w:val="29786927"/>
    <w:rsid w:val="297B51B4"/>
    <w:rsid w:val="29E40467"/>
    <w:rsid w:val="29F527E2"/>
    <w:rsid w:val="2A9A1E2C"/>
    <w:rsid w:val="2BF35971"/>
    <w:rsid w:val="2C487650"/>
    <w:rsid w:val="2C5A7AC4"/>
    <w:rsid w:val="2E4F43C0"/>
    <w:rsid w:val="2E927B5E"/>
    <w:rsid w:val="2EC7368E"/>
    <w:rsid w:val="2EDC05D9"/>
    <w:rsid w:val="2F240CAA"/>
    <w:rsid w:val="2F5137B6"/>
    <w:rsid w:val="2FF62815"/>
    <w:rsid w:val="30FB4B41"/>
    <w:rsid w:val="31621165"/>
    <w:rsid w:val="322E1E8E"/>
    <w:rsid w:val="323C5548"/>
    <w:rsid w:val="33235CE2"/>
    <w:rsid w:val="33EE7255"/>
    <w:rsid w:val="33F22F3B"/>
    <w:rsid w:val="359F2200"/>
    <w:rsid w:val="35A42962"/>
    <w:rsid w:val="36AD0EA9"/>
    <w:rsid w:val="36B43CAA"/>
    <w:rsid w:val="36FF783F"/>
    <w:rsid w:val="37450F88"/>
    <w:rsid w:val="375F1A7E"/>
    <w:rsid w:val="378B026E"/>
    <w:rsid w:val="37B47BE4"/>
    <w:rsid w:val="37D6106F"/>
    <w:rsid w:val="37F52D97"/>
    <w:rsid w:val="38241593"/>
    <w:rsid w:val="38856E40"/>
    <w:rsid w:val="38BE1DF3"/>
    <w:rsid w:val="38F862EB"/>
    <w:rsid w:val="392E030E"/>
    <w:rsid w:val="39343807"/>
    <w:rsid w:val="39887BBC"/>
    <w:rsid w:val="3A0F7AD4"/>
    <w:rsid w:val="3A53023B"/>
    <w:rsid w:val="3AF42D2D"/>
    <w:rsid w:val="3B062751"/>
    <w:rsid w:val="3B3A041F"/>
    <w:rsid w:val="3BAE6BF9"/>
    <w:rsid w:val="3BEE0229"/>
    <w:rsid w:val="3C3568D7"/>
    <w:rsid w:val="3CCA47F2"/>
    <w:rsid w:val="3CDE0708"/>
    <w:rsid w:val="3D33006A"/>
    <w:rsid w:val="3D3954D4"/>
    <w:rsid w:val="3D5877DF"/>
    <w:rsid w:val="3DAE53BC"/>
    <w:rsid w:val="3DC55CAA"/>
    <w:rsid w:val="3DD556CA"/>
    <w:rsid w:val="3DFE271A"/>
    <w:rsid w:val="3E5F4AE1"/>
    <w:rsid w:val="3EA1262C"/>
    <w:rsid w:val="3F421654"/>
    <w:rsid w:val="3F450429"/>
    <w:rsid w:val="3FB6105E"/>
    <w:rsid w:val="3FBF3F86"/>
    <w:rsid w:val="3FF70715"/>
    <w:rsid w:val="3FFD550C"/>
    <w:rsid w:val="4021030A"/>
    <w:rsid w:val="40226C80"/>
    <w:rsid w:val="40C451A5"/>
    <w:rsid w:val="40C671E5"/>
    <w:rsid w:val="41051ABE"/>
    <w:rsid w:val="4156470B"/>
    <w:rsid w:val="41943ACE"/>
    <w:rsid w:val="42521D88"/>
    <w:rsid w:val="425D4066"/>
    <w:rsid w:val="430118BA"/>
    <w:rsid w:val="43173FD4"/>
    <w:rsid w:val="43B27D8E"/>
    <w:rsid w:val="44143822"/>
    <w:rsid w:val="44654A12"/>
    <w:rsid w:val="44E421C9"/>
    <w:rsid w:val="45320384"/>
    <w:rsid w:val="457C5F26"/>
    <w:rsid w:val="4716830A"/>
    <w:rsid w:val="47BF53CA"/>
    <w:rsid w:val="48B126BB"/>
    <w:rsid w:val="49CF255F"/>
    <w:rsid w:val="4A3239D7"/>
    <w:rsid w:val="4A8D4615"/>
    <w:rsid w:val="4B2C5DCD"/>
    <w:rsid w:val="4B46D032"/>
    <w:rsid w:val="4B7D1173"/>
    <w:rsid w:val="4BBDFBDE"/>
    <w:rsid w:val="4BCF5C41"/>
    <w:rsid w:val="4C150E22"/>
    <w:rsid w:val="4C6A38FC"/>
    <w:rsid w:val="4CD520DA"/>
    <w:rsid w:val="4CE74BC3"/>
    <w:rsid w:val="4CEEB85C"/>
    <w:rsid w:val="4CF5000E"/>
    <w:rsid w:val="4D6D6EEB"/>
    <w:rsid w:val="4DB17672"/>
    <w:rsid w:val="4DB27F04"/>
    <w:rsid w:val="4F5D15A2"/>
    <w:rsid w:val="4FCB46B2"/>
    <w:rsid w:val="4FFE57BD"/>
    <w:rsid w:val="502370E1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301082D"/>
    <w:rsid w:val="5387476B"/>
    <w:rsid w:val="53910AF4"/>
    <w:rsid w:val="53FBDA3F"/>
    <w:rsid w:val="54F63F7F"/>
    <w:rsid w:val="555952B3"/>
    <w:rsid w:val="555E65E4"/>
    <w:rsid w:val="556B5A36"/>
    <w:rsid w:val="556E6CEC"/>
    <w:rsid w:val="5599697B"/>
    <w:rsid w:val="55AF40BB"/>
    <w:rsid w:val="55E65FDC"/>
    <w:rsid w:val="5613734A"/>
    <w:rsid w:val="562D7E5B"/>
    <w:rsid w:val="564F3D12"/>
    <w:rsid w:val="56F72F7C"/>
    <w:rsid w:val="5717642E"/>
    <w:rsid w:val="57946554"/>
    <w:rsid w:val="57D80A00"/>
    <w:rsid w:val="586243BF"/>
    <w:rsid w:val="58FD3402"/>
    <w:rsid w:val="5968027A"/>
    <w:rsid w:val="5AAD6551"/>
    <w:rsid w:val="5AAF7799"/>
    <w:rsid w:val="5AB04BD0"/>
    <w:rsid w:val="5B5C1753"/>
    <w:rsid w:val="5BE211F7"/>
    <w:rsid w:val="5BF510BE"/>
    <w:rsid w:val="5C6C4B26"/>
    <w:rsid w:val="5D03DFF6"/>
    <w:rsid w:val="5D9C3D56"/>
    <w:rsid w:val="5DBB5114"/>
    <w:rsid w:val="5DD775C7"/>
    <w:rsid w:val="5E134100"/>
    <w:rsid w:val="5F7A1C50"/>
    <w:rsid w:val="5FC69000"/>
    <w:rsid w:val="601C4AB5"/>
    <w:rsid w:val="604F2F3E"/>
    <w:rsid w:val="60BE691E"/>
    <w:rsid w:val="60F838FC"/>
    <w:rsid w:val="61444403"/>
    <w:rsid w:val="62265BDF"/>
    <w:rsid w:val="62E1699A"/>
    <w:rsid w:val="62FBC294"/>
    <w:rsid w:val="63123C13"/>
    <w:rsid w:val="637D5875"/>
    <w:rsid w:val="63FF2863"/>
    <w:rsid w:val="64147F0D"/>
    <w:rsid w:val="64B713E7"/>
    <w:rsid w:val="64D66362"/>
    <w:rsid w:val="65860217"/>
    <w:rsid w:val="659D5052"/>
    <w:rsid w:val="667E0AA1"/>
    <w:rsid w:val="66AE5CE5"/>
    <w:rsid w:val="66D4191C"/>
    <w:rsid w:val="677027A4"/>
    <w:rsid w:val="67B37C7A"/>
    <w:rsid w:val="67F20A94"/>
    <w:rsid w:val="68E9012B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8D38AE"/>
    <w:rsid w:val="6BA1010E"/>
    <w:rsid w:val="6BC80F42"/>
    <w:rsid w:val="6CE47E41"/>
    <w:rsid w:val="6CED5810"/>
    <w:rsid w:val="6CF92413"/>
    <w:rsid w:val="6DFE5E04"/>
    <w:rsid w:val="6E0D1F7B"/>
    <w:rsid w:val="6E796921"/>
    <w:rsid w:val="6E87203D"/>
    <w:rsid w:val="6F9278BB"/>
    <w:rsid w:val="6FB7D4E3"/>
    <w:rsid w:val="6FBE0EF0"/>
    <w:rsid w:val="6FFF1C22"/>
    <w:rsid w:val="70EC5DDE"/>
    <w:rsid w:val="7135414C"/>
    <w:rsid w:val="71572F19"/>
    <w:rsid w:val="719B7427"/>
    <w:rsid w:val="71E33685"/>
    <w:rsid w:val="71F326B3"/>
    <w:rsid w:val="724A6793"/>
    <w:rsid w:val="72647B59"/>
    <w:rsid w:val="7372FC32"/>
    <w:rsid w:val="73A56E44"/>
    <w:rsid w:val="73B12A87"/>
    <w:rsid w:val="741F26FA"/>
    <w:rsid w:val="74470DF8"/>
    <w:rsid w:val="744E1D52"/>
    <w:rsid w:val="74BD60BB"/>
    <w:rsid w:val="74CF0052"/>
    <w:rsid w:val="74FA3C0D"/>
    <w:rsid w:val="751D6EAE"/>
    <w:rsid w:val="75FD1676"/>
    <w:rsid w:val="7687113B"/>
    <w:rsid w:val="76C3247D"/>
    <w:rsid w:val="76EFC8B0"/>
    <w:rsid w:val="775565D2"/>
    <w:rsid w:val="776ACBF9"/>
    <w:rsid w:val="777C6E14"/>
    <w:rsid w:val="77FF7A21"/>
    <w:rsid w:val="7951325E"/>
    <w:rsid w:val="799536BA"/>
    <w:rsid w:val="7B170752"/>
    <w:rsid w:val="7B382425"/>
    <w:rsid w:val="7B8F681B"/>
    <w:rsid w:val="7BC55225"/>
    <w:rsid w:val="7BFF9B5C"/>
    <w:rsid w:val="7C3B673F"/>
    <w:rsid w:val="7CED5089"/>
    <w:rsid w:val="7D8636B9"/>
    <w:rsid w:val="7DD96C0E"/>
    <w:rsid w:val="7E352599"/>
    <w:rsid w:val="7E474F7B"/>
    <w:rsid w:val="7E7F4A49"/>
    <w:rsid w:val="7E8F7AC1"/>
    <w:rsid w:val="7F2BE2DA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nhideWhenUsed="0" w:uiPriority="0" w:semiHidden="0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qFormat="1" w:unhideWhenUsed="0" w:uiPriority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qFormat/>
    <w:locked/>
    <w:uiPriority w:val="0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9">
    <w:name w:val="Default Paragraph Font"/>
    <w:semiHidden/>
    <w:qFormat/>
    <w:uiPriority w:val="99"/>
  </w:style>
  <w:style w:type="table" w:default="1" w:styleId="7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eastAsia="Times New Roman" w:cs="Times New Roman"/>
      <w:sz w:val="20"/>
      <w:szCs w:val="20"/>
    </w:rPr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note text"/>
    <w:basedOn w:val="1"/>
    <w:next w:val="1"/>
    <w:qFormat/>
    <w:uiPriority w:val="0"/>
    <w:pPr>
      <w:snapToGrid w:val="0"/>
      <w:jc w:val="left"/>
    </w:pPr>
    <w:rPr>
      <w:sz w:val="18"/>
      <w:szCs w:val="18"/>
    </w:rPr>
  </w:style>
  <w:style w:type="paragraph" w:styleId="4">
    <w:name w:val="Body Text"/>
    <w:basedOn w:val="1"/>
    <w:semiHidden/>
    <w:qFormat/>
    <w:uiPriority w:val="0"/>
    <w:rPr>
      <w:rFonts w:ascii="仿宋" w:hAnsi="仿宋" w:eastAsia="仿宋" w:cs="仿宋"/>
      <w:sz w:val="31"/>
      <w:szCs w:val="31"/>
      <w:lang w:val="en-US" w:eastAsia="en-US" w:bidi="ar-SA"/>
    </w:rPr>
  </w:style>
  <w:style w:type="paragraph" w:styleId="5">
    <w:name w:val="footer"/>
    <w:basedOn w:val="1"/>
    <w:link w:val="1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2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8">
    <w:name w:val="Table Grid"/>
    <w:basedOn w:val="7"/>
    <w:qFormat/>
    <w:uiPriority w:val="99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styleId="10">
    <w:name w:val="page number"/>
    <w:basedOn w:val="9"/>
    <w:qFormat/>
    <w:uiPriority w:val="99"/>
    <w:rPr>
      <w:rFonts w:cs="Times New Roman"/>
    </w:rPr>
  </w:style>
  <w:style w:type="character" w:customStyle="1" w:styleId="11">
    <w:name w:val="Footer Char"/>
    <w:basedOn w:val="9"/>
    <w:link w:val="5"/>
    <w:semiHidden/>
    <w:qFormat/>
    <w:uiPriority w:val="99"/>
    <w:rPr>
      <w:sz w:val="18"/>
      <w:szCs w:val="18"/>
    </w:rPr>
  </w:style>
  <w:style w:type="character" w:customStyle="1" w:styleId="12">
    <w:name w:val="Header Char"/>
    <w:basedOn w:val="9"/>
    <w:link w:val="6"/>
    <w:semiHidden/>
    <w:qFormat/>
    <w:uiPriority w:val="99"/>
    <w:rPr>
      <w:sz w:val="18"/>
      <w:szCs w:val="18"/>
    </w:rPr>
  </w:style>
  <w:style w:type="paragraph" w:styleId="13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table" w:customStyle="1" w:styleId="14">
    <w:name w:val="Table Normal"/>
    <w:semiHidden/>
    <w:unhideWhenUsed/>
    <w:qFormat/>
    <w:uiPriority w:val="0"/>
    <w:tblPr>
      <w:tblLayout w:type="fixed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5">
    <w:name w:val="Table Text"/>
    <w:basedOn w:val="1"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oter" Target="footer3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Pages>17</Pages>
  <Words>3979</Words>
  <Characters>4359</Characters>
  <Lines>0</Lines>
  <Paragraphs>0</Paragraphs>
  <TotalTime>0</TotalTime>
  <ScaleCrop>false</ScaleCrop>
  <LinksUpToDate>false</LinksUpToDate>
  <CharactersWithSpaces>4547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2020-06-06T01:07:00Z</dcterms:created>
  <dc:creator>Administrator</dc:creator>
  <cp:lastModifiedBy>Administrator</cp:lastModifiedBy>
  <cp:lastPrinted>2024-05-27T01:17:00Z</cp:lastPrinted>
  <dcterms:modified xsi:type="dcterms:W3CDTF">2024-05-27T02:36:59Z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2052-11.1.0.9021</vt:lpwstr>
  </property>
  <property fmtid="{D5CDD505-2E9C-101B-9397-08002B2CF9AE}" pid="3" name="KSOSaveFontToCloudKey">
    <vt:lpwstr>386772509_embed</vt:lpwstr>
  </property>
  <property fmtid="{D5CDD505-2E9C-101B-9397-08002B2CF9AE}" pid="4" name="ICV">
    <vt:lpwstr>F96CC6F13C934D6E834055B675BCA8AB_13</vt:lpwstr>
  </property>
</Properties>
</file>