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rPr>
        <w:t>附件</w:t>
      </w:r>
      <w:r>
        <w:rPr>
          <w:rFonts w:hint="eastAsia" w:ascii="仿宋_GB2312" w:hAnsi="仿宋_GB2312" w:eastAsia="仿宋_GB2312" w:cs="仿宋_GB2312"/>
          <w:spacing w:val="-4"/>
          <w:sz w:val="32"/>
          <w:szCs w:val="32"/>
          <w:lang w:val="en-US" w:eastAsia="zh-CN"/>
        </w:rPr>
        <w:t>3</w:t>
      </w:r>
    </w:p>
    <w:p>
      <w:pPr>
        <w:spacing w:line="251" w:lineRule="auto"/>
        <w:rPr>
          <w:rFonts w:ascii="Arial"/>
          <w:sz w:val="21"/>
        </w:rPr>
      </w:pPr>
    </w:p>
    <w:p>
      <w:pPr>
        <w:spacing w:line="251" w:lineRule="auto"/>
        <w:rPr>
          <w:rFonts w:ascii="Arial"/>
          <w:sz w:val="21"/>
        </w:rPr>
      </w:pPr>
    </w:p>
    <w:p>
      <w:pPr>
        <w:rPr>
          <w:rFonts w:ascii="Arial"/>
          <w:sz w:val="21"/>
        </w:rPr>
      </w:pPr>
    </w:p>
    <w:p>
      <w:pPr>
        <w:pStyle w:val="6"/>
      </w:pPr>
    </w:p>
    <w:p>
      <w:pPr>
        <w:spacing w:before="223" w:line="218" w:lineRule="auto"/>
        <w:jc w:val="center"/>
        <w:rPr>
          <w:rFonts w:hint="eastAsia" w:ascii="方正小标宋简体" w:hAnsi="方正小标宋简体" w:eastAsia="方正小标宋简体" w:cs="方正小标宋简体"/>
          <w:w w:val="90"/>
          <w:sz w:val="48"/>
          <w:szCs w:val="48"/>
        </w:rPr>
      </w:pPr>
      <w:r>
        <w:rPr>
          <w:rFonts w:hint="eastAsia" w:ascii="方正小标宋简体" w:hAnsi="方正小标宋简体" w:eastAsia="方正小标宋简体" w:cs="方正小标宋简体"/>
          <w:spacing w:val="-1"/>
          <w:w w:val="90"/>
          <w:sz w:val="48"/>
          <w:szCs w:val="48"/>
        </w:rPr>
        <w:t>2023年度</w:t>
      </w:r>
      <w:r>
        <w:rPr>
          <w:rFonts w:hint="eastAsia" w:ascii="方正小标宋简体" w:hAnsi="方正小标宋简体" w:eastAsia="方正小标宋简体" w:cs="方正小标宋简体"/>
          <w:spacing w:val="-1"/>
          <w:w w:val="90"/>
          <w:sz w:val="48"/>
          <w:szCs w:val="48"/>
          <w:lang w:val="en-US" w:eastAsia="zh-CN"/>
        </w:rPr>
        <w:t>华容县工业和信息化局</w:t>
      </w:r>
      <w:r>
        <w:rPr>
          <w:rFonts w:hint="eastAsia" w:ascii="方正小标宋简体" w:hAnsi="方正小标宋简体" w:eastAsia="方正小标宋简体" w:cs="方正小标宋简体"/>
          <w:spacing w:val="-1"/>
          <w:w w:val="90"/>
          <w:sz w:val="48"/>
          <w:szCs w:val="48"/>
        </w:rPr>
        <w:t>整体支出</w:t>
      </w:r>
    </w:p>
    <w:p>
      <w:pPr>
        <w:spacing w:before="1" w:line="183" w:lineRule="auto"/>
        <w:ind w:left="2789"/>
        <w:rPr>
          <w:rFonts w:hint="eastAsia" w:ascii="方正小标宋简体" w:hAnsi="方正小标宋简体" w:eastAsia="方正小标宋简体" w:cs="方正小标宋简体"/>
          <w:sz w:val="48"/>
          <w:szCs w:val="48"/>
        </w:rPr>
      </w:pPr>
      <w:r>
        <w:rPr>
          <w:rFonts w:hint="eastAsia" w:ascii="方正小标宋简体" w:hAnsi="方正小标宋简体" w:eastAsia="方正小标宋简体" w:cs="方正小标宋简体"/>
          <w:spacing w:val="-3"/>
          <w:sz w:val="48"/>
          <w:szCs w:val="48"/>
        </w:rPr>
        <w:t>绩效自评报告</w:t>
      </w: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pStyle w:val="6"/>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4" w:lineRule="auto"/>
        <w:rPr>
          <w:rFonts w:ascii="Arial"/>
          <w:sz w:val="21"/>
        </w:rPr>
      </w:pPr>
    </w:p>
    <w:p>
      <w:pPr>
        <w:spacing w:line="244" w:lineRule="auto"/>
        <w:rPr>
          <w:rFonts w:ascii="Arial"/>
          <w:sz w:val="21"/>
        </w:rPr>
      </w:pPr>
    </w:p>
    <w:p>
      <w:pPr>
        <w:pStyle w:val="2"/>
        <w:keepNext w:val="0"/>
        <w:keepLines w:val="0"/>
        <w:pageBreakBefore w:val="0"/>
        <w:widowControl w:val="0"/>
        <w:kinsoku/>
        <w:wordWrap/>
        <w:overflowPunct/>
        <w:topLinePunct w:val="0"/>
        <w:autoSpaceDE/>
        <w:autoSpaceDN/>
        <w:bidi w:val="0"/>
        <w:adjustRightInd/>
        <w:snapToGrid/>
        <w:spacing w:before="100" w:line="221" w:lineRule="auto"/>
        <w:ind w:firstLine="60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pacing w:val="-10"/>
          <w:sz w:val="32"/>
          <w:szCs w:val="32"/>
        </w:rPr>
        <w:t>部门（单位）名称</w:t>
      </w:r>
      <w:r>
        <w:rPr>
          <w:rFonts w:hint="eastAsia" w:ascii="仿宋_GB2312" w:hAnsi="仿宋_GB2312" w:eastAsia="仿宋_GB2312" w:cs="仿宋_GB2312"/>
          <w:spacing w:val="4"/>
          <w:sz w:val="32"/>
          <w:szCs w:val="32"/>
        </w:rPr>
        <w:t>：</w:t>
      </w:r>
      <w:r>
        <w:rPr>
          <w:rFonts w:hint="eastAsia" w:ascii="仿宋_GB2312" w:hAnsi="仿宋_GB2312" w:eastAsia="仿宋_GB2312" w:cs="仿宋_GB2312"/>
          <w:sz w:val="32"/>
          <w:szCs w:val="32"/>
          <w:u w:val="single" w:color="auto"/>
        </w:rPr>
        <w:t xml:space="preserve">    </w:t>
      </w:r>
      <w:r>
        <w:rPr>
          <w:rFonts w:hint="eastAsia" w:ascii="仿宋_GB2312" w:hAnsi="仿宋_GB2312" w:eastAsia="仿宋_GB2312" w:cs="仿宋_GB2312"/>
          <w:sz w:val="32"/>
          <w:szCs w:val="32"/>
          <w:u w:val="single" w:color="auto"/>
          <w:lang w:val="en-US" w:eastAsia="zh-CN"/>
        </w:rPr>
        <w:t xml:space="preserve">华容县工业和信息化局   </w:t>
      </w:r>
      <w:r>
        <w:rPr>
          <w:rFonts w:hint="eastAsia" w:ascii="仿宋_GB2312" w:hAnsi="仿宋_GB2312" w:eastAsia="仿宋_GB2312" w:cs="仿宋_GB2312"/>
          <w:sz w:val="32"/>
          <w:szCs w:val="32"/>
          <w:u w:val="single" w:color="auto"/>
        </w:rPr>
        <w:t xml:space="preserve"> </w:t>
      </w:r>
    </w:p>
    <w:p>
      <w:pPr>
        <w:spacing w:before="228" w:line="222" w:lineRule="auto"/>
        <w:ind w:firstLine="3952" w:firstLineChars="1300"/>
        <w:rPr>
          <w:rFonts w:hint="eastAsia" w:ascii="仿宋_GB2312" w:hAnsi="仿宋_GB2312" w:eastAsia="仿宋_GB2312" w:cs="仿宋_GB2312"/>
          <w:sz w:val="32"/>
          <w:szCs w:val="32"/>
        </w:rPr>
      </w:pPr>
      <w:bookmarkStart w:id="0" w:name="_GoBack"/>
      <w:bookmarkEnd w:id="0"/>
      <w:r>
        <w:rPr>
          <w:rFonts w:hint="eastAsia" w:ascii="仿宋_GB2312" w:hAnsi="仿宋_GB2312" w:eastAsia="仿宋_GB2312" w:cs="仿宋_GB2312"/>
          <w:spacing w:val="-8"/>
          <w:sz w:val="32"/>
          <w:szCs w:val="32"/>
          <w:lang w:val="en-US" w:eastAsia="zh-CN"/>
        </w:rPr>
        <w:t xml:space="preserve">2024 </w:t>
      </w:r>
      <w:r>
        <w:rPr>
          <w:rFonts w:hint="eastAsia" w:ascii="仿宋_GB2312" w:hAnsi="仿宋_GB2312" w:eastAsia="仿宋_GB2312" w:cs="仿宋_GB2312"/>
          <w:spacing w:val="-8"/>
          <w:sz w:val="32"/>
          <w:szCs w:val="32"/>
        </w:rPr>
        <w:t>年</w:t>
      </w:r>
      <w:r>
        <w:rPr>
          <w:rFonts w:hint="eastAsia" w:ascii="仿宋_GB2312" w:hAnsi="仿宋_GB2312" w:eastAsia="仿宋_GB2312" w:cs="仿宋_GB2312"/>
          <w:spacing w:val="21"/>
          <w:sz w:val="32"/>
          <w:szCs w:val="32"/>
        </w:rPr>
        <w:t xml:space="preserve"> </w:t>
      </w:r>
      <w:r>
        <w:rPr>
          <w:rFonts w:hint="eastAsia" w:ascii="仿宋_GB2312" w:hAnsi="仿宋_GB2312" w:eastAsia="仿宋_GB2312" w:cs="仿宋_GB2312"/>
          <w:spacing w:val="21"/>
          <w:sz w:val="32"/>
          <w:szCs w:val="32"/>
          <w:lang w:val="en-US" w:eastAsia="zh-CN"/>
        </w:rPr>
        <w:t>5</w:t>
      </w:r>
      <w:r>
        <w:rPr>
          <w:rFonts w:hint="eastAsia" w:ascii="仿宋_GB2312" w:hAnsi="仿宋_GB2312" w:eastAsia="仿宋_GB2312" w:cs="仿宋_GB2312"/>
          <w:spacing w:val="21"/>
          <w:sz w:val="32"/>
          <w:szCs w:val="32"/>
        </w:rPr>
        <w:t xml:space="preserve"> </w:t>
      </w:r>
      <w:r>
        <w:rPr>
          <w:rFonts w:hint="eastAsia" w:ascii="仿宋_GB2312" w:hAnsi="仿宋_GB2312" w:eastAsia="仿宋_GB2312" w:cs="仿宋_GB2312"/>
          <w:spacing w:val="-8"/>
          <w:sz w:val="32"/>
          <w:szCs w:val="32"/>
        </w:rPr>
        <w:t>月</w:t>
      </w:r>
      <w:r>
        <w:rPr>
          <w:rFonts w:hint="eastAsia" w:ascii="仿宋_GB2312" w:hAnsi="仿宋_GB2312" w:eastAsia="仿宋_GB2312" w:cs="仿宋_GB2312"/>
          <w:spacing w:val="43"/>
          <w:sz w:val="32"/>
          <w:szCs w:val="32"/>
          <w:lang w:val="en-US" w:eastAsia="zh-CN"/>
        </w:rPr>
        <w:t>28</w:t>
      </w:r>
      <w:r>
        <w:rPr>
          <w:rFonts w:hint="eastAsia" w:ascii="仿宋_GB2312" w:hAnsi="仿宋_GB2312" w:eastAsia="仿宋_GB2312" w:cs="仿宋_GB2312"/>
          <w:spacing w:val="-8"/>
          <w:sz w:val="32"/>
          <w:szCs w:val="32"/>
        </w:rPr>
        <w:t>日</w:t>
      </w:r>
    </w:p>
    <w:p>
      <w:pPr>
        <w:spacing w:line="335" w:lineRule="auto"/>
        <w:rPr>
          <w:rFonts w:hint="eastAsia" w:ascii="仿宋_GB2312" w:hAnsi="仿宋_GB2312" w:eastAsia="仿宋_GB2312" w:cs="仿宋_GB2312"/>
          <w:sz w:val="32"/>
          <w:szCs w:val="32"/>
        </w:rPr>
      </w:pPr>
    </w:p>
    <w:p>
      <w:pPr>
        <w:pStyle w:val="2"/>
        <w:spacing w:before="102" w:line="224" w:lineRule="auto"/>
        <w:ind w:left="3216"/>
        <w:rPr>
          <w:rFonts w:hint="eastAsia" w:ascii="仿宋_GB2312" w:hAnsi="仿宋_GB2312" w:eastAsia="仿宋_GB2312" w:cs="仿宋_GB2312"/>
          <w:sz w:val="32"/>
          <w:szCs w:val="32"/>
        </w:rPr>
      </w:pPr>
      <w:r>
        <w:rPr>
          <w:rFonts w:hint="eastAsia" w:ascii="仿宋_GB2312" w:hAnsi="仿宋_GB2312" w:eastAsia="仿宋_GB2312" w:cs="仿宋_GB2312"/>
          <w:spacing w:val="8"/>
          <w:sz w:val="32"/>
          <w:szCs w:val="32"/>
        </w:rPr>
        <w:t>（此页为封面）</w:t>
      </w:r>
    </w:p>
    <w:p>
      <w:r>
        <w:br w:type="page"/>
      </w:r>
    </w:p>
    <w:p>
      <w:pPr>
        <w:pStyle w:val="6"/>
        <w:sectPr>
          <w:footerReference r:id="rId3" w:type="default"/>
          <w:pgSz w:w="11905" w:h="16838"/>
          <w:pgMar w:top="1984" w:right="1701" w:bottom="1984" w:left="1701" w:header="850" w:footer="1587" w:gutter="0"/>
          <w:pgNumType w:fmt="numberInDash" w:start="7"/>
          <w:cols w:space="0" w:num="1"/>
          <w:rtlGutter w:val="0"/>
          <w:docGrid w:type="lines" w:linePitch="314" w:charSpace="0"/>
        </w:sectPr>
      </w:pPr>
    </w:p>
    <w:p>
      <w:pPr>
        <w:keepNext w:val="0"/>
        <w:keepLines w:val="0"/>
        <w:pageBreakBefore w:val="0"/>
        <w:widowControl w:val="0"/>
        <w:kinsoku/>
        <w:wordWrap/>
        <w:overflowPunct/>
        <w:topLinePunct w:val="0"/>
        <w:autoSpaceDE/>
        <w:autoSpaceDN/>
        <w:bidi w:val="0"/>
        <w:adjustRightInd/>
        <w:snapToGrid/>
        <w:spacing w:line="580" w:lineRule="exact"/>
        <w:ind w:left="0" w:firstLine="0" w:firstLineChars="0"/>
        <w:jc w:val="center"/>
        <w:textAlignment w:val="auto"/>
        <w:rPr>
          <w:rFonts w:hint="eastAsia" w:ascii="方正小标宋简体" w:hAnsi="方正小标宋简体" w:eastAsia="方正小标宋简体" w:cs="方正小标宋简体"/>
          <w:spacing w:val="6"/>
          <w:sz w:val="44"/>
          <w:szCs w:val="44"/>
        </w:rPr>
      </w:pPr>
    </w:p>
    <w:p>
      <w:pPr>
        <w:pStyle w:val="6"/>
        <w:rPr>
          <w:rFonts w:hint="eastAsia"/>
        </w:rPr>
      </w:pPr>
    </w:p>
    <w:p>
      <w:pPr>
        <w:keepNext w:val="0"/>
        <w:keepLines w:val="0"/>
        <w:pageBreakBefore w:val="0"/>
        <w:widowControl w:val="0"/>
        <w:kinsoku/>
        <w:wordWrap/>
        <w:overflowPunct/>
        <w:topLinePunct w:val="0"/>
        <w:autoSpaceDE/>
        <w:autoSpaceDN/>
        <w:bidi w:val="0"/>
        <w:adjustRightInd/>
        <w:snapToGrid/>
        <w:spacing w:line="580" w:lineRule="exact"/>
        <w:ind w:left="0" w:firstLine="0" w:firstLineChars="0"/>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pacing w:val="6"/>
          <w:sz w:val="44"/>
          <w:szCs w:val="44"/>
        </w:rPr>
        <w:t>2023年度</w:t>
      </w:r>
      <w:r>
        <w:rPr>
          <w:rFonts w:hint="eastAsia" w:ascii="方正小标宋简体" w:hAnsi="方正小标宋简体" w:eastAsia="方正小标宋简体" w:cs="方正小标宋简体"/>
          <w:spacing w:val="6"/>
          <w:sz w:val="44"/>
          <w:szCs w:val="44"/>
          <w:lang w:val="en-US" w:eastAsia="zh-CN"/>
        </w:rPr>
        <w:t>工业和信息化局</w:t>
      </w:r>
      <w:r>
        <w:rPr>
          <w:rFonts w:hint="eastAsia" w:ascii="方正小标宋简体" w:hAnsi="方正小标宋简体" w:eastAsia="方正小标宋简体" w:cs="方正小标宋简体"/>
          <w:spacing w:val="6"/>
          <w:sz w:val="44"/>
          <w:szCs w:val="44"/>
        </w:rPr>
        <w:t>部门整体支出</w:t>
      </w:r>
    </w:p>
    <w:p>
      <w:pPr>
        <w:keepNext w:val="0"/>
        <w:keepLines w:val="0"/>
        <w:pageBreakBefore w:val="0"/>
        <w:widowControl w:val="0"/>
        <w:kinsoku/>
        <w:wordWrap/>
        <w:overflowPunct/>
        <w:topLinePunct w:val="0"/>
        <w:autoSpaceDE/>
        <w:autoSpaceDN/>
        <w:bidi w:val="0"/>
        <w:adjustRightInd/>
        <w:snapToGrid/>
        <w:spacing w:line="580" w:lineRule="exact"/>
        <w:ind w:left="0" w:firstLine="0" w:firstLineChars="0"/>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pacing w:val="7"/>
          <w:sz w:val="44"/>
          <w:szCs w:val="44"/>
        </w:rPr>
        <w:t>绩效自评报告</w:t>
      </w:r>
    </w:p>
    <w:p>
      <w:pPr>
        <w:spacing w:line="283" w:lineRule="auto"/>
        <w:rPr>
          <w:rFonts w:ascii="Arial"/>
          <w:sz w:val="21"/>
        </w:rPr>
      </w:pPr>
    </w:p>
    <w:p>
      <w:pPr>
        <w:spacing w:line="284" w:lineRule="auto"/>
        <w:rPr>
          <w:rFonts w:ascii="Arial"/>
          <w:sz w:val="21"/>
        </w:rPr>
      </w:pPr>
    </w:p>
    <w:p>
      <w:pPr>
        <w:pStyle w:val="6"/>
      </w:pPr>
    </w:p>
    <w:p>
      <w:pPr>
        <w:numPr>
          <w:ilvl w:val="0"/>
          <w:numId w:val="1"/>
        </w:numPr>
        <w:spacing w:before="101" w:line="228" w:lineRule="auto"/>
        <w:ind w:left="648"/>
        <w:rPr>
          <w:rFonts w:hint="eastAsia" w:ascii="黑体" w:hAnsi="黑体" w:eastAsia="黑体" w:cs="黑体"/>
          <w:spacing w:val="5"/>
          <w:sz w:val="32"/>
          <w:szCs w:val="32"/>
        </w:rPr>
      </w:pPr>
      <w:r>
        <w:rPr>
          <w:rFonts w:hint="eastAsia" w:ascii="黑体" w:hAnsi="黑体" w:eastAsia="黑体" w:cs="黑体"/>
          <w:spacing w:val="5"/>
          <w:sz w:val="32"/>
          <w:szCs w:val="32"/>
        </w:rPr>
        <w:t>部门基本情况</w:t>
      </w:r>
    </w:p>
    <w:p>
      <w:pPr>
        <w:keepNext w:val="0"/>
        <w:keepLines w:val="0"/>
        <w:pageBreakBefore w:val="0"/>
        <w:widowControl/>
        <w:kinsoku/>
        <w:wordWrap/>
        <w:overflowPunct/>
        <w:topLinePunct w:val="0"/>
        <w:autoSpaceDE/>
        <w:autoSpaceDN/>
        <w:bidi w:val="0"/>
        <w:adjustRightInd/>
        <w:snapToGrid/>
        <w:spacing w:line="610" w:lineRule="exact"/>
        <w:ind w:firstLine="643" w:firstLineChars="200"/>
        <w:jc w:val="both"/>
        <w:textAlignment w:val="auto"/>
        <w:rPr>
          <w:rFonts w:hint="eastAsia" w:ascii="Times New Roman" w:hAnsi="Times New Roman" w:eastAsia="仿宋_GB2312" w:cs="Times New Roman"/>
          <w:b/>
          <w:bCs/>
          <w:sz w:val="32"/>
          <w:szCs w:val="32"/>
          <w:lang w:eastAsia="zh-CN"/>
        </w:rPr>
      </w:pPr>
      <w:r>
        <w:rPr>
          <w:rFonts w:hint="eastAsia" w:ascii="Times New Roman" w:hAnsi="Times New Roman" w:eastAsia="仿宋_GB2312" w:cs="Times New Roman"/>
          <w:b/>
          <w:bCs/>
          <w:sz w:val="32"/>
          <w:szCs w:val="32"/>
        </w:rPr>
        <w:t>（一）单位基本</w:t>
      </w:r>
      <w:r>
        <w:rPr>
          <w:rFonts w:hint="eastAsia" w:ascii="Times New Roman" w:hAnsi="Times New Roman" w:eastAsia="仿宋_GB2312" w:cs="Times New Roman"/>
          <w:b/>
          <w:bCs/>
          <w:sz w:val="32"/>
          <w:szCs w:val="32"/>
          <w:lang w:val="en-US" w:eastAsia="zh-CN"/>
        </w:rPr>
        <w:t>情况</w:t>
      </w:r>
    </w:p>
    <w:p>
      <w:pPr>
        <w:keepNext w:val="0"/>
        <w:keepLines w:val="0"/>
        <w:pageBreakBefore w:val="0"/>
        <w:widowControl/>
        <w:kinsoku/>
        <w:wordWrap/>
        <w:overflowPunct/>
        <w:topLinePunct w:val="0"/>
        <w:autoSpaceDE/>
        <w:autoSpaceDN/>
        <w:bidi w:val="0"/>
        <w:adjustRightInd/>
        <w:snapToGrid/>
        <w:spacing w:line="610" w:lineRule="exact"/>
        <w:ind w:firstLine="640" w:firstLineChars="200"/>
        <w:jc w:val="both"/>
        <w:textAlignment w:val="auto"/>
        <w:rPr>
          <w:rFonts w:hint="eastAsia" w:ascii="Times New Roman" w:hAnsi="Times New Roman" w:eastAsia="仿宋_GB2312" w:cs="Times New Roman"/>
          <w:sz w:val="32"/>
          <w:szCs w:val="32"/>
          <w:lang w:eastAsia="zh-CN"/>
        </w:rPr>
      </w:pPr>
      <w:r>
        <w:rPr>
          <w:rFonts w:hint="eastAsia" w:ascii="Times New Roman" w:hAnsi="Times New Roman" w:eastAsia="仿宋_GB2312" w:cs="Times New Roman"/>
          <w:sz w:val="32"/>
          <w:szCs w:val="32"/>
        </w:rPr>
        <w:t>华容县工业和信息化局系财政全额预算拨款单位。202</w:t>
      </w:r>
      <w:r>
        <w:rPr>
          <w:rFonts w:hint="eastAsia" w:eastAsia="仿宋_GB2312" w:cs="Times New Roman"/>
          <w:sz w:val="32"/>
          <w:szCs w:val="32"/>
          <w:lang w:val="en-US" w:eastAsia="zh-CN"/>
        </w:rPr>
        <w:t>3</w:t>
      </w:r>
      <w:r>
        <w:rPr>
          <w:rFonts w:hint="eastAsia" w:ascii="Times New Roman" w:hAnsi="Times New Roman" w:eastAsia="仿宋_GB2312" w:cs="Times New Roman"/>
          <w:sz w:val="32"/>
          <w:szCs w:val="32"/>
        </w:rPr>
        <w:t>年编制部门核实人员编制27人，在编人数为</w:t>
      </w:r>
      <w:r>
        <w:rPr>
          <w:rFonts w:hint="eastAsia" w:eastAsia="仿宋_GB2312" w:cs="Times New Roman"/>
          <w:sz w:val="32"/>
          <w:szCs w:val="32"/>
          <w:lang w:val="en-US" w:eastAsia="zh-CN"/>
        </w:rPr>
        <w:t>25</w:t>
      </w:r>
      <w:r>
        <w:rPr>
          <w:rFonts w:hint="eastAsia" w:ascii="Times New Roman" w:hAnsi="Times New Roman" w:eastAsia="仿宋_GB2312" w:cs="Times New Roman"/>
          <w:sz w:val="32"/>
          <w:szCs w:val="32"/>
        </w:rPr>
        <w:t>人，其中行政编制11人</w:t>
      </w:r>
      <w:r>
        <w:rPr>
          <w:rFonts w:hint="eastAsia" w:ascii="Times New Roman" w:hAnsi="Times New Roman" w:eastAsia="仿宋_GB2312" w:cs="Times New Roman"/>
          <w:sz w:val="32"/>
          <w:szCs w:val="32"/>
          <w:lang w:eastAsia="zh-CN"/>
        </w:rPr>
        <w:t>、</w:t>
      </w:r>
      <w:r>
        <w:rPr>
          <w:rFonts w:hint="eastAsia" w:ascii="Times New Roman" w:hAnsi="Times New Roman" w:eastAsia="仿宋_GB2312" w:cs="Times New Roman"/>
          <w:sz w:val="32"/>
          <w:szCs w:val="32"/>
        </w:rPr>
        <w:t>实有</w:t>
      </w:r>
      <w:r>
        <w:rPr>
          <w:rFonts w:hint="eastAsia" w:eastAsia="仿宋_GB2312" w:cs="Times New Roman"/>
          <w:sz w:val="32"/>
          <w:szCs w:val="32"/>
          <w:lang w:val="en-US" w:eastAsia="zh-CN"/>
        </w:rPr>
        <w:t>8</w:t>
      </w:r>
      <w:r>
        <w:rPr>
          <w:rFonts w:hint="eastAsia" w:ascii="Times New Roman" w:hAnsi="Times New Roman" w:eastAsia="仿宋_GB2312" w:cs="Times New Roman"/>
          <w:sz w:val="32"/>
          <w:szCs w:val="32"/>
        </w:rPr>
        <w:t>人，机关后勤服务事业编制1人</w:t>
      </w:r>
      <w:r>
        <w:rPr>
          <w:rFonts w:hint="eastAsia" w:ascii="Times New Roman" w:hAnsi="Times New Roman" w:eastAsia="仿宋_GB2312" w:cs="Times New Roman"/>
          <w:sz w:val="32"/>
          <w:szCs w:val="32"/>
          <w:lang w:eastAsia="zh-CN"/>
        </w:rPr>
        <w:t>、</w:t>
      </w:r>
      <w:r>
        <w:rPr>
          <w:rFonts w:hint="eastAsia" w:ascii="Times New Roman" w:hAnsi="Times New Roman" w:eastAsia="仿宋_GB2312" w:cs="Times New Roman"/>
          <w:sz w:val="32"/>
          <w:szCs w:val="32"/>
        </w:rPr>
        <w:t>实有</w:t>
      </w:r>
      <w:r>
        <w:rPr>
          <w:rFonts w:hint="eastAsia" w:eastAsia="仿宋_GB2312" w:cs="Times New Roman"/>
          <w:sz w:val="32"/>
          <w:szCs w:val="32"/>
          <w:lang w:val="en-US" w:eastAsia="zh-CN"/>
        </w:rPr>
        <w:t>2</w:t>
      </w:r>
      <w:r>
        <w:rPr>
          <w:rFonts w:hint="eastAsia" w:ascii="Times New Roman" w:hAnsi="Times New Roman" w:eastAsia="仿宋_GB2312" w:cs="Times New Roman"/>
          <w:sz w:val="32"/>
          <w:szCs w:val="32"/>
        </w:rPr>
        <w:t>人，</w:t>
      </w:r>
      <w:r>
        <w:rPr>
          <w:rFonts w:hint="eastAsia" w:ascii="Times New Roman" w:hAnsi="Times New Roman" w:eastAsia="仿宋_GB2312" w:cs="Times New Roman"/>
          <w:sz w:val="32"/>
          <w:szCs w:val="32"/>
          <w:lang w:val="en-US" w:eastAsia="zh-CN"/>
        </w:rPr>
        <w:t>县中小企业服务中心全额拨款</w:t>
      </w:r>
      <w:r>
        <w:rPr>
          <w:rFonts w:hint="eastAsia" w:ascii="Times New Roman" w:hAnsi="Times New Roman" w:eastAsia="仿宋_GB2312" w:cs="Times New Roman"/>
          <w:sz w:val="32"/>
          <w:szCs w:val="32"/>
        </w:rPr>
        <w:t>事业编制15人</w:t>
      </w:r>
      <w:r>
        <w:rPr>
          <w:rFonts w:hint="eastAsia" w:ascii="Times New Roman" w:hAnsi="Times New Roman" w:eastAsia="仿宋_GB2312" w:cs="Times New Roman"/>
          <w:sz w:val="32"/>
          <w:szCs w:val="32"/>
          <w:lang w:eastAsia="zh-CN"/>
        </w:rPr>
        <w:t>、</w:t>
      </w:r>
      <w:r>
        <w:rPr>
          <w:rFonts w:hint="eastAsia" w:ascii="Times New Roman" w:hAnsi="Times New Roman" w:eastAsia="仿宋_GB2312" w:cs="Times New Roman"/>
          <w:sz w:val="32"/>
          <w:szCs w:val="32"/>
        </w:rPr>
        <w:t>实有1</w:t>
      </w:r>
      <w:r>
        <w:rPr>
          <w:rFonts w:hint="eastAsia" w:eastAsia="仿宋_GB2312" w:cs="Times New Roman"/>
          <w:sz w:val="32"/>
          <w:szCs w:val="32"/>
          <w:lang w:val="en-US" w:eastAsia="zh-CN"/>
        </w:rPr>
        <w:t>5</w:t>
      </w:r>
      <w:r>
        <w:rPr>
          <w:rFonts w:hint="eastAsia" w:ascii="Times New Roman" w:hAnsi="Times New Roman" w:eastAsia="仿宋_GB2312" w:cs="Times New Roman"/>
          <w:sz w:val="32"/>
          <w:szCs w:val="32"/>
        </w:rPr>
        <w:t>人</w:t>
      </w:r>
      <w:r>
        <w:rPr>
          <w:rFonts w:hint="eastAsia" w:ascii="Times New Roman" w:hAnsi="Times New Roman" w:eastAsia="仿宋_GB2312" w:cs="Times New Roman"/>
          <w:sz w:val="32"/>
          <w:szCs w:val="32"/>
          <w:lang w:eastAsia="zh-CN"/>
        </w:rPr>
        <w:t>。</w:t>
      </w:r>
    </w:p>
    <w:p>
      <w:pPr>
        <w:keepNext w:val="0"/>
        <w:keepLines w:val="0"/>
        <w:pageBreakBefore w:val="0"/>
        <w:widowControl/>
        <w:kinsoku/>
        <w:wordWrap/>
        <w:overflowPunct/>
        <w:topLinePunct w:val="0"/>
        <w:autoSpaceDE/>
        <w:autoSpaceDN/>
        <w:bidi w:val="0"/>
        <w:adjustRightInd/>
        <w:snapToGrid/>
        <w:spacing w:line="610" w:lineRule="exact"/>
        <w:ind w:firstLine="643" w:firstLineChars="200"/>
        <w:jc w:val="both"/>
        <w:textAlignment w:val="auto"/>
        <w:rPr>
          <w:rFonts w:hint="eastAsia" w:ascii="Times New Roman" w:hAnsi="Times New Roman" w:eastAsia="仿宋_GB2312" w:cs="Times New Roman"/>
          <w:b/>
          <w:bCs/>
          <w:sz w:val="32"/>
          <w:szCs w:val="32"/>
        </w:rPr>
      </w:pPr>
      <w:r>
        <w:rPr>
          <w:rFonts w:hint="eastAsia" w:ascii="Times New Roman" w:hAnsi="Times New Roman" w:eastAsia="仿宋_GB2312" w:cs="Times New Roman"/>
          <w:b/>
          <w:bCs/>
          <w:sz w:val="32"/>
          <w:szCs w:val="32"/>
        </w:rPr>
        <w:t>（二）部门主要职能</w:t>
      </w:r>
    </w:p>
    <w:p>
      <w:pPr>
        <w:keepNext w:val="0"/>
        <w:keepLines w:val="0"/>
        <w:pageBreakBefore w:val="0"/>
        <w:widowControl/>
        <w:kinsoku/>
        <w:wordWrap/>
        <w:overflowPunct/>
        <w:topLinePunct w:val="0"/>
        <w:autoSpaceDE/>
        <w:autoSpaceDN/>
        <w:bidi w:val="0"/>
        <w:adjustRightInd/>
        <w:snapToGrid/>
        <w:spacing w:line="610" w:lineRule="exact"/>
        <w:ind w:firstLine="640" w:firstLineChars="200"/>
        <w:jc w:val="both"/>
        <w:textAlignment w:val="auto"/>
        <w:rPr>
          <w:rFonts w:hint="eastAsia" w:ascii="Times New Roman" w:hAnsi="Times New Roman" w:eastAsia="仿宋_GB2312" w:cs="Times New Roman"/>
          <w:sz w:val="32"/>
          <w:szCs w:val="32"/>
          <w:lang w:val="en-US" w:eastAsia="zh-CN"/>
        </w:rPr>
      </w:pPr>
      <w:r>
        <w:rPr>
          <w:rFonts w:hint="eastAsia" w:ascii="Times New Roman" w:hAnsi="Times New Roman" w:eastAsia="仿宋_GB2312" w:cs="Times New Roman"/>
          <w:sz w:val="32"/>
          <w:szCs w:val="32"/>
          <w:lang w:val="en-US" w:eastAsia="zh-CN"/>
        </w:rPr>
        <w:t>1、负责全县工业经济的日常运行调节，编制并组织实施近期工业经济运行调控目标、政策和措施；监测分析近期工业经济运行态势并发布相关信息，进行预测预警和信息引导，统筹协调解决经济运行中的突出矛盾和问题并提出政策建议。</w:t>
      </w:r>
    </w:p>
    <w:p>
      <w:pPr>
        <w:keepNext w:val="0"/>
        <w:keepLines w:val="0"/>
        <w:pageBreakBefore w:val="0"/>
        <w:widowControl/>
        <w:kinsoku/>
        <w:wordWrap/>
        <w:overflowPunct/>
        <w:topLinePunct w:val="0"/>
        <w:autoSpaceDE/>
        <w:autoSpaceDN/>
        <w:bidi w:val="0"/>
        <w:adjustRightInd/>
        <w:snapToGrid/>
        <w:spacing w:line="610" w:lineRule="exact"/>
        <w:ind w:firstLine="640" w:firstLineChars="200"/>
        <w:jc w:val="both"/>
        <w:textAlignment w:val="auto"/>
        <w:rPr>
          <w:rFonts w:hint="eastAsia" w:ascii="Times New Roman" w:hAnsi="Times New Roman" w:eastAsia="仿宋_GB2312" w:cs="Times New Roman"/>
          <w:sz w:val="32"/>
          <w:szCs w:val="32"/>
          <w:lang w:val="en-US" w:eastAsia="zh-CN"/>
        </w:rPr>
      </w:pPr>
      <w:r>
        <w:rPr>
          <w:rFonts w:hint="eastAsia" w:ascii="Times New Roman" w:hAnsi="Times New Roman" w:eastAsia="仿宋_GB2312" w:cs="Times New Roman"/>
          <w:sz w:val="32"/>
          <w:szCs w:val="32"/>
          <w:lang w:val="en-US" w:eastAsia="zh-CN"/>
        </w:rPr>
        <w:t>2、拟订并组织实施工业和信息化的发展专项规划及产业政策；贯彻落实国家、省、市、县有关经济和信息化的方针政策和法律法规；拟订工业和信息化领域的地方配套政策措施，并监督检查执行情况；研究提出推进产业结构调整、工业与相关产业融合发展及管理创新的政策建议；指导工业和信息化领域加强安全生产、质量管理和应急管理工作。</w:t>
      </w:r>
    </w:p>
    <w:p>
      <w:pPr>
        <w:keepNext w:val="0"/>
        <w:keepLines w:val="0"/>
        <w:pageBreakBefore w:val="0"/>
        <w:widowControl/>
        <w:kinsoku/>
        <w:wordWrap/>
        <w:overflowPunct/>
        <w:topLinePunct w:val="0"/>
        <w:autoSpaceDE/>
        <w:autoSpaceDN/>
        <w:bidi w:val="0"/>
        <w:adjustRightInd/>
        <w:snapToGrid/>
        <w:spacing w:line="610" w:lineRule="exact"/>
        <w:ind w:firstLine="640" w:firstLineChars="200"/>
        <w:jc w:val="both"/>
        <w:textAlignment w:val="auto"/>
        <w:rPr>
          <w:rFonts w:hint="eastAsia" w:ascii="Times New Roman" w:hAnsi="Times New Roman" w:eastAsia="仿宋_GB2312" w:cs="Times New Roman"/>
          <w:sz w:val="32"/>
          <w:szCs w:val="32"/>
          <w:lang w:val="en-US" w:eastAsia="zh-CN"/>
        </w:rPr>
      </w:pPr>
      <w:r>
        <w:rPr>
          <w:rFonts w:hint="eastAsia" w:ascii="Times New Roman" w:hAnsi="Times New Roman" w:eastAsia="仿宋_GB2312" w:cs="Times New Roman"/>
          <w:sz w:val="32"/>
          <w:szCs w:val="32"/>
          <w:lang w:val="en-US" w:eastAsia="zh-CN"/>
        </w:rPr>
        <w:t>3、拟订全县新型工业化的发展战略、规划和相关政策措施并组织实施；负责组织协调全县培育发展战略性新兴产业和工业新兴优势产业链发展工作；综合管理全县工业经济，指导、协调和服务工业企业；推进信息化和工业化融合，推进高新技术与传统工业改造结合；推进全县国民经济和社会信息化。</w:t>
      </w:r>
    </w:p>
    <w:p>
      <w:pPr>
        <w:keepNext w:val="0"/>
        <w:keepLines w:val="0"/>
        <w:pageBreakBefore w:val="0"/>
        <w:widowControl/>
        <w:kinsoku/>
        <w:wordWrap/>
        <w:overflowPunct/>
        <w:topLinePunct w:val="0"/>
        <w:autoSpaceDE/>
        <w:autoSpaceDN/>
        <w:bidi w:val="0"/>
        <w:adjustRightInd/>
        <w:snapToGrid/>
        <w:spacing w:line="610" w:lineRule="exact"/>
        <w:ind w:firstLine="640" w:firstLineChars="200"/>
        <w:jc w:val="both"/>
        <w:textAlignment w:val="auto"/>
        <w:rPr>
          <w:rFonts w:hint="eastAsia" w:ascii="Times New Roman" w:hAnsi="Times New Roman" w:eastAsia="仿宋_GB2312" w:cs="Times New Roman"/>
          <w:sz w:val="32"/>
          <w:szCs w:val="32"/>
          <w:lang w:val="en-US" w:eastAsia="zh-CN"/>
        </w:rPr>
      </w:pPr>
      <w:r>
        <w:rPr>
          <w:rFonts w:hint="eastAsia" w:ascii="Times New Roman" w:hAnsi="Times New Roman" w:eastAsia="仿宋_GB2312" w:cs="Times New Roman"/>
          <w:sz w:val="32"/>
          <w:szCs w:val="32"/>
          <w:lang w:val="en-US" w:eastAsia="zh-CN"/>
        </w:rPr>
        <w:t>4、负责工业和信息化领域的国防动员有关工作；指导工业和信息化领域技术进步、技术创新；推进工业行业体制改革和管理创新，推进产学研结合和科研成果产业化；编制和组织实施技术改造规划，提出工业和信息化固定资产投资规模和方向；负责工业领域招商引资工作，抓好重大工业项目的督查与协调。</w:t>
      </w:r>
    </w:p>
    <w:p>
      <w:pPr>
        <w:keepNext w:val="0"/>
        <w:keepLines w:val="0"/>
        <w:pageBreakBefore w:val="0"/>
        <w:widowControl/>
        <w:kinsoku/>
        <w:wordWrap/>
        <w:overflowPunct/>
        <w:topLinePunct w:val="0"/>
        <w:autoSpaceDE/>
        <w:autoSpaceDN/>
        <w:bidi w:val="0"/>
        <w:adjustRightInd/>
        <w:snapToGrid/>
        <w:spacing w:line="610" w:lineRule="exact"/>
        <w:ind w:firstLine="640" w:firstLineChars="200"/>
        <w:jc w:val="both"/>
        <w:textAlignment w:val="auto"/>
        <w:rPr>
          <w:rFonts w:hint="eastAsia" w:ascii="Times New Roman" w:hAnsi="Times New Roman" w:eastAsia="仿宋_GB2312" w:cs="Times New Roman"/>
          <w:sz w:val="32"/>
          <w:szCs w:val="32"/>
          <w:lang w:val="en-US" w:eastAsia="zh-CN"/>
        </w:rPr>
      </w:pPr>
      <w:r>
        <w:rPr>
          <w:rFonts w:hint="eastAsia" w:ascii="Times New Roman" w:hAnsi="Times New Roman" w:eastAsia="仿宋_GB2312" w:cs="Times New Roman"/>
          <w:sz w:val="32"/>
          <w:szCs w:val="32"/>
          <w:lang w:val="en-US" w:eastAsia="zh-CN"/>
        </w:rPr>
        <w:t>5、贯彻落实《中华人民共和国中小企业促进法》，负责中小企业和非公有制经济发展的宏观指导；制订全县中小企业和非公有制经济中长期发展规划并组织实施；推进中小企业服务体系建设和全民创业；综合协调有关部门拟订促进中小企业和非公有制经济发展的改革措施，协调解决有关重大问题。</w:t>
      </w:r>
    </w:p>
    <w:p>
      <w:pPr>
        <w:keepNext w:val="0"/>
        <w:keepLines w:val="0"/>
        <w:pageBreakBefore w:val="0"/>
        <w:widowControl/>
        <w:kinsoku/>
        <w:wordWrap/>
        <w:overflowPunct/>
        <w:topLinePunct w:val="0"/>
        <w:autoSpaceDE/>
        <w:autoSpaceDN/>
        <w:bidi w:val="0"/>
        <w:adjustRightInd/>
        <w:snapToGrid/>
        <w:spacing w:line="610" w:lineRule="exact"/>
        <w:ind w:firstLine="640" w:firstLineChars="200"/>
        <w:jc w:val="both"/>
        <w:textAlignment w:val="auto"/>
        <w:rPr>
          <w:rFonts w:hint="eastAsia" w:ascii="Times New Roman" w:hAnsi="Times New Roman" w:eastAsia="仿宋_GB2312" w:cs="Times New Roman"/>
          <w:sz w:val="32"/>
          <w:szCs w:val="32"/>
          <w:lang w:val="en-US" w:eastAsia="zh-CN"/>
        </w:rPr>
      </w:pPr>
      <w:r>
        <w:rPr>
          <w:rFonts w:hint="eastAsia" w:ascii="Times New Roman" w:hAnsi="Times New Roman" w:eastAsia="仿宋_GB2312" w:cs="Times New Roman"/>
          <w:sz w:val="32"/>
          <w:szCs w:val="32"/>
          <w:lang w:val="en-US" w:eastAsia="zh-CN"/>
        </w:rPr>
        <w:t>6、负责工业节能工作，参与拟订能源节约和资源综合利用规划；承担工业企业的节能考核和监察工作；组织推进清洁生产工作；组织协调相关重大示范工程和相关新产品、新技术、新设备、新材料的推广应用；负责电力行政管理工作。</w:t>
      </w:r>
    </w:p>
    <w:p>
      <w:pPr>
        <w:keepNext w:val="0"/>
        <w:keepLines w:val="0"/>
        <w:pageBreakBefore w:val="0"/>
        <w:widowControl/>
        <w:kinsoku/>
        <w:wordWrap/>
        <w:overflowPunct/>
        <w:topLinePunct w:val="0"/>
        <w:autoSpaceDE/>
        <w:autoSpaceDN/>
        <w:bidi w:val="0"/>
        <w:adjustRightInd/>
        <w:snapToGrid/>
        <w:spacing w:line="610" w:lineRule="exact"/>
        <w:ind w:firstLine="640" w:firstLineChars="200"/>
        <w:jc w:val="both"/>
        <w:textAlignment w:val="auto"/>
        <w:rPr>
          <w:rFonts w:hint="eastAsia" w:ascii="Times New Roman" w:hAnsi="Times New Roman" w:eastAsia="仿宋_GB2312" w:cs="Times New Roman"/>
          <w:sz w:val="32"/>
          <w:szCs w:val="32"/>
          <w:lang w:val="en-US" w:eastAsia="zh-CN"/>
        </w:rPr>
      </w:pPr>
      <w:r>
        <w:rPr>
          <w:rFonts w:hint="eastAsia" w:ascii="Times New Roman" w:hAnsi="Times New Roman" w:eastAsia="仿宋_GB2312" w:cs="Times New Roman"/>
          <w:sz w:val="32"/>
          <w:szCs w:val="32"/>
          <w:lang w:val="en-US" w:eastAsia="zh-CN"/>
        </w:rPr>
        <w:t>7、对涉及工业和信息化领域相关法律法规的执行情况进行监督检查；协调减轻企业负担工作。</w:t>
      </w:r>
    </w:p>
    <w:p>
      <w:pPr>
        <w:keepNext w:val="0"/>
        <w:keepLines w:val="0"/>
        <w:pageBreakBefore w:val="0"/>
        <w:widowControl/>
        <w:kinsoku/>
        <w:wordWrap/>
        <w:overflowPunct/>
        <w:topLinePunct w:val="0"/>
        <w:autoSpaceDE/>
        <w:autoSpaceDN/>
        <w:bidi w:val="0"/>
        <w:adjustRightInd/>
        <w:snapToGrid/>
        <w:spacing w:line="610" w:lineRule="exact"/>
        <w:ind w:firstLine="640" w:firstLineChars="200"/>
        <w:jc w:val="both"/>
        <w:textAlignment w:val="auto"/>
        <w:rPr>
          <w:rFonts w:hint="eastAsia" w:ascii="Times New Roman" w:hAnsi="Times New Roman" w:eastAsia="仿宋_GB2312" w:cs="Times New Roman"/>
          <w:sz w:val="32"/>
          <w:szCs w:val="32"/>
          <w:lang w:val="en-US" w:eastAsia="zh-CN"/>
        </w:rPr>
      </w:pPr>
      <w:r>
        <w:rPr>
          <w:rFonts w:hint="eastAsia" w:ascii="Times New Roman" w:hAnsi="Times New Roman" w:eastAsia="仿宋_GB2312" w:cs="Times New Roman"/>
          <w:sz w:val="32"/>
          <w:szCs w:val="32"/>
          <w:lang w:val="en-US" w:eastAsia="zh-CN"/>
        </w:rPr>
        <w:t>8、贯彻落实《湖南省信息化管理条例》，统筹推进经济和社会信息化工作；推动跨行业、跨部门的互联互通和重要信息资源的开发利用、共享；推进全县信息化建设；协调全县公用通信网、互联网、广播电视网和其他专用通信网的规划和建设，促进网络资源共享；依法监督管理信息服务市场。</w:t>
      </w:r>
    </w:p>
    <w:p>
      <w:pPr>
        <w:keepNext w:val="0"/>
        <w:keepLines w:val="0"/>
        <w:pageBreakBefore w:val="0"/>
        <w:widowControl/>
        <w:kinsoku/>
        <w:wordWrap/>
        <w:overflowPunct/>
        <w:topLinePunct w:val="0"/>
        <w:autoSpaceDE/>
        <w:autoSpaceDN/>
        <w:bidi w:val="0"/>
        <w:adjustRightInd/>
        <w:snapToGrid/>
        <w:spacing w:line="610" w:lineRule="exact"/>
        <w:ind w:firstLine="640" w:firstLineChars="200"/>
        <w:jc w:val="both"/>
        <w:textAlignment w:val="auto"/>
        <w:rPr>
          <w:rFonts w:hint="eastAsia" w:ascii="Times New Roman" w:hAnsi="Times New Roman" w:eastAsia="仿宋_GB2312" w:cs="Times New Roman"/>
          <w:sz w:val="32"/>
          <w:szCs w:val="32"/>
          <w:lang w:val="en-US" w:eastAsia="zh-CN"/>
        </w:rPr>
      </w:pPr>
      <w:r>
        <w:rPr>
          <w:rFonts w:hint="eastAsia" w:ascii="Times New Roman" w:hAnsi="Times New Roman" w:eastAsia="仿宋_GB2312" w:cs="Times New Roman"/>
          <w:sz w:val="32"/>
          <w:szCs w:val="32"/>
          <w:lang w:val="en-US" w:eastAsia="zh-CN"/>
        </w:rPr>
        <w:t>9、拟订全县信息化安全发展战略、规划，指导、协调信息安全保障体系建设；指导监督政府部门、重点行业重要信息系统与基础信息网络的安全保障工作；协助处理网络与信息安全的重大事件。</w:t>
      </w:r>
    </w:p>
    <w:p>
      <w:pPr>
        <w:keepNext w:val="0"/>
        <w:keepLines w:val="0"/>
        <w:pageBreakBefore w:val="0"/>
        <w:widowControl/>
        <w:kinsoku/>
        <w:wordWrap/>
        <w:overflowPunct/>
        <w:topLinePunct w:val="0"/>
        <w:autoSpaceDE/>
        <w:autoSpaceDN/>
        <w:bidi w:val="0"/>
        <w:adjustRightInd/>
        <w:snapToGrid/>
        <w:spacing w:line="610" w:lineRule="exact"/>
        <w:ind w:firstLine="640" w:firstLineChars="200"/>
        <w:jc w:val="both"/>
        <w:textAlignment w:val="auto"/>
        <w:rPr>
          <w:rFonts w:hint="eastAsia" w:ascii="Times New Roman" w:hAnsi="Times New Roman" w:eastAsia="仿宋_GB2312" w:cs="Times New Roman"/>
          <w:sz w:val="32"/>
          <w:szCs w:val="32"/>
          <w:lang w:val="en-US" w:eastAsia="zh-CN"/>
        </w:rPr>
      </w:pPr>
      <w:r>
        <w:rPr>
          <w:rFonts w:hint="eastAsia" w:ascii="Times New Roman" w:hAnsi="Times New Roman" w:eastAsia="仿宋_GB2312" w:cs="Times New Roman"/>
          <w:sz w:val="32"/>
          <w:szCs w:val="32"/>
          <w:lang w:val="en-US" w:eastAsia="zh-CN"/>
        </w:rPr>
        <w:t>10、综合协调工业经济运行中与铁路、公路、水运、管道运输及电力、通信（含邮政）有关的重大问题；负责经济运行保障要素的综合协调工作；指导生产企业物流外包，促进企业内部物流社会化。</w:t>
      </w:r>
    </w:p>
    <w:p>
      <w:pPr>
        <w:keepNext w:val="0"/>
        <w:keepLines w:val="0"/>
        <w:pageBreakBefore w:val="0"/>
        <w:widowControl/>
        <w:kinsoku/>
        <w:wordWrap/>
        <w:overflowPunct/>
        <w:topLinePunct w:val="0"/>
        <w:autoSpaceDE/>
        <w:autoSpaceDN/>
        <w:bidi w:val="0"/>
        <w:adjustRightInd/>
        <w:snapToGrid/>
        <w:spacing w:line="610" w:lineRule="exact"/>
        <w:ind w:firstLine="640" w:firstLineChars="200"/>
        <w:jc w:val="both"/>
        <w:textAlignment w:val="auto"/>
        <w:rPr>
          <w:rFonts w:hint="eastAsia" w:ascii="Times New Roman" w:hAnsi="Times New Roman" w:eastAsia="仿宋_GB2312" w:cs="Times New Roman"/>
          <w:sz w:val="32"/>
          <w:szCs w:val="32"/>
          <w:lang w:val="en-US" w:eastAsia="zh-CN"/>
        </w:rPr>
      </w:pPr>
      <w:r>
        <w:rPr>
          <w:rFonts w:hint="eastAsia" w:ascii="Times New Roman" w:hAnsi="Times New Roman" w:eastAsia="仿宋_GB2312" w:cs="Times New Roman"/>
          <w:sz w:val="32"/>
          <w:szCs w:val="32"/>
          <w:lang w:val="en-US" w:eastAsia="zh-CN"/>
        </w:rPr>
        <w:t>11、负责推动软件业和信息化服务业的发展，协调解决重大问题；推动软件公共服务体系建设，推进软件服务外包；指导、协调技术开发和相关产业发展。</w:t>
      </w:r>
    </w:p>
    <w:p>
      <w:pPr>
        <w:keepNext w:val="0"/>
        <w:keepLines w:val="0"/>
        <w:pageBreakBefore w:val="0"/>
        <w:widowControl/>
        <w:kinsoku/>
        <w:wordWrap/>
        <w:overflowPunct/>
        <w:topLinePunct w:val="0"/>
        <w:autoSpaceDE/>
        <w:autoSpaceDN/>
        <w:bidi w:val="0"/>
        <w:adjustRightInd/>
        <w:snapToGrid/>
        <w:spacing w:line="610" w:lineRule="exact"/>
        <w:ind w:firstLine="640" w:firstLineChars="200"/>
        <w:jc w:val="both"/>
        <w:textAlignment w:val="auto"/>
        <w:rPr>
          <w:rFonts w:hint="eastAsia" w:ascii="Times New Roman" w:hAnsi="Times New Roman" w:eastAsia="仿宋_GB2312" w:cs="Times New Roman"/>
          <w:sz w:val="32"/>
          <w:szCs w:val="32"/>
          <w:lang w:val="en-US" w:eastAsia="zh-CN"/>
        </w:rPr>
      </w:pPr>
      <w:r>
        <w:rPr>
          <w:rFonts w:hint="eastAsia" w:ascii="Times New Roman" w:hAnsi="Times New Roman" w:eastAsia="仿宋_GB2312" w:cs="Times New Roman"/>
          <w:sz w:val="32"/>
          <w:szCs w:val="32"/>
          <w:lang w:val="en-US" w:eastAsia="zh-CN"/>
        </w:rPr>
        <w:t>12、负责全县民用爆炸物品销售企业的销售许可、生产企业的安全生产许可初审有关工作和安全生产监督管理，依法查处生产、销售民用爆炸物品的违法行为；指导协调并监督检查县内武器装备科研生产单位安全生产、保密、保卫和维护稳定工作。</w:t>
      </w:r>
    </w:p>
    <w:p>
      <w:pPr>
        <w:keepNext w:val="0"/>
        <w:keepLines w:val="0"/>
        <w:pageBreakBefore w:val="0"/>
        <w:widowControl/>
        <w:kinsoku/>
        <w:wordWrap/>
        <w:overflowPunct/>
        <w:topLinePunct w:val="0"/>
        <w:autoSpaceDE/>
        <w:autoSpaceDN/>
        <w:bidi w:val="0"/>
        <w:adjustRightInd/>
        <w:snapToGrid/>
        <w:spacing w:line="610" w:lineRule="exact"/>
        <w:ind w:firstLine="640" w:firstLineChars="200"/>
        <w:jc w:val="both"/>
        <w:textAlignment w:val="auto"/>
        <w:rPr>
          <w:rFonts w:hint="eastAsia" w:ascii="Times New Roman" w:hAnsi="Times New Roman" w:eastAsia="仿宋_GB2312" w:cs="Times New Roman"/>
          <w:sz w:val="32"/>
          <w:szCs w:val="32"/>
          <w:lang w:val="en-US" w:eastAsia="zh-CN"/>
        </w:rPr>
      </w:pPr>
      <w:r>
        <w:rPr>
          <w:rFonts w:hint="eastAsia" w:ascii="Times New Roman" w:hAnsi="Times New Roman" w:eastAsia="仿宋_GB2312" w:cs="Times New Roman"/>
          <w:sz w:val="32"/>
          <w:szCs w:val="32"/>
          <w:lang w:val="en-US" w:eastAsia="zh-CN"/>
        </w:rPr>
        <w:t>13、负责国防科技工业的综合协调和管理，组织推进军民两用技术双向转移及产业化工作。</w:t>
      </w:r>
    </w:p>
    <w:p>
      <w:pPr>
        <w:keepNext w:val="0"/>
        <w:keepLines w:val="0"/>
        <w:pageBreakBefore w:val="0"/>
        <w:widowControl/>
        <w:kinsoku/>
        <w:wordWrap/>
        <w:overflowPunct/>
        <w:topLinePunct w:val="0"/>
        <w:autoSpaceDE/>
        <w:autoSpaceDN/>
        <w:bidi w:val="0"/>
        <w:adjustRightInd/>
        <w:snapToGrid/>
        <w:spacing w:line="610" w:lineRule="exact"/>
        <w:ind w:firstLine="640" w:firstLineChars="200"/>
        <w:jc w:val="both"/>
        <w:textAlignment w:val="auto"/>
        <w:rPr>
          <w:rFonts w:hint="eastAsia" w:ascii="Times New Roman" w:hAnsi="Times New Roman" w:eastAsia="仿宋_GB2312" w:cs="Times New Roman"/>
          <w:sz w:val="32"/>
          <w:szCs w:val="32"/>
          <w:lang w:val="en-US" w:eastAsia="zh-CN"/>
        </w:rPr>
      </w:pPr>
      <w:r>
        <w:rPr>
          <w:rFonts w:hint="eastAsia" w:ascii="Times New Roman" w:hAnsi="Times New Roman" w:eastAsia="仿宋_GB2312" w:cs="Times New Roman"/>
          <w:sz w:val="32"/>
          <w:szCs w:val="32"/>
          <w:lang w:val="en-US" w:eastAsia="zh-CN"/>
        </w:rPr>
        <w:t>14、指导、协调全县工业和信息化领域的对外交流与合作;指导全县工业和信息化领域人才开发与培训工作。</w:t>
      </w:r>
    </w:p>
    <w:p>
      <w:pPr>
        <w:keepNext w:val="0"/>
        <w:keepLines w:val="0"/>
        <w:pageBreakBefore w:val="0"/>
        <w:widowControl/>
        <w:kinsoku/>
        <w:wordWrap/>
        <w:overflowPunct/>
        <w:topLinePunct w:val="0"/>
        <w:autoSpaceDE/>
        <w:autoSpaceDN/>
        <w:bidi w:val="0"/>
        <w:adjustRightInd/>
        <w:snapToGrid/>
        <w:spacing w:line="610" w:lineRule="exact"/>
        <w:ind w:firstLine="640" w:firstLineChars="200"/>
        <w:jc w:val="both"/>
        <w:textAlignment w:val="auto"/>
        <w:rPr>
          <w:rFonts w:hint="eastAsia" w:ascii="Times New Roman" w:hAnsi="Times New Roman" w:eastAsia="仿宋_GB2312" w:cs="Times New Roman"/>
          <w:sz w:val="32"/>
          <w:szCs w:val="32"/>
          <w:lang w:val="en-US" w:eastAsia="zh-CN"/>
        </w:rPr>
      </w:pPr>
      <w:r>
        <w:rPr>
          <w:rFonts w:hint="eastAsia" w:ascii="Times New Roman" w:hAnsi="Times New Roman" w:eastAsia="仿宋_GB2312" w:cs="Times New Roman"/>
          <w:sz w:val="32"/>
          <w:szCs w:val="32"/>
          <w:lang w:val="en-US" w:eastAsia="zh-CN"/>
        </w:rPr>
        <w:t>15、参与全县稀土行业管理；指导、协调全县砂石骨料行业规范管理，依法监督检查县内砂石骨料企业执行规范条件情况。</w:t>
      </w:r>
    </w:p>
    <w:p>
      <w:pPr>
        <w:pStyle w:val="6"/>
        <w:numPr>
          <w:ilvl w:val="0"/>
          <w:numId w:val="0"/>
        </w:numPr>
        <w:ind w:firstLine="640" w:firstLineChars="200"/>
        <w:rPr>
          <w:rFonts w:hint="eastAsia"/>
        </w:rPr>
      </w:pPr>
      <w:r>
        <w:rPr>
          <w:rFonts w:hint="eastAsia" w:ascii="Times New Roman" w:hAnsi="Times New Roman" w:eastAsia="仿宋_GB2312" w:cs="Times New Roman"/>
          <w:sz w:val="32"/>
          <w:szCs w:val="32"/>
          <w:lang w:val="en-US" w:eastAsia="zh-CN"/>
        </w:rPr>
        <w:t>16、完成上级交办的其他任务。</w:t>
      </w:r>
    </w:p>
    <w:p>
      <w:pPr>
        <w:spacing w:before="216" w:line="226" w:lineRule="auto"/>
        <w:ind w:left="648"/>
        <w:rPr>
          <w:rFonts w:hint="eastAsia" w:ascii="黑体" w:hAnsi="黑体" w:eastAsia="黑体" w:cs="黑体"/>
          <w:sz w:val="32"/>
          <w:szCs w:val="32"/>
        </w:rPr>
      </w:pPr>
      <w:r>
        <w:rPr>
          <w:rFonts w:hint="eastAsia" w:ascii="黑体" w:hAnsi="黑体" w:eastAsia="黑体" w:cs="黑体"/>
          <w:spacing w:val="-2"/>
          <w:sz w:val="32"/>
          <w:szCs w:val="32"/>
        </w:rPr>
        <w:t>二、一般公共预算支出情况</w:t>
      </w:r>
    </w:p>
    <w:p>
      <w:pPr>
        <w:keepNext w:val="0"/>
        <w:keepLines w:val="0"/>
        <w:pageBreakBefore w:val="0"/>
        <w:widowControl w:val="0"/>
        <w:kinsoku/>
        <w:wordWrap/>
        <w:overflowPunct/>
        <w:topLinePunct w:val="0"/>
        <w:autoSpaceDE/>
        <w:autoSpaceDN/>
        <w:bidi w:val="0"/>
        <w:adjustRightInd/>
        <w:snapToGrid/>
        <w:ind w:firstLine="643" w:firstLineChars="200"/>
        <w:textAlignment w:val="auto"/>
        <w:rPr>
          <w:rFonts w:hint="eastAsia" w:ascii="楷体_GB2312" w:hAnsi="楷体_GB2312" w:eastAsia="楷体_GB2312" w:cs="楷体_GB2312"/>
          <w:b/>
          <w:bCs/>
          <w:sz w:val="32"/>
          <w:szCs w:val="32"/>
        </w:rPr>
      </w:pPr>
      <w:r>
        <w:rPr>
          <w:rFonts w:hint="eastAsia" w:ascii="楷体_GB2312" w:hAnsi="楷体_GB2312" w:eastAsia="楷体_GB2312" w:cs="楷体_GB2312"/>
          <w:b/>
          <w:bCs/>
          <w:sz w:val="32"/>
          <w:szCs w:val="32"/>
        </w:rPr>
        <w:t>（一）基本支出情况</w:t>
      </w:r>
    </w:p>
    <w:p>
      <w:pPr>
        <w:keepNext w:val="0"/>
        <w:keepLines w:val="0"/>
        <w:pageBreakBefore w:val="0"/>
        <w:widowControl/>
        <w:kinsoku/>
        <w:wordWrap/>
        <w:overflowPunct/>
        <w:topLinePunct w:val="0"/>
        <w:autoSpaceDE/>
        <w:autoSpaceDN/>
        <w:bidi w:val="0"/>
        <w:adjustRightInd/>
        <w:snapToGrid/>
        <w:spacing w:line="610" w:lineRule="exact"/>
        <w:ind w:firstLine="643" w:firstLineChars="200"/>
        <w:jc w:val="both"/>
        <w:textAlignment w:val="auto"/>
        <w:rPr>
          <w:rFonts w:hint="eastAsia" w:ascii="Times New Roman" w:hAnsi="Times New Roman" w:eastAsia="仿宋_GB2312" w:cs="Times New Roman"/>
          <w:b/>
          <w:bCs/>
          <w:sz w:val="32"/>
          <w:szCs w:val="32"/>
        </w:rPr>
      </w:pPr>
      <w:r>
        <w:rPr>
          <w:rFonts w:hint="eastAsia" w:ascii="Times New Roman" w:hAnsi="Times New Roman" w:eastAsia="仿宋_GB2312" w:cs="Times New Roman"/>
          <w:b/>
          <w:bCs/>
          <w:sz w:val="32"/>
          <w:szCs w:val="32"/>
        </w:rPr>
        <w:t>1.部门整体收支情况：</w:t>
      </w:r>
    </w:p>
    <w:p>
      <w:pPr>
        <w:keepNext w:val="0"/>
        <w:keepLines w:val="0"/>
        <w:pageBreakBefore w:val="0"/>
        <w:widowControl/>
        <w:kinsoku/>
        <w:wordWrap/>
        <w:overflowPunct/>
        <w:topLinePunct w:val="0"/>
        <w:autoSpaceDE/>
        <w:autoSpaceDN/>
        <w:bidi w:val="0"/>
        <w:adjustRightInd/>
        <w:snapToGrid/>
        <w:spacing w:line="610" w:lineRule="exact"/>
        <w:ind w:firstLine="640" w:firstLineChars="200"/>
        <w:jc w:val="both"/>
        <w:textAlignment w:val="auto"/>
        <w:rPr>
          <w:rFonts w:hint="eastAsia" w:ascii="Times New Roman" w:hAnsi="Times New Roman" w:eastAsia="仿宋_GB2312" w:cs="Times New Roman"/>
          <w:sz w:val="32"/>
          <w:szCs w:val="32"/>
          <w:lang w:val="en-US" w:eastAsia="zh-CN"/>
        </w:rPr>
      </w:pPr>
      <w:r>
        <w:rPr>
          <w:rFonts w:hint="eastAsia" w:ascii="Times New Roman" w:hAnsi="Times New Roman" w:eastAsia="仿宋_GB2312" w:cs="Times New Roman"/>
          <w:sz w:val="32"/>
          <w:szCs w:val="32"/>
          <w:lang w:val="en-US" w:eastAsia="zh-CN"/>
        </w:rPr>
        <w:t>（1）收入情况：全年总收入</w:t>
      </w:r>
      <w:r>
        <w:rPr>
          <w:rFonts w:hint="eastAsia" w:eastAsia="仿宋_GB2312" w:cs="Times New Roman"/>
          <w:sz w:val="32"/>
          <w:szCs w:val="32"/>
          <w:lang w:val="en-US" w:eastAsia="zh-CN"/>
        </w:rPr>
        <w:t>373</w:t>
      </w:r>
      <w:r>
        <w:rPr>
          <w:rFonts w:hint="eastAsia" w:ascii="Times New Roman" w:hAnsi="Times New Roman" w:eastAsia="仿宋_GB2312" w:cs="Times New Roman"/>
          <w:sz w:val="32"/>
          <w:szCs w:val="32"/>
          <w:lang w:val="en-US" w:eastAsia="zh-CN"/>
        </w:rPr>
        <w:t>万元，其中上年结转</w:t>
      </w:r>
      <w:r>
        <w:rPr>
          <w:rFonts w:hint="eastAsia" w:eastAsia="仿宋_GB2312" w:cs="Times New Roman"/>
          <w:sz w:val="32"/>
          <w:szCs w:val="32"/>
          <w:lang w:val="en-US" w:eastAsia="zh-CN"/>
        </w:rPr>
        <w:t>0</w:t>
      </w:r>
      <w:r>
        <w:rPr>
          <w:rFonts w:hint="eastAsia" w:ascii="Times New Roman" w:hAnsi="Times New Roman" w:eastAsia="仿宋_GB2312" w:cs="Times New Roman"/>
          <w:sz w:val="32"/>
          <w:szCs w:val="32"/>
          <w:lang w:val="en-US" w:eastAsia="zh-CN"/>
        </w:rPr>
        <w:t>万元，财政年初预算拨款</w:t>
      </w:r>
      <w:r>
        <w:rPr>
          <w:rFonts w:hint="eastAsia" w:eastAsia="仿宋_GB2312" w:cs="Times New Roman"/>
          <w:sz w:val="32"/>
          <w:szCs w:val="32"/>
          <w:lang w:val="en-US" w:eastAsia="zh-CN"/>
        </w:rPr>
        <w:t>373</w:t>
      </w:r>
      <w:r>
        <w:rPr>
          <w:rFonts w:hint="eastAsia" w:ascii="Times New Roman" w:hAnsi="Times New Roman" w:eastAsia="仿宋_GB2312" w:cs="Times New Roman"/>
          <w:sz w:val="32"/>
          <w:szCs w:val="32"/>
          <w:lang w:val="en-US" w:eastAsia="zh-CN"/>
        </w:rPr>
        <w:t>万元，其他收入</w:t>
      </w:r>
      <w:r>
        <w:rPr>
          <w:rFonts w:hint="eastAsia" w:eastAsia="仿宋_GB2312" w:cs="Times New Roman"/>
          <w:sz w:val="32"/>
          <w:szCs w:val="32"/>
          <w:lang w:val="en-US" w:eastAsia="zh-CN"/>
        </w:rPr>
        <w:t>0</w:t>
      </w:r>
      <w:r>
        <w:rPr>
          <w:rFonts w:hint="eastAsia" w:ascii="Times New Roman" w:hAnsi="Times New Roman" w:eastAsia="仿宋_GB2312" w:cs="Times New Roman"/>
          <w:sz w:val="32"/>
          <w:szCs w:val="32"/>
          <w:lang w:val="en-US" w:eastAsia="zh-CN"/>
        </w:rPr>
        <w:t>万元。</w:t>
      </w:r>
    </w:p>
    <w:p>
      <w:pPr>
        <w:keepNext w:val="0"/>
        <w:keepLines w:val="0"/>
        <w:pageBreakBefore w:val="0"/>
        <w:widowControl/>
        <w:kinsoku/>
        <w:wordWrap/>
        <w:overflowPunct/>
        <w:topLinePunct w:val="0"/>
        <w:autoSpaceDE/>
        <w:autoSpaceDN/>
        <w:bidi w:val="0"/>
        <w:adjustRightInd/>
        <w:snapToGrid/>
        <w:spacing w:line="610" w:lineRule="exact"/>
        <w:ind w:firstLine="640" w:firstLineChars="200"/>
        <w:jc w:val="both"/>
        <w:textAlignment w:val="auto"/>
        <w:rPr>
          <w:rFonts w:hint="eastAsia" w:ascii="Times New Roman" w:hAnsi="Times New Roman" w:eastAsia="仿宋_GB2312" w:cs="Times New Roman"/>
          <w:sz w:val="32"/>
          <w:szCs w:val="32"/>
          <w:lang w:val="en-US" w:eastAsia="zh-CN"/>
        </w:rPr>
      </w:pPr>
      <w:r>
        <w:rPr>
          <w:rFonts w:hint="eastAsia" w:ascii="Times New Roman" w:hAnsi="Times New Roman" w:eastAsia="仿宋_GB2312" w:cs="Times New Roman"/>
          <w:sz w:val="32"/>
          <w:szCs w:val="32"/>
          <w:lang w:val="en-US" w:eastAsia="zh-CN"/>
        </w:rPr>
        <w:t>（2）支出情况:全年总支出</w:t>
      </w:r>
      <w:r>
        <w:rPr>
          <w:rFonts w:hint="eastAsia" w:eastAsia="仿宋_GB2312" w:cs="Times New Roman"/>
          <w:sz w:val="32"/>
          <w:szCs w:val="32"/>
          <w:lang w:val="en-US" w:eastAsia="zh-CN"/>
        </w:rPr>
        <w:t>373</w:t>
      </w:r>
      <w:r>
        <w:rPr>
          <w:rFonts w:hint="eastAsia" w:ascii="Times New Roman" w:hAnsi="Times New Roman" w:eastAsia="仿宋_GB2312" w:cs="Times New Roman"/>
          <w:sz w:val="32"/>
          <w:szCs w:val="32"/>
          <w:lang w:val="en-US" w:eastAsia="zh-CN"/>
        </w:rPr>
        <w:t>万元，其中：工资福利支出</w:t>
      </w:r>
      <w:r>
        <w:rPr>
          <w:rFonts w:hint="eastAsia" w:eastAsia="仿宋_GB2312" w:cs="Times New Roman"/>
          <w:sz w:val="32"/>
          <w:szCs w:val="32"/>
          <w:lang w:val="en-US" w:eastAsia="zh-CN"/>
        </w:rPr>
        <w:t>295.71</w:t>
      </w:r>
      <w:r>
        <w:rPr>
          <w:rFonts w:hint="eastAsia" w:ascii="Times New Roman" w:hAnsi="Times New Roman" w:eastAsia="仿宋_GB2312" w:cs="Times New Roman"/>
          <w:sz w:val="32"/>
          <w:szCs w:val="32"/>
          <w:lang w:val="en-US" w:eastAsia="zh-CN"/>
        </w:rPr>
        <w:t>万元，商品和服务支出</w:t>
      </w:r>
      <w:r>
        <w:rPr>
          <w:rFonts w:hint="eastAsia" w:eastAsia="仿宋_GB2312" w:cs="Times New Roman"/>
          <w:sz w:val="32"/>
          <w:szCs w:val="32"/>
          <w:lang w:val="en-US" w:eastAsia="zh-CN"/>
        </w:rPr>
        <w:t>60.95</w:t>
      </w:r>
      <w:r>
        <w:rPr>
          <w:rFonts w:hint="eastAsia" w:ascii="Times New Roman" w:hAnsi="Times New Roman" w:eastAsia="仿宋_GB2312" w:cs="Times New Roman"/>
          <w:sz w:val="32"/>
          <w:szCs w:val="32"/>
          <w:lang w:val="en-US" w:eastAsia="zh-CN"/>
        </w:rPr>
        <w:t>万元，对个人和家庭补助支出</w:t>
      </w:r>
      <w:r>
        <w:rPr>
          <w:rFonts w:hint="eastAsia" w:eastAsia="仿宋_GB2312" w:cs="Times New Roman"/>
          <w:sz w:val="32"/>
          <w:szCs w:val="32"/>
          <w:lang w:val="en-US" w:eastAsia="zh-CN"/>
        </w:rPr>
        <w:t>4.64</w:t>
      </w:r>
      <w:r>
        <w:rPr>
          <w:rFonts w:hint="eastAsia" w:ascii="Times New Roman" w:hAnsi="Times New Roman" w:eastAsia="仿宋_GB2312" w:cs="Times New Roman"/>
          <w:sz w:val="32"/>
          <w:szCs w:val="32"/>
          <w:lang w:val="en-US" w:eastAsia="zh-CN"/>
        </w:rPr>
        <w:t>万元，</w:t>
      </w:r>
      <w:r>
        <w:rPr>
          <w:rFonts w:hint="eastAsia" w:eastAsia="仿宋_GB2312" w:cs="Times New Roman"/>
          <w:sz w:val="32"/>
          <w:szCs w:val="32"/>
          <w:lang w:val="en-US" w:eastAsia="zh-CN"/>
        </w:rPr>
        <w:t>其他支出11.7万元</w:t>
      </w:r>
      <w:r>
        <w:rPr>
          <w:rFonts w:hint="eastAsia" w:ascii="Times New Roman" w:hAnsi="Times New Roman" w:eastAsia="仿宋_GB2312" w:cs="Times New Roman"/>
          <w:sz w:val="32"/>
          <w:szCs w:val="32"/>
          <w:lang w:val="en-US" w:eastAsia="zh-CN"/>
        </w:rPr>
        <w:t>。</w:t>
      </w:r>
    </w:p>
    <w:p>
      <w:pPr>
        <w:spacing w:line="540" w:lineRule="exact"/>
        <w:ind w:firstLine="643" w:firstLineChars="200"/>
        <w:jc w:val="left"/>
        <w:rPr>
          <w:rFonts w:hint="eastAsia"/>
        </w:rPr>
      </w:pPr>
      <w:r>
        <w:rPr>
          <w:rFonts w:hint="eastAsia" w:ascii="Times New Roman" w:hAnsi="Times New Roman" w:eastAsia="仿宋_GB2312" w:cs="Times New Roman"/>
          <w:b/>
          <w:bCs/>
          <w:sz w:val="32"/>
          <w:szCs w:val="32"/>
        </w:rPr>
        <w:t>2.三公经费支出情况</w:t>
      </w:r>
      <w:r>
        <w:rPr>
          <w:rFonts w:hint="eastAsia" w:ascii="仿宋_GB2312" w:hAnsi="仿宋_GB2312" w:eastAsia="仿宋_GB2312" w:cs="仿宋_GB2312"/>
          <w:b/>
          <w:bCs/>
          <w:sz w:val="24"/>
        </w:rPr>
        <w:t>：</w:t>
      </w:r>
      <w:r>
        <w:rPr>
          <w:rFonts w:hint="eastAsia" w:ascii="Times New Roman" w:hAnsi="Times New Roman" w:eastAsia="仿宋_GB2312" w:cs="Times New Roman"/>
          <w:sz w:val="32"/>
          <w:szCs w:val="32"/>
          <w:lang w:val="en-US" w:eastAsia="zh-CN"/>
        </w:rPr>
        <w:t>202</w:t>
      </w:r>
      <w:r>
        <w:rPr>
          <w:rFonts w:hint="eastAsia" w:eastAsia="仿宋_GB2312" w:cs="Times New Roman"/>
          <w:sz w:val="32"/>
          <w:szCs w:val="32"/>
          <w:lang w:val="en-US" w:eastAsia="zh-CN"/>
        </w:rPr>
        <w:t>3</w:t>
      </w:r>
      <w:r>
        <w:rPr>
          <w:rFonts w:hint="eastAsia" w:ascii="Times New Roman" w:hAnsi="Times New Roman" w:eastAsia="仿宋_GB2312" w:cs="Times New Roman"/>
          <w:sz w:val="32"/>
          <w:szCs w:val="32"/>
          <w:lang w:val="en-US" w:eastAsia="zh-CN"/>
        </w:rPr>
        <w:t>年部门 “三公”经费”支出</w:t>
      </w:r>
      <w:r>
        <w:rPr>
          <w:rFonts w:hint="eastAsia" w:eastAsia="仿宋_GB2312" w:cs="Times New Roman"/>
          <w:sz w:val="32"/>
          <w:szCs w:val="32"/>
          <w:lang w:val="en-US" w:eastAsia="zh-CN"/>
        </w:rPr>
        <w:t>3</w:t>
      </w:r>
      <w:r>
        <w:rPr>
          <w:rFonts w:hint="eastAsia" w:ascii="Times New Roman" w:hAnsi="Times New Roman" w:eastAsia="仿宋_GB2312" w:cs="Times New Roman"/>
          <w:sz w:val="32"/>
          <w:szCs w:val="32"/>
          <w:lang w:val="en-US" w:eastAsia="zh-CN"/>
        </w:rPr>
        <w:t>万元。其中公务接待费</w:t>
      </w:r>
      <w:r>
        <w:rPr>
          <w:rFonts w:hint="eastAsia" w:eastAsia="仿宋_GB2312" w:cs="Times New Roman"/>
          <w:sz w:val="32"/>
          <w:szCs w:val="32"/>
          <w:lang w:val="en-US" w:eastAsia="zh-CN"/>
        </w:rPr>
        <w:t>3</w:t>
      </w:r>
      <w:r>
        <w:rPr>
          <w:rFonts w:hint="eastAsia" w:ascii="Times New Roman" w:hAnsi="Times New Roman" w:eastAsia="仿宋_GB2312" w:cs="Times New Roman"/>
          <w:sz w:val="32"/>
          <w:szCs w:val="32"/>
          <w:lang w:val="en-US" w:eastAsia="zh-CN"/>
        </w:rPr>
        <w:t>万元</w:t>
      </w:r>
      <w:r>
        <w:rPr>
          <w:rFonts w:hint="eastAsia" w:eastAsia="仿宋_GB2312" w:cs="Times New Roman"/>
          <w:sz w:val="32"/>
          <w:szCs w:val="32"/>
          <w:lang w:val="en-US" w:eastAsia="zh-CN"/>
        </w:rPr>
        <w:t>。</w:t>
      </w:r>
    </w:p>
    <w:p>
      <w:pPr>
        <w:keepNext w:val="0"/>
        <w:keepLines w:val="0"/>
        <w:pageBreakBefore w:val="0"/>
        <w:widowControl w:val="0"/>
        <w:kinsoku/>
        <w:wordWrap/>
        <w:overflowPunct/>
        <w:topLinePunct w:val="0"/>
        <w:autoSpaceDE/>
        <w:autoSpaceDN/>
        <w:bidi w:val="0"/>
        <w:adjustRightInd/>
        <w:snapToGrid/>
        <w:ind w:firstLine="643" w:firstLineChars="200"/>
        <w:textAlignment w:val="auto"/>
        <w:rPr>
          <w:rFonts w:hint="eastAsia" w:ascii="楷体_GB2312" w:hAnsi="楷体_GB2312" w:eastAsia="楷体_GB2312" w:cs="楷体_GB2312"/>
          <w:b/>
          <w:bCs/>
          <w:sz w:val="32"/>
          <w:szCs w:val="32"/>
        </w:rPr>
      </w:pPr>
      <w:r>
        <w:rPr>
          <w:rFonts w:hint="eastAsia" w:ascii="楷体_GB2312" w:hAnsi="楷体_GB2312" w:eastAsia="楷体_GB2312" w:cs="楷体_GB2312"/>
          <w:b/>
          <w:bCs/>
          <w:sz w:val="32"/>
          <w:szCs w:val="32"/>
        </w:rPr>
        <w:t>（二）项目支出情况</w:t>
      </w:r>
    </w:p>
    <w:p>
      <w:pPr>
        <w:pStyle w:val="13"/>
        <w:keepNext w:val="0"/>
        <w:keepLines w:val="0"/>
        <w:pageBreakBefore w:val="0"/>
        <w:widowControl/>
        <w:kinsoku/>
        <w:wordWrap/>
        <w:overflowPunct/>
        <w:topLinePunct w:val="0"/>
        <w:autoSpaceDE/>
        <w:autoSpaceDN/>
        <w:bidi w:val="0"/>
        <w:adjustRightInd/>
        <w:snapToGrid/>
        <w:spacing w:line="610" w:lineRule="exact"/>
        <w:jc w:val="both"/>
        <w:textAlignment w:val="auto"/>
        <w:rPr>
          <w:rFonts w:hint="default"/>
          <w:lang w:val="en-US"/>
        </w:rPr>
      </w:pPr>
      <w:r>
        <w:rPr>
          <w:rFonts w:hint="eastAsia" w:ascii="Times New Roman" w:hAnsi="Times New Roman" w:eastAsia="仿宋_GB2312" w:cs="Times New Roman"/>
          <w:kern w:val="2"/>
          <w:sz w:val="32"/>
          <w:szCs w:val="32"/>
          <w:lang w:val="en-US" w:eastAsia="zh-CN" w:bidi="ar-SA"/>
        </w:rPr>
        <w:t>2023年专项支出14万元，为事业发展资金14万元。</w:t>
      </w:r>
    </w:p>
    <w:p>
      <w:pPr>
        <w:spacing w:before="224" w:line="227" w:lineRule="auto"/>
        <w:ind w:left="649"/>
        <w:rPr>
          <w:rFonts w:hint="eastAsia" w:ascii="黑体" w:hAnsi="黑体" w:eastAsia="黑体" w:cs="黑体"/>
          <w:sz w:val="32"/>
          <w:szCs w:val="32"/>
        </w:rPr>
      </w:pPr>
      <w:r>
        <w:rPr>
          <w:rFonts w:hint="eastAsia" w:ascii="黑体" w:hAnsi="黑体" w:eastAsia="黑体" w:cs="黑体"/>
          <w:spacing w:val="8"/>
          <w:sz w:val="32"/>
          <w:szCs w:val="32"/>
        </w:rPr>
        <w:t>三、政府性基金预算支出情况</w:t>
      </w:r>
    </w:p>
    <w:p>
      <w:pPr>
        <w:spacing w:before="219" w:line="600" w:lineRule="exact"/>
        <w:ind w:left="662"/>
        <w:rPr>
          <w:rFonts w:hint="eastAsia" w:ascii="黑体" w:hAnsi="黑体" w:eastAsia="黑体" w:cs="黑体"/>
          <w:sz w:val="32"/>
          <w:szCs w:val="32"/>
        </w:rPr>
      </w:pPr>
      <w:r>
        <w:rPr>
          <w:rFonts w:hint="eastAsia" w:ascii="黑体" w:hAnsi="黑体" w:eastAsia="黑体" w:cs="黑体"/>
          <w:spacing w:val="7"/>
          <w:position w:val="21"/>
          <w:sz w:val="32"/>
          <w:szCs w:val="32"/>
        </w:rPr>
        <w:t>四、国有资本经营预算支出情况</w:t>
      </w:r>
    </w:p>
    <w:p>
      <w:pPr>
        <w:spacing w:line="227" w:lineRule="auto"/>
        <w:ind w:left="651"/>
        <w:rPr>
          <w:rFonts w:hint="eastAsia" w:ascii="黑体" w:hAnsi="黑体" w:eastAsia="黑体" w:cs="黑体"/>
          <w:sz w:val="32"/>
          <w:szCs w:val="32"/>
        </w:rPr>
      </w:pPr>
      <w:r>
        <w:rPr>
          <w:rFonts w:hint="eastAsia" w:ascii="黑体" w:hAnsi="黑体" w:eastAsia="黑体" w:cs="黑体"/>
          <w:spacing w:val="8"/>
          <w:sz w:val="32"/>
          <w:szCs w:val="32"/>
        </w:rPr>
        <w:t>五、社会保险基金预算支出情况</w:t>
      </w:r>
    </w:p>
    <w:p>
      <w:pPr>
        <w:spacing w:before="219" w:line="226" w:lineRule="auto"/>
        <w:ind w:left="653"/>
        <w:rPr>
          <w:rFonts w:hint="eastAsia" w:ascii="黑体" w:hAnsi="黑体" w:eastAsia="黑体" w:cs="黑体"/>
          <w:spacing w:val="8"/>
          <w:sz w:val="32"/>
          <w:szCs w:val="32"/>
        </w:rPr>
      </w:pPr>
      <w:r>
        <w:rPr>
          <w:rFonts w:hint="eastAsia" w:ascii="黑体" w:hAnsi="黑体" w:eastAsia="黑体" w:cs="黑体"/>
          <w:spacing w:val="8"/>
          <w:sz w:val="32"/>
          <w:szCs w:val="32"/>
        </w:rPr>
        <w:t>六、部门整体支出绩效情况</w:t>
      </w:r>
    </w:p>
    <w:p>
      <w:pPr>
        <w:pStyle w:val="13"/>
        <w:keepNext w:val="0"/>
        <w:keepLines w:val="0"/>
        <w:pageBreakBefore w:val="0"/>
        <w:widowControl/>
        <w:kinsoku/>
        <w:wordWrap/>
        <w:overflowPunct/>
        <w:topLinePunct w:val="0"/>
        <w:autoSpaceDE/>
        <w:autoSpaceDN/>
        <w:bidi w:val="0"/>
        <w:adjustRightInd/>
        <w:snapToGrid/>
        <w:spacing w:line="610" w:lineRule="exact"/>
        <w:jc w:val="both"/>
        <w:textAlignment w:val="auto"/>
        <w:rPr>
          <w:rFonts w:hint="eastAsia" w:ascii="Times New Roman" w:hAnsi="Times New Roman" w:eastAsia="仿宋_GB2312" w:cs="Times New Roman"/>
          <w:b/>
          <w:bCs/>
          <w:kern w:val="2"/>
          <w:sz w:val="32"/>
          <w:szCs w:val="32"/>
          <w:lang w:val="en-US" w:eastAsia="zh-CN" w:bidi="ar-SA"/>
        </w:rPr>
      </w:pPr>
      <w:r>
        <w:rPr>
          <w:rFonts w:hint="eastAsia" w:ascii="Times New Roman" w:hAnsi="Times New Roman" w:eastAsia="仿宋_GB2312" w:cs="Times New Roman"/>
          <w:b/>
          <w:bCs/>
          <w:kern w:val="2"/>
          <w:sz w:val="32"/>
          <w:szCs w:val="32"/>
          <w:lang w:val="en-US" w:eastAsia="zh-CN" w:bidi="ar-SA"/>
        </w:rPr>
        <w:t>（一）部门整体支出绩效评价目的</w:t>
      </w:r>
    </w:p>
    <w:p>
      <w:pPr>
        <w:pStyle w:val="13"/>
        <w:keepNext w:val="0"/>
        <w:keepLines w:val="0"/>
        <w:pageBreakBefore w:val="0"/>
        <w:widowControl/>
        <w:kinsoku/>
        <w:wordWrap/>
        <w:overflowPunct/>
        <w:topLinePunct w:val="0"/>
        <w:autoSpaceDE/>
        <w:autoSpaceDN/>
        <w:bidi w:val="0"/>
        <w:adjustRightInd/>
        <w:snapToGrid/>
        <w:spacing w:line="610" w:lineRule="exact"/>
        <w:jc w:val="both"/>
        <w:textAlignment w:val="auto"/>
        <w:rPr>
          <w:rFonts w:hint="eastAsia" w:ascii="Times New Roman" w:hAnsi="Times New Roman" w:eastAsia="仿宋_GB2312" w:cs="Times New Roman"/>
          <w:kern w:val="2"/>
          <w:sz w:val="32"/>
          <w:szCs w:val="32"/>
          <w:lang w:val="en-US" w:eastAsia="zh-CN" w:bidi="ar-SA"/>
        </w:rPr>
      </w:pPr>
      <w:r>
        <w:rPr>
          <w:rFonts w:hint="eastAsia" w:ascii="Times New Roman" w:hAnsi="Times New Roman" w:eastAsia="仿宋_GB2312" w:cs="Times New Roman"/>
          <w:kern w:val="2"/>
          <w:sz w:val="32"/>
          <w:szCs w:val="32"/>
          <w:lang w:val="en-US" w:eastAsia="zh-CN" w:bidi="ar-SA"/>
        </w:rPr>
        <w:t>通过对2023年华容县工信局的预算配置、预算管理、资产管理、职责履行、履职效益等内容的绩效考评，提高财政资金的使用效率，为财政部门预算管理提供决策依据。</w:t>
      </w:r>
    </w:p>
    <w:p>
      <w:pPr>
        <w:pStyle w:val="13"/>
        <w:keepNext w:val="0"/>
        <w:keepLines w:val="0"/>
        <w:pageBreakBefore w:val="0"/>
        <w:widowControl/>
        <w:kinsoku/>
        <w:wordWrap/>
        <w:overflowPunct/>
        <w:topLinePunct w:val="0"/>
        <w:autoSpaceDE/>
        <w:autoSpaceDN/>
        <w:bidi w:val="0"/>
        <w:adjustRightInd/>
        <w:snapToGrid/>
        <w:spacing w:line="610" w:lineRule="exact"/>
        <w:ind w:left="0" w:leftChars="0" w:firstLine="643" w:firstLineChars="200"/>
        <w:jc w:val="both"/>
        <w:textAlignment w:val="auto"/>
        <w:rPr>
          <w:rFonts w:hint="eastAsia" w:ascii="Times New Roman" w:hAnsi="Times New Roman" w:eastAsia="仿宋_GB2312" w:cs="Times New Roman"/>
          <w:b/>
          <w:bCs/>
          <w:kern w:val="2"/>
          <w:sz w:val="32"/>
          <w:szCs w:val="32"/>
          <w:lang w:val="en-US" w:eastAsia="zh-CN" w:bidi="ar-SA"/>
        </w:rPr>
      </w:pPr>
      <w:r>
        <w:rPr>
          <w:rFonts w:hint="eastAsia" w:ascii="Times New Roman" w:hAnsi="Times New Roman" w:eastAsia="仿宋_GB2312" w:cs="Times New Roman"/>
          <w:b/>
          <w:bCs/>
          <w:kern w:val="2"/>
          <w:sz w:val="32"/>
          <w:szCs w:val="32"/>
          <w:lang w:val="en-US" w:eastAsia="zh-CN" w:bidi="ar-SA"/>
        </w:rPr>
        <w:t>（二）部门整体支出评价原则、指标评价体系、评价方法</w:t>
      </w:r>
    </w:p>
    <w:p>
      <w:pPr>
        <w:pStyle w:val="13"/>
        <w:keepNext w:val="0"/>
        <w:keepLines w:val="0"/>
        <w:pageBreakBefore w:val="0"/>
        <w:widowControl/>
        <w:kinsoku/>
        <w:wordWrap/>
        <w:overflowPunct/>
        <w:topLinePunct w:val="0"/>
        <w:autoSpaceDE/>
        <w:autoSpaceDN/>
        <w:bidi w:val="0"/>
        <w:adjustRightInd/>
        <w:snapToGrid/>
        <w:spacing w:line="610" w:lineRule="exact"/>
        <w:ind w:left="0" w:leftChars="0" w:firstLine="643" w:firstLineChars="200"/>
        <w:jc w:val="both"/>
        <w:textAlignment w:val="auto"/>
        <w:rPr>
          <w:rFonts w:hint="eastAsia" w:ascii="Times New Roman" w:hAnsi="Times New Roman" w:eastAsia="仿宋_GB2312" w:cs="Times New Roman"/>
          <w:kern w:val="2"/>
          <w:sz w:val="32"/>
          <w:szCs w:val="32"/>
          <w:lang w:val="en-US" w:eastAsia="zh-CN" w:bidi="ar-SA"/>
        </w:rPr>
      </w:pPr>
      <w:r>
        <w:rPr>
          <w:rFonts w:hint="eastAsia" w:ascii="Times New Roman" w:hAnsi="Times New Roman" w:eastAsia="仿宋_GB2312" w:cs="Times New Roman"/>
          <w:b/>
          <w:bCs/>
          <w:kern w:val="2"/>
          <w:sz w:val="32"/>
          <w:szCs w:val="32"/>
          <w:lang w:val="en-US" w:eastAsia="zh-CN" w:bidi="ar-SA"/>
        </w:rPr>
        <w:t>1.部门整体支出绩效评价原则：</w:t>
      </w:r>
      <w:r>
        <w:rPr>
          <w:rFonts w:hint="eastAsia" w:ascii="Times New Roman" w:hAnsi="Times New Roman" w:eastAsia="仿宋_GB2312" w:cs="Times New Roman"/>
          <w:kern w:val="2"/>
          <w:sz w:val="32"/>
          <w:szCs w:val="32"/>
          <w:lang w:val="en-US" w:eastAsia="zh-CN" w:bidi="ar-SA"/>
        </w:rPr>
        <w:t>遵循客观公正，操作简便高效，尊重客观实际，实事求是的原则。</w:t>
      </w:r>
    </w:p>
    <w:p>
      <w:pPr>
        <w:pStyle w:val="13"/>
        <w:keepNext w:val="0"/>
        <w:keepLines w:val="0"/>
        <w:pageBreakBefore w:val="0"/>
        <w:widowControl/>
        <w:kinsoku/>
        <w:wordWrap/>
        <w:overflowPunct/>
        <w:topLinePunct w:val="0"/>
        <w:autoSpaceDE/>
        <w:autoSpaceDN/>
        <w:bidi w:val="0"/>
        <w:adjustRightInd/>
        <w:snapToGrid/>
        <w:spacing w:line="610" w:lineRule="exact"/>
        <w:jc w:val="both"/>
        <w:textAlignment w:val="auto"/>
        <w:rPr>
          <w:rFonts w:hint="eastAsia" w:ascii="Times New Roman" w:hAnsi="Times New Roman" w:eastAsia="仿宋_GB2312" w:cs="Times New Roman"/>
          <w:kern w:val="2"/>
          <w:sz w:val="32"/>
          <w:szCs w:val="32"/>
          <w:lang w:val="en-US" w:eastAsia="zh-CN" w:bidi="ar-SA"/>
        </w:rPr>
      </w:pPr>
      <w:r>
        <w:rPr>
          <w:rFonts w:hint="eastAsia" w:ascii="Times New Roman" w:hAnsi="Times New Roman" w:eastAsia="仿宋_GB2312" w:cs="Times New Roman"/>
          <w:b/>
          <w:bCs/>
          <w:kern w:val="2"/>
          <w:sz w:val="32"/>
          <w:szCs w:val="32"/>
          <w:lang w:val="en-US" w:eastAsia="zh-CN" w:bidi="ar-SA"/>
        </w:rPr>
        <w:t>2.整体支出绩效评价体系：</w:t>
      </w:r>
      <w:r>
        <w:rPr>
          <w:rFonts w:hint="eastAsia" w:ascii="Times New Roman" w:hAnsi="Times New Roman" w:eastAsia="仿宋_GB2312" w:cs="Times New Roman"/>
          <w:kern w:val="2"/>
          <w:sz w:val="32"/>
          <w:szCs w:val="32"/>
          <w:lang w:val="en-US" w:eastAsia="zh-CN" w:bidi="ar-SA"/>
        </w:rPr>
        <w:t>指标体系包括共性指标和个性指标两部分，本次主要参照了财政部门制定的《部门整体支出绩效评价指标体系》的相关内容。</w:t>
      </w:r>
    </w:p>
    <w:p>
      <w:pPr>
        <w:pStyle w:val="13"/>
        <w:keepNext w:val="0"/>
        <w:keepLines w:val="0"/>
        <w:pageBreakBefore w:val="0"/>
        <w:widowControl/>
        <w:kinsoku/>
        <w:wordWrap/>
        <w:overflowPunct/>
        <w:topLinePunct w:val="0"/>
        <w:autoSpaceDE/>
        <w:autoSpaceDN/>
        <w:bidi w:val="0"/>
        <w:adjustRightInd/>
        <w:snapToGrid/>
        <w:spacing w:line="610" w:lineRule="exact"/>
        <w:jc w:val="both"/>
        <w:textAlignment w:val="auto"/>
        <w:rPr>
          <w:rFonts w:hint="eastAsia" w:ascii="Times New Roman" w:hAnsi="Times New Roman" w:eastAsia="仿宋_GB2312" w:cs="Times New Roman"/>
          <w:kern w:val="2"/>
          <w:sz w:val="32"/>
          <w:szCs w:val="32"/>
          <w:lang w:val="en-US" w:eastAsia="zh-CN" w:bidi="ar-SA"/>
        </w:rPr>
      </w:pPr>
      <w:r>
        <w:rPr>
          <w:rFonts w:hint="eastAsia" w:ascii="Times New Roman" w:hAnsi="Times New Roman" w:eastAsia="仿宋_GB2312" w:cs="Times New Roman"/>
          <w:b/>
          <w:bCs/>
          <w:kern w:val="2"/>
          <w:sz w:val="32"/>
          <w:szCs w:val="32"/>
          <w:lang w:val="en-US" w:eastAsia="zh-CN" w:bidi="ar-SA"/>
        </w:rPr>
        <w:t>3.整体支出绩效评价方法：</w:t>
      </w:r>
      <w:r>
        <w:rPr>
          <w:rFonts w:hint="eastAsia" w:ascii="Times New Roman" w:hAnsi="Times New Roman" w:eastAsia="仿宋_GB2312" w:cs="Times New Roman"/>
          <w:kern w:val="2"/>
          <w:sz w:val="32"/>
          <w:szCs w:val="32"/>
          <w:lang w:val="en-US" w:eastAsia="zh-CN" w:bidi="ar-SA"/>
        </w:rPr>
        <w:t xml:space="preserve">主要采用因素分析法、投入产出效益分析法，比较法，相关部门问卷调查等方法。  </w:t>
      </w:r>
    </w:p>
    <w:p>
      <w:pPr>
        <w:pStyle w:val="13"/>
        <w:keepNext w:val="0"/>
        <w:keepLines w:val="0"/>
        <w:pageBreakBefore w:val="0"/>
        <w:widowControl/>
        <w:kinsoku/>
        <w:wordWrap/>
        <w:overflowPunct/>
        <w:topLinePunct w:val="0"/>
        <w:autoSpaceDE/>
        <w:autoSpaceDN/>
        <w:bidi w:val="0"/>
        <w:adjustRightInd/>
        <w:snapToGrid/>
        <w:spacing w:line="610" w:lineRule="exact"/>
        <w:jc w:val="both"/>
        <w:textAlignment w:val="auto"/>
        <w:rPr>
          <w:rFonts w:hint="eastAsia" w:ascii="Times New Roman" w:hAnsi="Times New Roman" w:eastAsia="仿宋_GB2312" w:cs="Times New Roman"/>
          <w:b/>
          <w:bCs/>
          <w:kern w:val="2"/>
          <w:sz w:val="32"/>
          <w:szCs w:val="32"/>
          <w:lang w:val="en-US" w:eastAsia="zh-CN" w:bidi="ar-SA"/>
        </w:rPr>
      </w:pPr>
      <w:r>
        <w:rPr>
          <w:rFonts w:hint="eastAsia" w:ascii="Times New Roman" w:hAnsi="Times New Roman" w:eastAsia="仿宋_GB2312" w:cs="Times New Roman"/>
          <w:b/>
          <w:bCs/>
          <w:kern w:val="2"/>
          <w:sz w:val="32"/>
          <w:szCs w:val="32"/>
          <w:lang w:val="en-US" w:eastAsia="zh-CN" w:bidi="ar-SA"/>
        </w:rPr>
        <w:t>（三）整体支出绩效情况分析</w:t>
      </w:r>
    </w:p>
    <w:p>
      <w:pPr>
        <w:pStyle w:val="13"/>
        <w:keepNext w:val="0"/>
        <w:keepLines w:val="0"/>
        <w:pageBreakBefore w:val="0"/>
        <w:widowControl/>
        <w:kinsoku/>
        <w:wordWrap/>
        <w:overflowPunct/>
        <w:topLinePunct w:val="0"/>
        <w:autoSpaceDE/>
        <w:autoSpaceDN/>
        <w:bidi w:val="0"/>
        <w:adjustRightInd/>
        <w:snapToGrid/>
        <w:spacing w:line="610" w:lineRule="exact"/>
        <w:jc w:val="both"/>
        <w:textAlignment w:val="auto"/>
        <w:rPr>
          <w:rFonts w:hint="eastAsia" w:ascii="Times New Roman" w:hAnsi="Times New Roman" w:eastAsia="仿宋_GB2312" w:cs="Times New Roman"/>
          <w:b w:val="0"/>
          <w:bCs w:val="0"/>
          <w:kern w:val="2"/>
          <w:sz w:val="32"/>
          <w:szCs w:val="32"/>
          <w:lang w:val="en-US" w:eastAsia="zh-CN" w:bidi="ar-SA"/>
        </w:rPr>
      </w:pPr>
      <w:r>
        <w:rPr>
          <w:rFonts w:hint="eastAsia" w:ascii="Times New Roman" w:hAnsi="Times New Roman" w:eastAsia="仿宋_GB2312" w:cs="Times New Roman"/>
          <w:b w:val="0"/>
          <w:bCs w:val="0"/>
          <w:kern w:val="2"/>
          <w:sz w:val="32"/>
          <w:szCs w:val="32"/>
          <w:lang w:val="en-US" w:eastAsia="zh-CN" w:bidi="ar-SA"/>
        </w:rPr>
        <w:t>2023年，根据该局年初工作规划和重点工作，围绕县委、县政府的工作部署，积极履行职责，强化管理，较好地完成了年度工作目标，同时加强预算收支的管理，建立健全内部管理制度，严格内部管理流程，部门整体支出管理得到了提升。2023年度部门整体支出绩效情况如下：</w:t>
      </w:r>
    </w:p>
    <w:p>
      <w:pPr>
        <w:spacing w:line="540" w:lineRule="exact"/>
        <w:ind w:firstLine="640" w:firstLineChars="200"/>
        <w:jc w:val="left"/>
        <w:rPr>
          <w:rFonts w:hint="eastAsia" w:ascii="Times New Roman" w:hAnsi="Times New Roman" w:eastAsia="仿宋_GB2312" w:cs="Times New Roman"/>
          <w:b w:val="0"/>
          <w:bCs w:val="0"/>
          <w:kern w:val="2"/>
          <w:sz w:val="32"/>
          <w:szCs w:val="32"/>
          <w:lang w:val="en-US" w:eastAsia="zh-CN" w:bidi="ar-SA"/>
        </w:rPr>
      </w:pPr>
      <w:r>
        <w:rPr>
          <w:rFonts w:hint="eastAsia" w:ascii="Times New Roman" w:hAnsi="Times New Roman" w:eastAsia="仿宋_GB2312" w:cs="Times New Roman"/>
          <w:b w:val="0"/>
          <w:bCs w:val="0"/>
          <w:kern w:val="2"/>
          <w:sz w:val="32"/>
          <w:szCs w:val="32"/>
          <w:lang w:val="en-US" w:eastAsia="zh-CN" w:bidi="ar-SA"/>
        </w:rPr>
        <w:t>1.本年预算配置控制较好，“三公”经费支出从严管理，严把开支关，制订和健全了一系列规章制度，强化了费用开支审批制度，加大了民主理财力度，规范了“三公”经费的支出范围和使用标准。</w:t>
      </w:r>
    </w:p>
    <w:p>
      <w:pPr>
        <w:spacing w:line="572"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Times New Roman" w:hAnsi="Times New Roman" w:eastAsia="仿宋_GB2312" w:cs="Times New Roman"/>
          <w:b w:val="0"/>
          <w:bCs w:val="0"/>
          <w:kern w:val="2"/>
          <w:sz w:val="32"/>
          <w:szCs w:val="32"/>
          <w:lang w:val="en-US" w:eastAsia="zh-CN" w:bidi="ar-SA"/>
        </w:rPr>
        <w:t>2.预算执行方面，支出总额控制在预算总额以内，</w:t>
      </w:r>
      <w:r>
        <w:rPr>
          <w:rFonts w:hint="eastAsia" w:ascii="仿宋_GB2312" w:hAnsi="Calibri" w:eastAsia="仿宋_GB2312" w:cs="Times New Roman"/>
          <w:color w:val="000000" w:themeColor="text1"/>
          <w:sz w:val="32"/>
          <w:szCs w:val="32"/>
          <w14:textFill>
            <w14:solidFill>
              <w14:schemeClr w14:val="tx1"/>
            </w14:solidFill>
          </w14:textFill>
        </w:rPr>
        <w:t>今年以来，我局认真贯彻落实中央、省、市、县部署要求，</w:t>
      </w:r>
      <w:r>
        <w:rPr>
          <w:rFonts w:hint="eastAsia" w:ascii="仿宋_GB2312" w:eastAsia="仿宋_GB2312"/>
          <w:color w:val="000000" w:themeColor="text1"/>
          <w:sz w:val="32"/>
          <w:szCs w:val="32"/>
          <w14:textFill>
            <w14:solidFill>
              <w14:schemeClr w14:val="tx1"/>
            </w14:solidFill>
          </w14:textFill>
        </w:rPr>
        <w:t>夯实“一廊二中心”产业格局新基础，推进农业大县向工业强县转变发展战略，以优化结构提质增效为目标，以扶持发展五大重点工业新兴优势产业链和项目攻坚“揭榜挂帅”行动为抓手，以服务企业、优化环境、精准招商为重点，全力在产业规模、企业效益、项目贡献上实现新突破，推动工业经济实现质的有效提升和量的合理增长。</w:t>
      </w:r>
      <w:r>
        <w:rPr>
          <w:rFonts w:hint="eastAsia" w:ascii="楷体_GB2312" w:eastAsia="楷体_GB2312"/>
          <w:b/>
          <w:color w:val="000000" w:themeColor="text1"/>
          <w:sz w:val="32"/>
          <w:szCs w:val="32"/>
          <w:lang w:val="en-US" w:eastAsia="zh-CN"/>
          <w14:textFill>
            <w14:solidFill>
              <w14:schemeClr w14:val="tx1"/>
            </w14:solidFill>
          </w14:textFill>
        </w:rPr>
        <w:t>①</w:t>
      </w:r>
      <w:r>
        <w:rPr>
          <w:rFonts w:hint="eastAsia" w:ascii="楷体_GB2312" w:eastAsia="楷体_GB2312"/>
          <w:b/>
          <w:color w:val="000000" w:themeColor="text1"/>
          <w:sz w:val="32"/>
          <w:szCs w:val="32"/>
          <w14:textFill>
            <w14:solidFill>
              <w14:schemeClr w14:val="tx1"/>
            </w14:solidFill>
          </w14:textFill>
        </w:rPr>
        <w:t>经济指标稳中向好。</w:t>
      </w:r>
      <w:r>
        <w:rPr>
          <w:rFonts w:hint="eastAsia" w:ascii="仿宋_GB2312" w:hAnsi="仿宋_GB2312" w:eastAsia="仿宋_GB2312" w:cs="仿宋_GB2312"/>
          <w:color w:val="000000" w:themeColor="text1"/>
          <w:sz w:val="32"/>
          <w:szCs w:val="32"/>
          <w14:textFill>
            <w14:solidFill>
              <w14:schemeClr w14:val="tx1"/>
            </w14:solidFill>
          </w14:textFill>
        </w:rPr>
        <w:t>今年来，我们严格按照上级要求主动作为、精准测算，指导企业优化指标结构，虽然难度较大，但在确保安全的情况下，完成了市定目标任务。1-12月，全县新增规模以上企业19家，完成规模工业总产值598.39亿元，规模工业增加值累计增速7.9%；工业税收累计增速80.1%，全市六县市排第二位；工业用电量增速24.1%，持续12个月保持全市六县市排名第一;我</w:t>
      </w:r>
      <w:r>
        <w:rPr>
          <w:rFonts w:hint="eastAsia" w:ascii="仿宋_GB2312" w:eastAsia="仿宋_GB2312" w:cs="Times New Roman"/>
          <w:color w:val="000000" w:themeColor="text1"/>
          <w:sz w:val="32"/>
          <w:szCs w:val="32"/>
          <w14:textFill>
            <w14:solidFill>
              <w14:schemeClr w14:val="tx1"/>
            </w14:solidFill>
          </w14:textFill>
        </w:rPr>
        <w:t>县成功入选工信部2023年消费品工业“三品”战略示范城市名单</w:t>
      </w:r>
      <w:r>
        <w:rPr>
          <w:rFonts w:hint="eastAsia" w:ascii="仿宋_GB2312" w:hAnsi="仿宋_GB2312" w:eastAsia="仿宋_GB2312" w:cs="仿宋_GB2312"/>
          <w:color w:val="000000" w:themeColor="text1"/>
          <w:sz w:val="32"/>
          <w:szCs w:val="32"/>
          <w14:textFill>
            <w14:solidFill>
              <w14:schemeClr w14:val="tx1"/>
            </w14:solidFill>
          </w14:textFill>
        </w:rPr>
        <w:t>。</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②</w:t>
      </w:r>
      <w:r>
        <w:rPr>
          <w:rFonts w:hint="eastAsia" w:ascii="楷体_GB2312" w:eastAsia="楷体_GB2312"/>
          <w:b/>
          <w:color w:val="000000" w:themeColor="text1"/>
          <w:sz w:val="32"/>
          <w:szCs w:val="32"/>
          <w14:textFill>
            <w14:solidFill>
              <w14:schemeClr w14:val="tx1"/>
            </w14:solidFill>
          </w14:textFill>
        </w:rPr>
        <w:t>推进机制执行有力。</w:t>
      </w:r>
      <w:r>
        <w:rPr>
          <w:rFonts w:hint="eastAsia" w:ascii="仿宋_GB2312" w:hAnsi="宋体" w:eastAsia="仿宋_GB2312"/>
          <w:bCs/>
          <w:color w:val="000000" w:themeColor="text1"/>
          <w:sz w:val="32"/>
          <w:szCs w:val="32"/>
          <w14:textFill>
            <w14:solidFill>
              <w14:schemeClr w14:val="tx1"/>
            </w14:solidFill>
          </w14:textFill>
        </w:rPr>
        <w:t>今年，在产业链总链办加挂了“项目建设年”攻坚会战“揭榜挂帅”行动办公室，围绕绿色食品、纺织服装、能源及新材料、通用设备制造、医药卫材五大重点工业新兴优势产业链，实行链上策划式招商，项目五位一体压茬推进，讲评考核“红黄榜”两上台，取得了较好成效。</w:t>
      </w:r>
      <w:r>
        <w:rPr>
          <w:rFonts w:hint="eastAsia" w:ascii="仿宋_GB2312" w:hAnsi="仿宋_GB2312" w:eastAsia="仿宋_GB2312" w:cs="仿宋_GB2312"/>
          <w:b/>
          <w:color w:val="000000" w:themeColor="text1"/>
          <w:sz w:val="32"/>
          <w:szCs w:val="32"/>
          <w14:textFill>
            <w14:solidFill>
              <w14:schemeClr w14:val="tx1"/>
            </w14:solidFill>
          </w14:textFill>
        </w:rPr>
        <w:t>领导靠前。</w:t>
      </w:r>
      <w:r>
        <w:rPr>
          <w:rFonts w:hint="eastAsia" w:ascii="仿宋_GB2312" w:hAnsi="宋体" w:eastAsia="仿宋_GB2312"/>
          <w:bCs/>
          <w:color w:val="000000" w:themeColor="text1"/>
          <w:sz w:val="32"/>
          <w:szCs w:val="32"/>
          <w14:textFill>
            <w14:solidFill>
              <w14:schemeClr w14:val="tx1"/>
            </w14:solidFill>
          </w14:textFill>
        </w:rPr>
        <w:t>目前，意向项目抓签约、签约项目抓开工、开工项目抓竣工、竣工项目抓投产、投产项目抓达产五个类型工业项目共87个，按照一个项目，一名挂帅领导，一个工作专班，一套考核指标，一抓到底的模式，强力推进。今年以来，县级领导调研产业项目的次数达到100余次，外出招商60多人次。</w:t>
      </w:r>
      <w:r>
        <w:rPr>
          <w:rFonts w:hint="eastAsia" w:ascii="仿宋_GB2312" w:hAnsi="仿宋_GB2312" w:eastAsia="仿宋_GB2312" w:cs="仿宋_GB2312"/>
          <w:b/>
          <w:color w:val="000000" w:themeColor="text1"/>
          <w:sz w:val="32"/>
          <w:szCs w:val="32"/>
          <w14:textFill>
            <w14:solidFill>
              <w14:schemeClr w14:val="tx1"/>
            </w14:solidFill>
          </w14:textFill>
        </w:rPr>
        <w:t>真讲真评。</w:t>
      </w:r>
      <w:r>
        <w:rPr>
          <w:rFonts w:hint="eastAsia" w:ascii="仿宋_GB2312" w:hAnsi="宋体" w:eastAsia="仿宋_GB2312"/>
          <w:bCs/>
          <w:color w:val="000000" w:themeColor="text1"/>
          <w:sz w:val="32"/>
          <w:szCs w:val="32"/>
          <w14:textFill>
            <w14:solidFill>
              <w14:schemeClr w14:val="tx1"/>
            </w14:solidFill>
          </w14:textFill>
        </w:rPr>
        <w:t>采用信息报送、调度会商、考评奖惩三项机制，每月多次深入项目现场，拍摄制作了三期“揭榜挂帅”督查视频，提出问题80多个，下发了三期情况通报，编印两期工作专报，按照“动态增补”的要求，每季度都对产业项目进行了调整，并对领办项目的22名县级领导一一呈送了项目调整的提示函。</w:t>
      </w:r>
      <w:r>
        <w:rPr>
          <w:rFonts w:hint="eastAsia" w:ascii="仿宋_GB2312" w:hAnsi="仿宋_GB2312" w:eastAsia="仿宋_GB2312" w:cs="仿宋_GB2312"/>
          <w:b/>
          <w:color w:val="000000" w:themeColor="text1"/>
          <w:sz w:val="32"/>
          <w:szCs w:val="32"/>
          <w14:textFill>
            <w14:solidFill>
              <w14:schemeClr w14:val="tx1"/>
            </w14:solidFill>
          </w14:textFill>
        </w:rPr>
        <w:t>氛围浓厚。</w:t>
      </w:r>
      <w:r>
        <w:rPr>
          <w:rFonts w:hint="eastAsia" w:ascii="仿宋_GB2312" w:hAnsi="宋体" w:eastAsia="仿宋_GB2312"/>
          <w:bCs/>
          <w:color w:val="000000" w:themeColor="text1"/>
          <w:sz w:val="32"/>
          <w:szCs w:val="32"/>
          <w14:textFill>
            <w14:solidFill>
              <w14:schemeClr w14:val="tx1"/>
            </w14:solidFill>
          </w14:textFill>
        </w:rPr>
        <w:t>先后在省市县主流媒体刊发新闻稿件13余篇，《华容县智能制造升级纺织业》《打好发展‘六仗’，‘项目建设年’华容加速行》等4篇新闻稿被《湖南日报》新湖南客户端推介，《岳阳日报》头版头条刊登了《华容打好发展‘六仗’，‘揭榜挂帅’行动擂响战鼓》的文章。《岳阳日报》还以《以一域之光为全局添彩》为标题，整版面报道了华容县产业项目建设情况，全县“以项目论英雄”“项目为王”的意识和氛围日益浓厚。</w:t>
      </w:r>
      <w:r>
        <w:rPr>
          <w:rFonts w:hint="eastAsia" w:ascii="仿宋_GB2312" w:hAnsi="仿宋_GB2312" w:eastAsia="仿宋_GB2312" w:cs="仿宋_GB2312"/>
          <w:b/>
          <w:color w:val="000000" w:themeColor="text1"/>
          <w:sz w:val="32"/>
          <w:szCs w:val="32"/>
          <w14:textFill>
            <w14:solidFill>
              <w14:schemeClr w14:val="tx1"/>
            </w14:solidFill>
          </w14:textFill>
        </w:rPr>
        <w:t>积势蓄能。</w:t>
      </w:r>
      <w:r>
        <w:rPr>
          <w:rFonts w:hint="eastAsia" w:ascii="仿宋_GB2312" w:hAnsi="宋体" w:eastAsia="仿宋_GB2312"/>
          <w:bCs/>
          <w:color w:val="000000" w:themeColor="text1"/>
          <w:sz w:val="32"/>
          <w:szCs w:val="32"/>
          <w14:textFill>
            <w14:solidFill>
              <w14:schemeClr w14:val="tx1"/>
            </w14:solidFill>
          </w14:textFill>
        </w:rPr>
        <w:t>今年共举行集中签约仪式3次、专题招商2次，引进各类产业项目43个，合同引资142.07亿元，开工率在全市名列前茅。47个达产项目中，雪花啤酒、科创纺织、科力嘉纺织、恒兴建材三季度产值均达到2亿元以上；沁峰机器人、科创纺织、科力嘉纺织、宏绿食品、山拓机械三季度实缴税收同比增长均超过100%；雪花啤酒前三季度税收达8300万元，年税收已过亿元，将是我县首家年税收过亿元企业。县棉纺织制造产业集群列入“湖南省先进制造业集群”，科创纺织、科力嘉纺织跻身中国棉纺织行业营业收入百强企业，岳阳电厂实现双投，铁水联运明年3月第一船煤下长江。</w:t>
      </w:r>
      <w:r>
        <w:rPr>
          <w:rFonts w:hint="eastAsia" w:ascii="楷体_GB2312" w:eastAsia="楷体_GB2312"/>
          <w:b/>
          <w:color w:val="000000" w:themeColor="text1"/>
          <w:sz w:val="32"/>
          <w:szCs w:val="32"/>
          <w:lang w:val="en-US" w:eastAsia="zh-CN"/>
          <w14:textFill>
            <w14:solidFill>
              <w14:schemeClr w14:val="tx1"/>
            </w14:solidFill>
          </w14:textFill>
        </w:rPr>
        <w:t>③</w:t>
      </w:r>
      <w:r>
        <w:rPr>
          <w:rFonts w:hint="eastAsia" w:ascii="楷体_GB2312" w:eastAsia="楷体_GB2312"/>
          <w:b/>
          <w:color w:val="000000" w:themeColor="text1"/>
          <w:sz w:val="32"/>
          <w:szCs w:val="32"/>
          <w14:textFill>
            <w14:solidFill>
              <w14:schemeClr w14:val="tx1"/>
            </w14:solidFill>
          </w14:textFill>
        </w:rPr>
        <w:t>项目建设协调高效。</w:t>
      </w:r>
      <w:r>
        <w:rPr>
          <w:rFonts w:hint="eastAsia" w:ascii="仿宋_GB2312" w:hAnsi="仿宋_GB2312" w:eastAsia="仿宋_GB2312" w:cs="仿宋_GB2312"/>
          <w:color w:val="000000" w:themeColor="text1"/>
          <w:sz w:val="32"/>
          <w:szCs w:val="32"/>
          <w14:textFill>
            <w14:solidFill>
              <w14:schemeClr w14:val="tx1"/>
            </w14:solidFill>
          </w14:textFill>
        </w:rPr>
        <w:t>积极主动统筹调度、协调服务、督促督导，确保按时按质完成项目推进各项工作。</w:t>
      </w:r>
      <w:r>
        <w:rPr>
          <w:rFonts w:hint="eastAsia" w:ascii="仿宋_GB2312" w:hAnsi="仿宋_GB2312" w:eastAsia="仿宋_GB2312" w:cs="仿宋_GB2312"/>
          <w:b/>
          <w:color w:val="000000" w:themeColor="text1"/>
          <w:sz w:val="32"/>
          <w:szCs w:val="32"/>
          <w14:textFill>
            <w14:solidFill>
              <w14:schemeClr w14:val="tx1"/>
            </w14:solidFill>
          </w14:textFill>
        </w:rPr>
        <w:t>岳阳电厂500KV配套项目。</w:t>
      </w:r>
      <w:r>
        <w:rPr>
          <w:rFonts w:hint="eastAsia" w:ascii="仿宋_GB2312" w:hAnsi="仿宋_GB2312" w:eastAsia="仿宋_GB2312" w:cs="仿宋_GB2312"/>
          <w:color w:val="000000" w:themeColor="text1"/>
          <w:sz w:val="32"/>
          <w:szCs w:val="32"/>
          <w14:textFill>
            <w14:solidFill>
              <w14:schemeClr w14:val="tx1"/>
            </w14:solidFill>
          </w14:textFill>
        </w:rPr>
        <w:t xml:space="preserve">华容电厂500kV送出工程建设任务为扩建500kV出线间隔1个，华容电厂～洞庭 I、II回500kV </w:t>
      </w:r>
      <w:r>
        <w:rPr>
          <w:rFonts w:hint="eastAsia" w:ascii="仿宋_GB2312" w:hAnsi="仿宋_GB2312" w:eastAsia="仿宋_GB2312" w:cs="仿宋_GB2312"/>
          <w:b/>
          <w:color w:val="000000" w:themeColor="text1"/>
          <w:sz w:val="32"/>
          <w:szCs w:val="32"/>
          <w14:textFill>
            <w14:solidFill>
              <w14:schemeClr w14:val="tx1"/>
            </w14:solidFill>
          </w14:textFill>
        </w:rPr>
        <w:t>架空线路170公里</w:t>
      </w:r>
      <w:r>
        <w:rPr>
          <w:rFonts w:hint="eastAsia" w:ascii="仿宋_GB2312" w:hAnsi="仿宋_GB2312" w:eastAsia="仿宋_GB2312" w:cs="仿宋_GB2312"/>
          <w:color w:val="000000" w:themeColor="text1"/>
          <w:sz w:val="32"/>
          <w:szCs w:val="32"/>
          <w14:textFill>
            <w14:solidFill>
              <w14:schemeClr w14:val="tx1"/>
            </w14:solidFill>
          </w14:textFill>
        </w:rPr>
        <w:t>（我县域内共203座塔基及线路），项目投资99937万元。湖南洞庭500kV输变电工程建设任务为新建</w:t>
      </w:r>
      <w:r>
        <w:rPr>
          <w:rFonts w:hint="eastAsia" w:ascii="仿宋_GB2312" w:hAnsi="仿宋_GB2312" w:eastAsia="仿宋_GB2312" w:cs="仿宋_GB2312"/>
          <w:b/>
          <w:color w:val="000000" w:themeColor="text1"/>
          <w:sz w:val="32"/>
          <w:szCs w:val="32"/>
          <w14:textFill>
            <w14:solidFill>
              <w14:schemeClr w14:val="tx1"/>
            </w14:solidFill>
          </w14:textFill>
        </w:rPr>
        <w:t>湖南洞庭500kV变电站1座</w:t>
      </w:r>
      <w:r>
        <w:rPr>
          <w:rFonts w:hint="eastAsia" w:ascii="仿宋_GB2312" w:hAnsi="仿宋_GB2312" w:eastAsia="仿宋_GB2312" w:cs="仿宋_GB2312"/>
          <w:color w:val="000000" w:themeColor="text1"/>
          <w:sz w:val="32"/>
          <w:szCs w:val="32"/>
          <w14:textFill>
            <w14:solidFill>
              <w14:schemeClr w14:val="tx1"/>
            </w14:solidFill>
          </w14:textFill>
        </w:rPr>
        <w:t>，洞庭～澧州</w:t>
      </w:r>
      <w:r>
        <w:rPr>
          <w:rFonts w:hint="eastAsia" w:ascii="仿宋_GB2312" w:hAnsi="仿宋_GB2312" w:eastAsia="仿宋_GB2312" w:cs="仿宋_GB2312"/>
          <w:b/>
          <w:color w:val="000000" w:themeColor="text1"/>
          <w:sz w:val="32"/>
          <w:szCs w:val="32"/>
          <w14:textFill>
            <w14:solidFill>
              <w14:schemeClr w14:val="tx1"/>
            </w14:solidFill>
          </w14:textFill>
        </w:rPr>
        <w:t>500kV架空线路121.2公里</w:t>
      </w:r>
      <w:r>
        <w:rPr>
          <w:rFonts w:hint="eastAsia" w:ascii="仿宋_GB2312" w:hAnsi="仿宋_GB2312" w:eastAsia="仿宋_GB2312" w:cs="仿宋_GB2312"/>
          <w:color w:val="000000" w:themeColor="text1"/>
          <w:sz w:val="32"/>
          <w:szCs w:val="32"/>
          <w14:textFill>
            <w14:solidFill>
              <w14:schemeClr w14:val="tx1"/>
            </w14:solidFill>
          </w14:textFill>
        </w:rPr>
        <w:t>（我县域内共70座塔基及线路），项目投资130751万元。两个项目征地98亩，拆迁房屋140户、2.8万平方米，今年2月7日启动拆迁，5月21日竣工试运行，9月28日并网运行，比建设单位计划提前1个月完工，被评为全省2023年输变电工程标杆工地。配套220KV线路工程10条，塔基、组塔、放线已全部完工，12月底项目可全部竣工验收。</w:t>
      </w:r>
      <w:r>
        <w:rPr>
          <w:rFonts w:hint="eastAsia" w:ascii="仿宋_GB2312" w:hAnsi="仿宋_GB2312" w:eastAsia="仿宋_GB2312" w:cs="仿宋_GB2312"/>
          <w:b/>
          <w:color w:val="000000" w:themeColor="text1"/>
          <w:sz w:val="32"/>
          <w:szCs w:val="32"/>
          <w14:textFill>
            <w14:solidFill>
              <w14:schemeClr w14:val="tx1"/>
            </w14:solidFill>
          </w14:textFill>
        </w:rPr>
        <w:t>国能华容新能源渔光互补项目。</w:t>
      </w:r>
      <w:r>
        <w:rPr>
          <w:rFonts w:hint="eastAsia" w:ascii="仿宋_GB2312" w:hAnsi="仿宋_GB2312" w:eastAsia="仿宋_GB2312" w:cs="仿宋_GB2312"/>
          <w:color w:val="000000" w:themeColor="text1"/>
          <w:sz w:val="32"/>
          <w:szCs w:val="32"/>
          <w14:textFill>
            <w14:solidFill>
              <w14:schemeClr w14:val="tx1"/>
            </w14:solidFill>
          </w14:textFill>
        </w:rPr>
        <w:t>项目由国能集团下属的新能源公司建设，规划面积5500亩，投资12.8亿元，涉及万庾、鲇鱼须、北景港、禹山4个乡镇。年内完成塌西湖渔场100MW渔光互补项目建设，牛氏湖120MW渔光互补项目正式建设。</w:t>
      </w:r>
      <w:r>
        <w:rPr>
          <w:rFonts w:hint="eastAsia" w:ascii="仿宋_GB2312" w:hAnsi="仿宋_GB2312" w:eastAsia="仿宋_GB2312" w:cs="仿宋_GB2312"/>
          <w:b/>
          <w:color w:val="000000" w:themeColor="text1"/>
          <w:sz w:val="32"/>
          <w:szCs w:val="32"/>
          <w14:textFill>
            <w14:solidFill>
              <w14:schemeClr w14:val="tx1"/>
            </w14:solidFill>
          </w14:textFill>
        </w:rPr>
        <w:t>其中塌西湖项目区：</w:t>
      </w:r>
      <w:r>
        <w:rPr>
          <w:rFonts w:hint="eastAsia" w:ascii="仿宋_GB2312" w:hAnsi="仿宋_GB2312" w:eastAsia="仿宋_GB2312" w:cs="仿宋_GB2312"/>
          <w:color w:val="000000" w:themeColor="text1"/>
          <w:sz w:val="32"/>
          <w:szCs w:val="32"/>
          <w14:textFill>
            <w14:solidFill>
              <w14:schemeClr w14:val="tx1"/>
            </w14:solidFill>
          </w14:textFill>
        </w:rPr>
        <w:t>万庾光伏阵区已完成全部建设任务。鲇鱼须1号方阵60个鱼塘已完成中桩打桩工作，正在开展光缆安装、面板铺设工作；2号方阵40个鱼塘已完成30个鱼塘签约和23个鱼塘腾塘工作。</w:t>
      </w:r>
      <w:r>
        <w:rPr>
          <w:rFonts w:hint="eastAsia" w:ascii="仿宋_GB2312" w:hAnsi="仿宋_GB2312" w:eastAsia="仿宋_GB2312" w:cs="仿宋_GB2312"/>
          <w:b/>
          <w:color w:val="000000" w:themeColor="text1"/>
          <w:sz w:val="32"/>
          <w:szCs w:val="32"/>
          <w14:textFill>
            <w14:solidFill>
              <w14:schemeClr w14:val="tx1"/>
            </w14:solidFill>
          </w14:textFill>
        </w:rPr>
        <w:t>牛氏湖项目区：</w:t>
      </w:r>
      <w:r>
        <w:rPr>
          <w:rFonts w:hint="eastAsia" w:ascii="仿宋_GB2312" w:hAnsi="仿宋_GB2312" w:eastAsia="仿宋_GB2312" w:cs="仿宋_GB2312"/>
          <w:color w:val="000000" w:themeColor="text1"/>
          <w:sz w:val="32"/>
          <w:szCs w:val="32"/>
          <w14:textFill>
            <w14:solidFill>
              <w14:schemeClr w14:val="tx1"/>
            </w14:solidFill>
          </w14:textFill>
        </w:rPr>
        <w:t>北景港镇签约96户，签约率61%；禹山镇签约71户，签约率76.3%，施工单位已进场试桩。</w:t>
      </w:r>
      <w:r>
        <w:rPr>
          <w:rFonts w:hint="eastAsia" w:ascii="楷体_GB2312" w:hAnsi="Calibri" w:eastAsia="楷体_GB2312" w:cs="Times New Roman"/>
          <w:b/>
          <w:color w:val="000000" w:themeColor="text1"/>
          <w:sz w:val="32"/>
          <w:szCs w:val="32"/>
          <w:lang w:val="en-US" w:eastAsia="zh-CN"/>
          <w14:textFill>
            <w14:solidFill>
              <w14:schemeClr w14:val="tx1"/>
            </w14:solidFill>
          </w14:textFill>
        </w:rPr>
        <w:t>④</w:t>
      </w:r>
      <w:r>
        <w:rPr>
          <w:rFonts w:hint="eastAsia" w:ascii="楷体_GB2312" w:hAnsi="Calibri" w:eastAsia="楷体_GB2312" w:cs="Times New Roman"/>
          <w:b/>
          <w:color w:val="000000" w:themeColor="text1"/>
          <w:sz w:val="32"/>
          <w:szCs w:val="32"/>
          <w14:textFill>
            <w14:solidFill>
              <w14:schemeClr w14:val="tx1"/>
            </w14:solidFill>
          </w14:textFill>
        </w:rPr>
        <w:t>培育倍增成效显著</w:t>
      </w:r>
      <w:r>
        <w:rPr>
          <w:rFonts w:hint="eastAsia" w:ascii="楷体_GB2312" w:eastAsia="楷体_GB2312"/>
          <w:b/>
          <w:color w:val="000000" w:themeColor="text1"/>
          <w:sz w:val="32"/>
          <w:szCs w:val="32"/>
          <w14:textFill>
            <w14:solidFill>
              <w14:schemeClr w14:val="tx1"/>
            </w14:solidFill>
          </w14:textFill>
        </w:rPr>
        <w:t>。</w:t>
      </w:r>
      <w:r>
        <w:rPr>
          <w:rFonts w:hint="eastAsia" w:ascii="仿宋_GB2312" w:eastAsia="仿宋_GB2312" w:cs="Times New Roman"/>
          <w:b/>
          <w:color w:val="000000" w:themeColor="text1"/>
          <w:sz w:val="32"/>
          <w:szCs w:val="32"/>
          <w14:textFill>
            <w14:solidFill>
              <w14:schemeClr w14:val="tx1"/>
            </w14:solidFill>
          </w14:textFill>
        </w:rPr>
        <w:t>聚焦“小升规”抓储备。</w:t>
      </w:r>
      <w:r>
        <w:rPr>
          <w:rFonts w:hint="eastAsia" w:ascii="仿宋_GB2312" w:eastAsia="仿宋_GB2312"/>
          <w:color w:val="000000" w:themeColor="text1"/>
          <w:sz w:val="32"/>
          <w:szCs w:val="32"/>
          <w14:textFill>
            <w14:solidFill>
              <w14:schemeClr w14:val="tx1"/>
            </w14:solidFill>
          </w14:textFill>
        </w:rPr>
        <w:t>年初已遴选一批新建投产企业纳入新增规模工业企业培育库，</w:t>
      </w:r>
      <w:r>
        <w:rPr>
          <w:rFonts w:hint="eastAsia" w:ascii="仿宋_GB2312" w:eastAsia="仿宋_GB2312" w:cs="Times New Roman"/>
          <w:color w:val="000000" w:themeColor="text1"/>
          <w:sz w:val="32"/>
          <w:szCs w:val="32"/>
          <w14:textFill>
            <w14:solidFill>
              <w14:schemeClr w14:val="tx1"/>
            </w14:solidFill>
          </w14:textFill>
        </w:rPr>
        <w:t>1-11月规模工业企业已入库3家，通过省级审核16家。已有14家中小微企业通过省工信厅第一批创新型中小企业认定。</w:t>
      </w:r>
      <w:r>
        <w:rPr>
          <w:rFonts w:hint="eastAsia" w:ascii="仿宋_GB2312" w:eastAsia="仿宋_GB2312" w:cs="Times New Roman"/>
          <w:b/>
          <w:color w:val="000000" w:themeColor="text1"/>
          <w:sz w:val="32"/>
          <w:szCs w:val="32"/>
          <w14:textFill>
            <w14:solidFill>
              <w14:schemeClr w14:val="tx1"/>
            </w14:solidFill>
          </w14:textFill>
        </w:rPr>
        <w:t>聚焦“专精特新”提品质。</w:t>
      </w:r>
      <w:r>
        <w:rPr>
          <w:rFonts w:hint="eastAsia" w:ascii="仿宋_GB2312" w:eastAsia="仿宋_GB2312" w:cs="Times New Roman"/>
          <w:color w:val="000000" w:themeColor="text1"/>
          <w:sz w:val="32"/>
          <w:szCs w:val="32"/>
          <w14:textFill>
            <w14:solidFill>
              <w14:schemeClr w14:val="tx1"/>
            </w14:solidFill>
          </w14:textFill>
        </w:rPr>
        <w:t>大力培育引导企业走“专精特新”发展之路，科创、沁峰机器人等2家企业已认定为2023年国家专精特新“小巨人”企业，洞庭明珠食品等6家企业已认定为2023年湖南省专精特新中小企业，目前全县已拥有3家国家专精特新“小巨人”企业，15家湖南省专精特新中小企业。</w:t>
      </w:r>
      <w:r>
        <w:rPr>
          <w:rFonts w:hint="eastAsia" w:ascii="仿宋_GB2312" w:eastAsia="仿宋_GB2312" w:cs="Times New Roman"/>
          <w:b/>
          <w:color w:val="000000" w:themeColor="text1"/>
          <w:sz w:val="32"/>
          <w:szCs w:val="32"/>
          <w14:textFill>
            <w14:solidFill>
              <w14:schemeClr w14:val="tx1"/>
            </w14:solidFill>
          </w14:textFill>
        </w:rPr>
        <w:t>聚焦“两化”融合促转型。</w:t>
      </w:r>
      <w:r>
        <w:rPr>
          <w:rFonts w:hint="eastAsia" w:ascii="仿宋_GB2312" w:eastAsia="仿宋_GB2312" w:cs="Times New Roman"/>
          <w:color w:val="000000" w:themeColor="text1"/>
          <w:sz w:val="32"/>
          <w:szCs w:val="32"/>
          <w14:textFill>
            <w14:solidFill>
              <w14:schemeClr w14:val="tx1"/>
            </w14:solidFill>
          </w14:textFill>
        </w:rPr>
        <w:t>积极组织开展“两化融合”管理体系贯标政策培训，科创纺织入选2023年湖南省“上云上平台”标杆企业拟认定名单，康沃医疗等6家企业正式入围“湖南省两化融合管理体系贯标试点企业名单”行列；科力嘉纺织等3家企业入选“2023年度100家‘湖湘精品’中小企业品牌能力提升试点企业名单”，排全市第1名、全省第2名，实现了历史性突破；吉娃米业等6家企业入选“智赋万企”2023年细分行业中小企业数字化转型试点企业；已组织华隆酸菜等3家企业申报2023年“数字新基建”项目，已组织科创纺织等2家单位（企业）申报数字湖南十大应用场景建设计划重点项目。</w:t>
      </w:r>
      <w:r>
        <w:rPr>
          <w:rFonts w:hint="eastAsia" w:ascii="仿宋_GB2312" w:eastAsia="仿宋_GB2312" w:cs="Times New Roman"/>
          <w:b/>
          <w:color w:val="000000" w:themeColor="text1"/>
          <w:sz w:val="32"/>
          <w:szCs w:val="32"/>
          <w14:textFill>
            <w14:solidFill>
              <w14:schemeClr w14:val="tx1"/>
            </w14:solidFill>
          </w14:textFill>
        </w:rPr>
        <w:t>聚焦“智能制造”增特色。</w:t>
      </w:r>
      <w:r>
        <w:rPr>
          <w:rFonts w:hint="eastAsia" w:ascii="仿宋_GB2312" w:eastAsia="仿宋_GB2312" w:cs="Times New Roman"/>
          <w:color w:val="000000" w:themeColor="text1"/>
          <w:sz w:val="32"/>
          <w:szCs w:val="32"/>
          <w14:textFill>
            <w14:solidFill>
              <w14:schemeClr w14:val="tx1"/>
            </w14:solidFill>
          </w14:textFill>
        </w:rPr>
        <w:t>科创纺织获评2022年度国家级“绿色工厂”（岳阳仅1家），入选“2023年第一批湖南省省级企业技术中心”（总第28批）名单、2023年湖南省纺织行业新模式、新业态典型案例名单；科力嘉纺织获评第四批湖南省制造业单项冠军产品，入选2023年湖南省消费品工业“三品”标杆企业拟认定名单、2023年湖南省纺织行业新模式、新业态典型案例名单；恒兴建材等3家企业获评2023年湖南省绿色工厂；华容县高新技术产业开发区获得“湖南省节水型示范园区”称号，正组织申报2024年湖南省绿色园区。华容县丰硕硅材料有限公司等3家企业通过了2023年全省自愿性清洁生产审核。已组织湖南沁峰机器人有限公司申报2023年国家制造业单项冠军企业。已组织华润雪花啤酒（中国）有限公司湖南分公司、沁峰机器人等3家企业申报2024年湖南省绿色工厂。</w:t>
      </w:r>
      <w:r>
        <w:rPr>
          <w:rFonts w:hint="eastAsia" w:ascii="仿宋_GB2312" w:eastAsia="仿宋_GB2312" w:cs="Times New Roman"/>
          <w:b/>
          <w:bCs/>
          <w:color w:val="000000" w:themeColor="text1"/>
          <w:sz w:val="32"/>
          <w:szCs w:val="32"/>
          <w:lang w:val="en-US" w:eastAsia="zh-CN"/>
          <w14:textFill>
            <w14:solidFill>
              <w14:schemeClr w14:val="tx1"/>
            </w14:solidFill>
          </w14:textFill>
        </w:rPr>
        <w:t>⑤</w:t>
      </w:r>
      <w:r>
        <w:rPr>
          <w:rFonts w:hint="eastAsia" w:ascii="楷体_GB2312" w:hAnsi="Calibri" w:eastAsia="楷体_GB2312" w:cs="Times New Roman"/>
          <w:b/>
          <w:color w:val="000000" w:themeColor="text1"/>
          <w:sz w:val="32"/>
          <w:szCs w:val="32"/>
          <w14:textFill>
            <w14:solidFill>
              <w14:schemeClr w14:val="tx1"/>
            </w14:solidFill>
          </w14:textFill>
        </w:rPr>
        <w:t>争项争资再创佳绩</w:t>
      </w:r>
      <w:r>
        <w:rPr>
          <w:rFonts w:hint="eastAsia" w:ascii="楷体_GB2312" w:eastAsia="楷体_GB2312"/>
          <w:b/>
          <w:color w:val="000000" w:themeColor="text1"/>
          <w:sz w:val="32"/>
          <w:szCs w:val="32"/>
          <w14:textFill>
            <w14:solidFill>
              <w14:schemeClr w14:val="tx1"/>
            </w14:solidFill>
          </w14:textFill>
        </w:rPr>
        <w:t>。</w:t>
      </w:r>
      <w:r>
        <w:rPr>
          <w:rFonts w:hint="eastAsia" w:ascii="仿宋_GB2312" w:hAnsi="仿宋_GB2312" w:eastAsia="仿宋_GB2312" w:cs="仿宋_GB2312"/>
          <w:color w:val="000000" w:themeColor="text1"/>
          <w:sz w:val="32"/>
          <w:szCs w:val="32"/>
          <w14:textFill>
            <w14:solidFill>
              <w14:schemeClr w14:val="tx1"/>
            </w14:solidFill>
          </w14:textFill>
        </w:rPr>
        <w:t>坚持以“咬定青山不放松”的精神，帮助企业争取上级工信主管部门项目扶持，建立优质企业梯度培育体系，实施企业培育专项行动，积极引导潜力企业走专精特新之路，动态确定倍增计划企业，重点扶持科创纺织、科力嘉纺织等纺织骨干企业加强智能化改造，扶持恒兴建材等“小巨人”企业倍增上市，扶持雪花啤酒、赛隆药业等纳税大户扩能提效，扶持华隆酸菜、蓬盛食品、开口爽食品、海霸食品、洞庭明珠食品等食品加工企业进驻园区、转型升级，扶持沁峰机器人为龙头的通用设备制造产业做大做强。截至目前，已成功申报国家级重点小巨人企业扶持专项、省先进制造业高地建设专项、中小企业发展专项项目20个，预计下达项目资金1460万元，争取新能源项目建设资金200万元。其中，省先进制造业高地建设专项14个、省中小企业发展专项3个、市工业高质量发展重点工作配套奖补2个。</w:t>
      </w:r>
      <w:r>
        <w:rPr>
          <w:rFonts w:hint="eastAsia" w:ascii="仿宋_GB2312" w:hAnsi="仿宋_GB2312" w:eastAsia="仿宋_GB2312" w:cs="仿宋_GB2312"/>
          <w:b/>
          <w:bCs/>
          <w:color w:val="000000" w:themeColor="text1"/>
          <w:sz w:val="32"/>
          <w:szCs w:val="32"/>
          <w:lang w:val="en-US" w:eastAsia="zh-CN"/>
          <w14:textFill>
            <w14:solidFill>
              <w14:schemeClr w14:val="tx1"/>
            </w14:solidFill>
          </w14:textFill>
        </w:rPr>
        <w:t>⑥</w:t>
      </w:r>
      <w:r>
        <w:rPr>
          <w:rFonts w:hint="eastAsia" w:ascii="楷体_GB2312" w:hAnsi="Calibri" w:eastAsia="楷体_GB2312" w:cs="Times New Roman"/>
          <w:b/>
          <w:color w:val="000000" w:themeColor="text1"/>
          <w:sz w:val="32"/>
          <w:szCs w:val="32"/>
          <w14:textFill>
            <w14:solidFill>
              <w14:schemeClr w14:val="tx1"/>
            </w14:solidFill>
          </w14:textFill>
        </w:rPr>
        <w:t>纾困解难优化服务。</w:t>
      </w:r>
      <w:r>
        <w:rPr>
          <w:rFonts w:hint="eastAsia" w:ascii="仿宋_GB2312" w:eastAsia="仿宋_GB2312"/>
          <w:color w:val="000000" w:themeColor="text1"/>
          <w:sz w:val="32"/>
          <w:szCs w:val="32"/>
          <w14:textFill>
            <w14:solidFill>
              <w14:schemeClr w14:val="tx1"/>
            </w14:solidFill>
          </w14:textFill>
        </w:rPr>
        <w:t>根据《华容县2023年度县级干部及县直单位派驻重点企业（项目）特派员安排表》（华发〔2023〕1号）等文件要求，</w:t>
      </w:r>
      <w:r>
        <w:rPr>
          <w:rFonts w:hint="eastAsia" w:ascii="仿宋_GB2312" w:hAnsi="仿宋" w:eastAsia="仿宋_GB2312" w:cs="Times New Roman"/>
          <w:color w:val="000000" w:themeColor="text1"/>
          <w:sz w:val="32"/>
          <w:szCs w:val="32"/>
          <w14:textFill>
            <w14:solidFill>
              <w14:schemeClr w14:val="tx1"/>
            </w14:solidFill>
          </w14:textFill>
        </w:rPr>
        <w:t>持续开展企业（项目）纾困解难联手帮扶七大专项行动，深入实施</w:t>
      </w:r>
      <w:r>
        <w:rPr>
          <w:rFonts w:hint="eastAsia" w:ascii="仿宋_GB2312" w:eastAsia="仿宋_GB2312"/>
          <w:color w:val="000000" w:themeColor="text1"/>
          <w:sz w:val="32"/>
          <w:szCs w:val="32"/>
          <w14:textFill>
            <w14:solidFill>
              <w14:schemeClr w14:val="tx1"/>
            </w14:solidFill>
          </w14:textFill>
        </w:rPr>
        <w:t>县领导联系帮扶23家龙头企业（项目）、37名“特派员”驻企帮扶35家重点企业（项目）。</w:t>
      </w:r>
      <w:r>
        <w:rPr>
          <w:rFonts w:hint="eastAsia" w:ascii="仿宋_GB2312" w:hAnsi="仿宋_GB2312" w:eastAsia="仿宋_GB2312" w:cs="仿宋_GB2312"/>
          <w:color w:val="000000" w:themeColor="text1"/>
          <w:sz w:val="32"/>
          <w:szCs w:val="32"/>
          <w14:textFill>
            <w14:solidFill>
              <w14:schemeClr w14:val="tx1"/>
            </w14:solidFill>
          </w14:textFill>
        </w:rPr>
        <w:t>送派得力干部帮扶重点企业（项目），宣传各类惠企政策，帮助企业申报各类项目资金，积极做好企业立项、备案等服务，为企业（项目）排忧解难。</w:t>
      </w:r>
      <w:r>
        <w:rPr>
          <w:rFonts w:hint="eastAsia" w:ascii="楷体_GB2312" w:eastAsia="楷体_GB2312"/>
          <w:b/>
          <w:color w:val="000000" w:themeColor="text1"/>
          <w:sz w:val="32"/>
          <w:szCs w:val="32"/>
          <w14:textFill>
            <w14:solidFill>
              <w14:schemeClr w14:val="tx1"/>
            </w14:solidFill>
          </w14:textFill>
        </w:rPr>
        <w:t>细化实化政策举措。</w:t>
      </w:r>
      <w:r>
        <w:rPr>
          <w:rFonts w:hint="eastAsia" w:ascii="仿宋_GB2312" w:hAnsi="仿宋_GB2312" w:eastAsia="仿宋_GB2312" w:cs="仿宋_GB2312"/>
          <w:color w:val="000000" w:themeColor="text1"/>
          <w:sz w:val="32"/>
          <w:szCs w:val="32"/>
          <w14:textFill>
            <w14:solidFill>
              <w14:schemeClr w14:val="tx1"/>
            </w14:solidFill>
          </w14:textFill>
        </w:rPr>
        <w:t>做好政策宣传、解读，加速释放政策红利，常态化开展“送政策解难题优服务”。编印《政策清单》（企业篇）200余份，结合“走找想促”、“三送三解三优”行动，开展送政策进园区、进企业，走访企业120家，了解了企业生产经营情况，让企业快速精准享受到一揽子政策红利。截至目前，已为企业争取工信部门项目资金共计1460万元。</w:t>
      </w:r>
      <w:r>
        <w:rPr>
          <w:rFonts w:hint="eastAsia" w:ascii="楷体_GB2312" w:eastAsia="楷体_GB2312"/>
          <w:b/>
          <w:color w:val="000000" w:themeColor="text1"/>
          <w:sz w:val="32"/>
          <w:szCs w:val="32"/>
          <w14:textFill>
            <w14:solidFill>
              <w14:schemeClr w14:val="tx1"/>
            </w14:solidFill>
          </w14:textFill>
        </w:rPr>
        <w:t>推动解决企业负担问题。</w:t>
      </w:r>
      <w:r>
        <w:rPr>
          <w:rFonts w:hint="eastAsia" w:ascii="仿宋_GB2312" w:hAnsi="仿宋_GB2312" w:eastAsia="仿宋_GB2312" w:cs="仿宋_GB2312"/>
          <w:color w:val="000000" w:themeColor="text1"/>
          <w:sz w:val="32"/>
          <w:szCs w:val="32"/>
          <w14:textFill>
            <w14:solidFill>
              <w14:schemeClr w14:val="tx1"/>
            </w14:solidFill>
          </w14:textFill>
        </w:rPr>
        <w:t>积极组织县内中小企业注册认证“湘企融”平台，为中小企业提供一站式融资服务。</w:t>
      </w:r>
      <w:r>
        <w:rPr>
          <w:rFonts w:hint="eastAsia" w:ascii="仿宋_GB2312" w:hAnsi="Calibri" w:eastAsia="仿宋_GB2312"/>
          <w:color w:val="000000" w:themeColor="text1"/>
          <w:sz w:val="32"/>
          <w:szCs w:val="32"/>
          <w14:textFill>
            <w14:solidFill>
              <w14:schemeClr w14:val="tx1"/>
            </w14:solidFill>
          </w14:textFill>
        </w:rPr>
        <w:t>积极推广宣传风补基金“白名单”，加强审核力度，确保符合条件有需要的企业应入尽入，提振企业信心。</w:t>
      </w:r>
      <w:r>
        <w:rPr>
          <w:rFonts w:hint="eastAsia" w:ascii="仿宋_GB2312" w:hAnsi="仿宋_GB2312" w:eastAsia="仿宋_GB2312" w:cs="仿宋_GB2312"/>
          <w:color w:val="000000" w:themeColor="text1"/>
          <w:sz w:val="32"/>
          <w:szCs w:val="32"/>
          <w14:textFill>
            <w14:solidFill>
              <w14:schemeClr w14:val="tx1"/>
            </w14:solidFill>
          </w14:textFill>
        </w:rPr>
        <w:t>我县目前通过市风补基金“白名单”的企业有91家，融资贷款金额达1.8亿元。</w:t>
      </w:r>
      <w:r>
        <w:rPr>
          <w:rFonts w:hint="eastAsia" w:ascii="仿宋_GB2312" w:eastAsia="仿宋_GB2312" w:cs="仿宋_GB2312"/>
          <w:color w:val="000000"/>
          <w:sz w:val="32"/>
          <w:szCs w:val="32"/>
        </w:rPr>
        <w:t>8月24日，在华容县优化营商环境暨“两带头五整治”纠风防腐专项行动推进会上，我局接受全县优化营商环境民主公开测评，民主测评分排名第二。</w:t>
      </w:r>
      <w:r>
        <w:rPr>
          <w:rFonts w:hint="eastAsia" w:ascii="仿宋_GB2312" w:eastAsia="仿宋_GB2312" w:cs="仿宋_GB2312"/>
          <w:b/>
          <w:bCs/>
          <w:color w:val="000000"/>
          <w:sz w:val="32"/>
          <w:szCs w:val="32"/>
          <w:lang w:val="en-US" w:eastAsia="zh-CN"/>
        </w:rPr>
        <w:t>⑦</w:t>
      </w:r>
      <w:r>
        <w:rPr>
          <w:rFonts w:hint="eastAsia" w:ascii="楷体_GB2312" w:hAnsi="Calibri" w:eastAsia="楷体_GB2312" w:cs="Times New Roman"/>
          <w:b/>
          <w:color w:val="000000" w:themeColor="text1"/>
          <w:sz w:val="32"/>
          <w:szCs w:val="32"/>
          <w14:textFill>
            <w14:solidFill>
              <w14:schemeClr w14:val="tx1"/>
            </w14:solidFill>
          </w14:textFill>
        </w:rPr>
        <w:t>全力申报化工园区。</w:t>
      </w:r>
      <w:r>
        <w:rPr>
          <w:rFonts w:hint="eastAsia" w:ascii="楷体_GB2312" w:eastAsia="楷体_GB2312"/>
          <w:b/>
          <w:color w:val="000000" w:themeColor="text1"/>
          <w:sz w:val="32"/>
          <w:szCs w:val="32"/>
          <w14:textFill>
            <w14:solidFill>
              <w14:schemeClr w14:val="tx1"/>
            </w14:solidFill>
          </w14:textFill>
        </w:rPr>
        <w:t>专班推进。</w:t>
      </w:r>
      <w:r>
        <w:rPr>
          <w:rFonts w:hint="eastAsia" w:ascii="仿宋_GB2312" w:hAnsi="仿宋_GB2312" w:eastAsia="仿宋_GB2312" w:cs="仿宋_GB2312"/>
          <w:color w:val="000000" w:themeColor="text1"/>
          <w:sz w:val="32"/>
          <w:szCs w:val="32"/>
          <w14:textFill>
            <w14:solidFill>
              <w14:schemeClr w14:val="tx1"/>
            </w14:solidFill>
          </w14:textFill>
        </w:rPr>
        <w:t>成立了县委书记挂帅，县长为组长，政协主席张大宏任顾问，县委常委、常务副县长潘典宏、副县长易斌为副组长的申报工作领导小组，发改、工信、应急、自然资源、住建、交通、高新区为成员单位。领导小组下设工作专班，从发改、工信、高新区抽调人员组成。</w:t>
      </w:r>
      <w:r>
        <w:rPr>
          <w:rFonts w:hint="eastAsia" w:ascii="楷体_GB2312" w:eastAsia="楷体_GB2312"/>
          <w:b/>
          <w:color w:val="000000" w:themeColor="text1"/>
          <w:sz w:val="32"/>
          <w:szCs w:val="32"/>
          <w14:textFill>
            <w14:solidFill>
              <w14:schemeClr w14:val="tx1"/>
            </w14:solidFill>
          </w14:textFill>
        </w:rPr>
        <w:t>统一部署。</w:t>
      </w:r>
      <w:r>
        <w:rPr>
          <w:rFonts w:hint="eastAsia" w:ascii="仿宋_GB2312" w:hAnsi="仿宋_GB2312" w:eastAsia="仿宋_GB2312" w:cs="仿宋_GB2312"/>
          <w:color w:val="000000" w:themeColor="text1"/>
          <w:sz w:val="32"/>
          <w:szCs w:val="32"/>
          <w14:textFill>
            <w14:solidFill>
              <w14:schemeClr w14:val="tx1"/>
            </w14:solidFill>
          </w14:textFill>
        </w:rPr>
        <w:t>自6月28日周县长组织召开化工产业园申报工作会议后，先后召开五次调度会，研究推进中的新情况、新问题，安排下阶段工作，特别是11月16日、17日先后召开县政府常务会、县委常委会听取工作情况汇报，县委、县政府决定要统一思想、坚定信心、抢抓机遇、全力攻坚，明确了后段推进措施。</w:t>
      </w:r>
      <w:r>
        <w:rPr>
          <w:rFonts w:hint="eastAsia" w:ascii="楷体_GB2312" w:eastAsia="楷体_GB2312"/>
          <w:b/>
          <w:color w:val="000000" w:themeColor="text1"/>
          <w:sz w:val="32"/>
          <w:szCs w:val="32"/>
          <w14:textFill>
            <w14:solidFill>
              <w14:schemeClr w14:val="tx1"/>
            </w14:solidFill>
          </w14:textFill>
        </w:rPr>
        <w:t>寻求突破。</w:t>
      </w:r>
      <w:r>
        <w:rPr>
          <w:rFonts w:hint="eastAsia" w:ascii="仿宋_GB2312" w:hAnsi="仿宋_GB2312" w:eastAsia="仿宋_GB2312" w:cs="仿宋_GB2312"/>
          <w:color w:val="000000" w:themeColor="text1"/>
          <w:sz w:val="32"/>
          <w:szCs w:val="32"/>
          <w14:textFill>
            <w14:solidFill>
              <w14:schemeClr w14:val="tx1"/>
            </w14:solidFill>
          </w14:textFill>
        </w:rPr>
        <w:t>项目方面，保持与国家能源集团、中国化学工程集团、陕煤化集团、榆林能源集团等大型央企国企的紧密对接，邀请中化学下属公司2次来华容进行现场考察，积极引进煤化工项目。目前，正在推动中化学在湖南投资新建大型煤化工产业园区和项目的合作事宜，榆林能源集团已于12月15日与政府就低碳新能源化工新材料产业示范园项目签订了框架协议。申报方面，县领导和相关部门单位多次赴省进京汇报对接，向省化工协会、省工信厅、省央企合作对接重大招商工作专班汇报华容县产业发展方向（煤化工与化工新材料）以及申报优势（政策、区位、资源、配套、项目），请领导专家多次到现场视察，对基础条件、信心决心、创业氛围等方面给予充分肯定。邀请华容籍国家煤化工产业专家、中石化长城能化公司副总经理何祚云来长沙，与省化工设计院专家就《产业发展规划》进行了交流和沟通。目前，已完成《产业发展规划》《禁限控目录》的修改、评审工作，正在走市政府向省工信厅行文推荐程序。</w:t>
      </w:r>
    </w:p>
    <w:p>
      <w:pPr>
        <w:pStyle w:val="2"/>
        <w:rPr>
          <w:rFonts w:hint="eastAsia" w:ascii="Times New Roman" w:hAnsi="Times New Roman" w:eastAsia="仿宋_GB2312" w:cs="Times New Roman"/>
          <w:b w:val="0"/>
          <w:bCs w:val="0"/>
          <w:kern w:val="2"/>
          <w:sz w:val="32"/>
          <w:szCs w:val="32"/>
          <w:lang w:val="en-US" w:eastAsia="zh-CN" w:bidi="ar-SA"/>
        </w:rPr>
      </w:pPr>
    </w:p>
    <w:p>
      <w:pPr>
        <w:pStyle w:val="2"/>
        <w:ind w:firstLine="640" w:firstLineChars="200"/>
        <w:rPr>
          <w:rFonts w:hint="eastAsia"/>
        </w:rPr>
      </w:pPr>
      <w:r>
        <w:rPr>
          <w:rFonts w:hint="eastAsia" w:ascii="Times New Roman" w:hAnsi="Times New Roman" w:eastAsia="仿宋_GB2312" w:cs="Times New Roman"/>
          <w:b w:val="0"/>
          <w:bCs w:val="0"/>
          <w:kern w:val="2"/>
          <w:sz w:val="32"/>
          <w:szCs w:val="32"/>
          <w:lang w:val="en-US" w:eastAsia="zh-CN" w:bidi="ar-SA"/>
        </w:rPr>
        <w:t>3.预算管理方面，工信部门制定了切实有效的内部财务、资产内部管理制度，执行总体较为有效。</w:t>
      </w:r>
    </w:p>
    <w:p>
      <w:pPr>
        <w:spacing w:before="220" w:line="600" w:lineRule="exact"/>
        <w:ind w:left="641"/>
        <w:rPr>
          <w:rFonts w:hint="eastAsia" w:ascii="黑体" w:hAnsi="黑体" w:eastAsia="黑体" w:cs="黑体"/>
          <w:spacing w:val="9"/>
          <w:position w:val="21"/>
          <w:sz w:val="32"/>
          <w:szCs w:val="32"/>
        </w:rPr>
      </w:pPr>
      <w:r>
        <w:rPr>
          <w:rFonts w:hint="eastAsia" w:ascii="黑体" w:hAnsi="黑体" w:eastAsia="黑体" w:cs="黑体"/>
          <w:spacing w:val="9"/>
          <w:position w:val="21"/>
          <w:sz w:val="32"/>
          <w:szCs w:val="32"/>
        </w:rPr>
        <w:t>七、存在的问题及原因分析</w:t>
      </w:r>
    </w:p>
    <w:p>
      <w:pPr>
        <w:keepNext w:val="0"/>
        <w:keepLines w:val="0"/>
        <w:pageBreakBefore w:val="0"/>
        <w:widowControl/>
        <w:kinsoku/>
        <w:wordWrap/>
        <w:overflowPunct/>
        <w:topLinePunct w:val="0"/>
        <w:autoSpaceDE/>
        <w:autoSpaceDN/>
        <w:bidi w:val="0"/>
        <w:adjustRightInd/>
        <w:snapToGrid/>
        <w:spacing w:line="610" w:lineRule="exact"/>
        <w:ind w:firstLine="640" w:firstLineChars="200"/>
        <w:jc w:val="both"/>
        <w:textAlignment w:val="auto"/>
        <w:rPr>
          <w:rFonts w:hint="eastAsia" w:ascii="Times New Roman" w:hAnsi="Times New Roman" w:eastAsia="仿宋_GB2312" w:cs="Times New Roman"/>
          <w:sz w:val="32"/>
          <w:szCs w:val="32"/>
          <w:lang w:eastAsia="zh-CN"/>
        </w:rPr>
      </w:pPr>
      <w:r>
        <w:rPr>
          <w:rFonts w:hint="eastAsia" w:ascii="Times New Roman" w:hAnsi="Times New Roman" w:eastAsia="仿宋_GB2312" w:cs="Times New Roman"/>
          <w:sz w:val="32"/>
          <w:szCs w:val="32"/>
        </w:rPr>
        <w:t>编制预算绩效目标时量化指标的设定有待加强</w:t>
      </w:r>
      <w:r>
        <w:rPr>
          <w:rFonts w:hint="eastAsia" w:eastAsia="仿宋_GB2312" w:cs="Times New Roman"/>
          <w:sz w:val="32"/>
          <w:szCs w:val="32"/>
          <w:lang w:eastAsia="zh-CN"/>
        </w:rPr>
        <w:t>。</w:t>
      </w:r>
    </w:p>
    <w:p>
      <w:pPr>
        <w:pStyle w:val="2"/>
        <w:rPr>
          <w:rFonts w:hint="eastAsia"/>
        </w:rPr>
      </w:pPr>
    </w:p>
    <w:p>
      <w:pPr>
        <w:numPr>
          <w:ilvl w:val="0"/>
          <w:numId w:val="2"/>
        </w:numPr>
        <w:spacing w:line="227" w:lineRule="auto"/>
        <w:ind w:left="643"/>
        <w:rPr>
          <w:rFonts w:hint="eastAsia" w:ascii="黑体" w:hAnsi="黑体" w:eastAsia="黑体" w:cs="黑体"/>
          <w:spacing w:val="8"/>
          <w:sz w:val="32"/>
          <w:szCs w:val="32"/>
        </w:rPr>
      </w:pPr>
      <w:r>
        <w:rPr>
          <w:rFonts w:hint="eastAsia" w:ascii="黑体" w:hAnsi="黑体" w:eastAsia="黑体" w:cs="黑体"/>
          <w:spacing w:val="8"/>
          <w:sz w:val="32"/>
          <w:szCs w:val="32"/>
        </w:rPr>
        <w:t>下一步改进措施</w:t>
      </w:r>
    </w:p>
    <w:p>
      <w:pPr>
        <w:keepNext w:val="0"/>
        <w:keepLines w:val="0"/>
        <w:pageBreakBefore w:val="0"/>
        <w:widowControl/>
        <w:kinsoku/>
        <w:wordWrap/>
        <w:overflowPunct/>
        <w:topLinePunct w:val="0"/>
        <w:autoSpaceDE/>
        <w:autoSpaceDN/>
        <w:bidi w:val="0"/>
        <w:adjustRightInd/>
        <w:snapToGrid/>
        <w:spacing w:line="610" w:lineRule="exact"/>
        <w:ind w:firstLine="640" w:firstLineChars="200"/>
        <w:jc w:val="both"/>
        <w:textAlignment w:val="auto"/>
        <w:rPr>
          <w:rFonts w:hint="eastAsia" w:ascii="Times New Roman" w:hAnsi="Times New Roman" w:eastAsia="仿宋_GB2312" w:cs="Times New Roman"/>
          <w:sz w:val="32"/>
          <w:szCs w:val="32"/>
        </w:rPr>
      </w:pPr>
      <w:r>
        <w:rPr>
          <w:rFonts w:hint="eastAsia" w:ascii="Times New Roman" w:hAnsi="Times New Roman" w:eastAsia="仿宋_GB2312" w:cs="Times New Roman"/>
          <w:sz w:val="32"/>
          <w:szCs w:val="32"/>
        </w:rPr>
        <w:t>一是按照预算规定的项目和用途严格财务审核，经费支出严格按预算规定项目的财务支出内容进行财务核算，在预算金额内严格控制费用的支出。</w:t>
      </w:r>
    </w:p>
    <w:p>
      <w:pPr>
        <w:keepNext w:val="0"/>
        <w:keepLines w:val="0"/>
        <w:pageBreakBefore w:val="0"/>
        <w:widowControl/>
        <w:kinsoku/>
        <w:wordWrap/>
        <w:overflowPunct/>
        <w:topLinePunct w:val="0"/>
        <w:autoSpaceDE/>
        <w:autoSpaceDN/>
        <w:bidi w:val="0"/>
        <w:adjustRightInd/>
        <w:snapToGrid/>
        <w:spacing w:line="610" w:lineRule="exact"/>
        <w:ind w:firstLine="640" w:firstLineChars="200"/>
        <w:jc w:val="both"/>
        <w:textAlignment w:val="auto"/>
        <w:rPr>
          <w:rFonts w:hint="eastAsia" w:ascii="Times New Roman" w:hAnsi="Times New Roman" w:eastAsia="仿宋_GB2312" w:cs="Times New Roman"/>
          <w:sz w:val="32"/>
          <w:szCs w:val="32"/>
        </w:rPr>
      </w:pPr>
      <w:r>
        <w:rPr>
          <w:rFonts w:hint="eastAsia" w:ascii="Times New Roman" w:hAnsi="Times New Roman" w:eastAsia="仿宋_GB2312" w:cs="Times New Roman"/>
          <w:sz w:val="32"/>
          <w:szCs w:val="32"/>
        </w:rPr>
        <w:t>二是严格控制“三公经费”支出，进一步细化“三公经费”管理，压缩“三公经费”支出。</w:t>
      </w:r>
    </w:p>
    <w:p>
      <w:pPr>
        <w:pStyle w:val="2"/>
        <w:numPr>
          <w:ilvl w:val="0"/>
          <w:numId w:val="0"/>
        </w:numPr>
        <w:ind w:firstLine="640" w:firstLineChars="200"/>
        <w:rPr>
          <w:rFonts w:hint="eastAsia"/>
        </w:rPr>
      </w:pPr>
      <w:r>
        <w:rPr>
          <w:rFonts w:hint="eastAsia" w:ascii="Times New Roman" w:hAnsi="Times New Roman" w:eastAsia="仿宋_GB2312" w:cs="Times New Roman"/>
          <w:sz w:val="32"/>
          <w:szCs w:val="32"/>
        </w:rPr>
        <w:t>三是预算财务分析常态化，定期做好预算支出财务分析，做好部门整体支出预算评价工作。</w:t>
      </w:r>
    </w:p>
    <w:p>
      <w:pPr>
        <w:spacing w:before="219" w:line="600" w:lineRule="exact"/>
        <w:ind w:left="650"/>
        <w:rPr>
          <w:rFonts w:hint="eastAsia" w:ascii="黑体" w:hAnsi="黑体" w:eastAsia="黑体" w:cs="黑体"/>
          <w:sz w:val="32"/>
          <w:szCs w:val="32"/>
        </w:rPr>
      </w:pPr>
      <w:r>
        <w:rPr>
          <w:rFonts w:hint="eastAsia" w:ascii="黑体" w:hAnsi="黑体" w:eastAsia="黑体" w:cs="黑体"/>
          <w:spacing w:val="9"/>
          <w:position w:val="21"/>
          <w:sz w:val="32"/>
          <w:szCs w:val="32"/>
        </w:rPr>
        <w:t>九、部门整体支出绩效自评结果拟应用和公开</w:t>
      </w:r>
      <w:r>
        <w:rPr>
          <w:rFonts w:hint="eastAsia" w:ascii="黑体" w:hAnsi="黑体" w:eastAsia="黑体" w:cs="黑体"/>
          <w:spacing w:val="8"/>
          <w:position w:val="21"/>
          <w:sz w:val="32"/>
          <w:szCs w:val="32"/>
        </w:rPr>
        <w:t>情况</w:t>
      </w:r>
    </w:p>
    <w:p>
      <w:pPr>
        <w:spacing w:line="226" w:lineRule="auto"/>
        <w:ind w:left="647"/>
        <w:rPr>
          <w:rFonts w:hint="default" w:ascii="Times New Roman" w:hAnsi="Times New Roman" w:eastAsia="方正小标宋_GBK" w:cs="Times New Roman"/>
          <w:sz w:val="52"/>
          <w:szCs w:val="52"/>
        </w:rPr>
        <w:sectPr>
          <w:footerReference r:id="rId4" w:type="default"/>
          <w:pgSz w:w="11905" w:h="16838"/>
          <w:pgMar w:top="1984" w:right="1701" w:bottom="1984" w:left="1701" w:header="850" w:footer="992" w:gutter="0"/>
          <w:pgNumType w:fmt="numberInDash"/>
          <w:cols w:space="0" w:num="1"/>
          <w:rtlGutter w:val="0"/>
          <w:docGrid w:type="lines" w:linePitch="314" w:charSpace="0"/>
        </w:sectPr>
      </w:pPr>
      <w:r>
        <w:rPr>
          <w:rFonts w:hint="eastAsia" w:ascii="黑体" w:hAnsi="黑体" w:eastAsia="黑体" w:cs="黑体"/>
          <w:spacing w:val="-3"/>
          <w:sz w:val="32"/>
          <w:szCs w:val="32"/>
        </w:rPr>
        <w:t>十、其他需要说明的情况</w:t>
      </w:r>
    </w:p>
    <w:p>
      <w:pPr>
        <w:keepNext w:val="0"/>
        <w:keepLines w:val="0"/>
        <w:pageBreakBefore w:val="0"/>
        <w:widowControl/>
        <w:kinsoku/>
        <w:wordWrap/>
        <w:overflowPunct/>
        <w:topLinePunct w:val="0"/>
        <w:autoSpaceDE/>
        <w:autoSpaceDN/>
        <w:bidi w:val="0"/>
        <w:adjustRightInd/>
        <w:snapToGrid/>
        <w:spacing w:line="400" w:lineRule="exact"/>
        <w:jc w:val="both"/>
        <w:textAlignment w:val="auto"/>
        <w:rPr>
          <w:rFonts w:hint="eastAsia" w:ascii="黑体" w:hAnsi="黑体" w:eastAsia="黑体" w:cs="黑体"/>
          <w:sz w:val="21"/>
          <w:szCs w:val="21"/>
          <w:lang w:val="en-US" w:eastAsia="zh-CN"/>
        </w:rPr>
      </w:pPr>
    </w:p>
    <w:sectPr>
      <w:footerReference r:id="rId5" w:type="default"/>
      <w:pgSz w:w="11905" w:h="16838"/>
      <w:pgMar w:top="1984" w:right="1701" w:bottom="1984" w:left="1701" w:header="850" w:footer="1587" w:gutter="0"/>
      <w:pgBorders>
        <w:top w:val="none" w:sz="0" w:space="0"/>
        <w:left w:val="none" w:sz="0" w:space="0"/>
        <w:bottom w:val="none" w:sz="0" w:space="0"/>
        <w:right w:val="none" w:sz="0" w:space="0"/>
      </w:pgBorders>
      <w:pgNumType w:fmt="numberInDash"/>
      <w:cols w:space="0" w:num="1"/>
      <w:rtlGutter w:val="0"/>
      <w:docGrid w:type="lines" w:linePitch="314"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276D5DBA-DD8A-4948-B878-9C0442D44139}"/>
  </w:font>
  <w:font w:name="Arial">
    <w:panose1 w:val="020B0604020202020204"/>
    <w:charset w:val="01"/>
    <w:family w:val="swiss"/>
    <w:pitch w:val="default"/>
    <w:sig w:usb0="E0002EFF" w:usb1="C000785B" w:usb2="00000009" w:usb3="00000000" w:csb0="400001FF" w:csb1="FFFF0000"/>
    <w:embedRegular r:id="rId2" w:fontKey="{3BC48BCD-4AB2-429A-8C31-116AD44A8B17}"/>
  </w:font>
  <w:font w:name="黑体">
    <w:panose1 w:val="02010609060101010101"/>
    <w:charset w:val="86"/>
    <w:family w:val="auto"/>
    <w:pitch w:val="default"/>
    <w:sig w:usb0="800002BF" w:usb1="38CF7CFA" w:usb2="00000016" w:usb3="00000000" w:csb0="00040001" w:csb1="00000000"/>
    <w:embedRegular r:id="rId3" w:fontKey="{4E04D10B-6F36-4EDF-BD24-5BA553282466}"/>
  </w:font>
  <w:font w:name="Courier New">
    <w:panose1 w:val="02070309020205020404"/>
    <w:charset w:val="01"/>
    <w:family w:val="modern"/>
    <w:pitch w:val="default"/>
    <w:sig w:usb0="E0002EFF" w:usb1="C0007843" w:usb2="00000009" w:usb3="00000000" w:csb0="400001FF" w:csb1="FFFF0000"/>
    <w:embedRegular r:id="rId4" w:fontKey="{96583863-0594-4DA6-B0BB-27118F3A3F4B}"/>
  </w:font>
  <w:font w:name="Symbol">
    <w:panose1 w:val="05050102010706020507"/>
    <w:charset w:val="02"/>
    <w:family w:val="roman"/>
    <w:pitch w:val="default"/>
    <w:sig w:usb0="00000000" w:usb1="00000000" w:usb2="00000000" w:usb3="00000000" w:csb0="80000000" w:csb1="00000000"/>
    <w:embedRegular r:id="rId5" w:fontKey="{F8DB2CBC-3B0E-43BE-827C-0737A6043BE8}"/>
  </w:font>
  <w:font w:name="Calibri">
    <w:panose1 w:val="020F0502020204030204"/>
    <w:charset w:val="00"/>
    <w:family w:val="swiss"/>
    <w:pitch w:val="default"/>
    <w:sig w:usb0="E4002EFF" w:usb1="C000247B" w:usb2="00000009" w:usb3="00000000" w:csb0="200001FF" w:csb1="00000000"/>
    <w:embedRegular r:id="rId6" w:fontKey="{A75CA4DA-E4AB-47F0-8C6F-3923B0DF4BD8}"/>
  </w:font>
  <w:font w:name="仿宋">
    <w:panose1 w:val="02010609060101010101"/>
    <w:charset w:val="86"/>
    <w:family w:val="auto"/>
    <w:pitch w:val="default"/>
    <w:sig w:usb0="800002BF" w:usb1="38CF7CFA" w:usb2="00000016" w:usb3="00000000" w:csb0="00040001" w:csb1="00000000"/>
    <w:embedRegular r:id="rId7" w:fontKey="{EA00363B-3265-448D-A22A-DFBBD89FB956}"/>
  </w:font>
  <w:font w:name="仿宋_GB2312">
    <w:panose1 w:val="02010609030101010101"/>
    <w:charset w:val="86"/>
    <w:family w:val="auto"/>
    <w:pitch w:val="default"/>
    <w:sig w:usb0="00000001" w:usb1="080E0000" w:usb2="00000000" w:usb3="00000000" w:csb0="00040000" w:csb1="00000000"/>
    <w:embedRegular r:id="rId8" w:fontKey="{4D5DCC6B-399E-40B5-B585-074DF05BDD14}"/>
  </w:font>
  <w:font w:name="方正小标宋简体">
    <w:panose1 w:val="02000000000000000000"/>
    <w:charset w:val="86"/>
    <w:family w:val="auto"/>
    <w:pitch w:val="default"/>
    <w:sig w:usb0="A00002BF" w:usb1="184F6CFA" w:usb2="00000012" w:usb3="00000000" w:csb0="00040001" w:csb1="00000000"/>
    <w:embedRegular r:id="rId9" w:fontKey="{425C8600-FD54-4D62-9D07-4AEB9F731899}"/>
  </w:font>
  <w:font w:name="华文仿宋">
    <w:altName w:val="仿宋"/>
    <w:panose1 w:val="02010600040101010101"/>
    <w:charset w:val="86"/>
    <w:family w:val="auto"/>
    <w:pitch w:val="default"/>
    <w:sig w:usb0="00000000" w:usb1="00000000" w:usb2="00000000" w:usb3="00000000" w:csb0="0004009F" w:csb1="DFD70000"/>
    <w:embedRegular r:id="rId10" w:fontKey="{ECC5AC56-4473-4676-95F9-19BD3FE05CC4}"/>
  </w:font>
  <w:font w:name="楷体_GB2312">
    <w:panose1 w:val="02010609030101010101"/>
    <w:charset w:val="86"/>
    <w:family w:val="auto"/>
    <w:pitch w:val="default"/>
    <w:sig w:usb0="00000001" w:usb1="080E0000" w:usb2="00000000" w:usb3="00000000" w:csb0="00040000" w:csb1="00000000"/>
    <w:embedRegular r:id="rId11" w:fontKey="{07C1493E-66F1-4449-ACE9-2153960F5BEC}"/>
  </w:font>
  <w:font w:name="方正小标宋_GBK">
    <w:panose1 w:val="02000000000000000000"/>
    <w:charset w:val="86"/>
    <w:family w:val="script"/>
    <w:pitch w:val="default"/>
    <w:sig w:usb0="A00002BF" w:usb1="38CF7CFA" w:usb2="00082016" w:usb3="00000000" w:csb0="00040001" w:csb1="00000000"/>
    <w:embedRegular r:id="rId12" w:fontKey="{EE5AF131-5DF6-4EC0-84B0-1215F5E6163D}"/>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before="1" w:line="174" w:lineRule="auto"/>
      <w:jc w:val="center"/>
      <w:rPr>
        <w:sz w:val="28"/>
        <w:szCs w:val="28"/>
      </w:rPr>
    </w:pPr>
    <w:r>
      <w:rPr>
        <w:sz w:val="28"/>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keepNext w:val="0"/>
                            <w:keepLines w:val="0"/>
                            <w:pageBreakBefore w:val="0"/>
                            <w:widowControl w:val="0"/>
                            <w:kinsoku/>
                            <w:wordWrap/>
                            <w:overflowPunct/>
                            <w:topLinePunct w:val="0"/>
                            <w:bidi w:val="0"/>
                            <w:adjustRightInd/>
                            <w:snapToGrid w:val="0"/>
                            <w:ind w:left="525" w:leftChars="250" w:right="525" w:rightChars="250"/>
                            <w:textAlignment w:val="auto"/>
                            <w:rPr>
                              <w:rFonts w:hint="default" w:ascii="Times New Roman" w:hAnsi="Times New Roman" w:eastAsia="华文仿宋" w:cs="Times New Roman"/>
                              <w:sz w:val="32"/>
                              <w:szCs w:val="32"/>
                            </w:rPr>
                          </w:pPr>
                          <w:r>
                            <w:rPr>
                              <w:rFonts w:hint="default" w:ascii="Times New Roman" w:hAnsi="Times New Roman" w:eastAsia="华文仿宋" w:cs="Times New Roman"/>
                              <w:sz w:val="32"/>
                              <w:szCs w:val="32"/>
                            </w:rPr>
                            <w:fldChar w:fldCharType="begin"/>
                          </w:r>
                          <w:r>
                            <w:rPr>
                              <w:rFonts w:hint="default" w:ascii="Times New Roman" w:hAnsi="Times New Roman" w:eastAsia="华文仿宋" w:cs="Times New Roman"/>
                              <w:sz w:val="32"/>
                              <w:szCs w:val="32"/>
                            </w:rPr>
                            <w:instrText xml:space="preserve"> PAGE  \* MERGEFORMAT </w:instrText>
                          </w:r>
                          <w:r>
                            <w:rPr>
                              <w:rFonts w:hint="default" w:ascii="Times New Roman" w:hAnsi="Times New Roman" w:eastAsia="华文仿宋" w:cs="Times New Roman"/>
                              <w:sz w:val="32"/>
                              <w:szCs w:val="32"/>
                            </w:rPr>
                            <w:fldChar w:fldCharType="separate"/>
                          </w:r>
                          <w:r>
                            <w:rPr>
                              <w:rFonts w:hint="default" w:ascii="Times New Roman" w:hAnsi="Times New Roman" w:eastAsia="华文仿宋" w:cs="Times New Roman"/>
                              <w:sz w:val="32"/>
                              <w:szCs w:val="32"/>
                            </w:rPr>
                            <w:t>7</w:t>
                          </w:r>
                          <w:r>
                            <w:rPr>
                              <w:rFonts w:hint="default" w:ascii="Times New Roman" w:hAnsi="Times New Roman" w:eastAsia="华文仿宋" w:cs="Times New Roman"/>
                              <w:sz w:val="32"/>
                              <w:szCs w:val="32"/>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v:fill on="f" focussize="0,0"/>
              <v:stroke on="f" weight="0.5pt"/>
              <v:imagedata o:title=""/>
              <o:lock v:ext="edit" aspectratio="f"/>
              <v:textbox inset="0mm,0mm,0mm,0mm" style="mso-fit-shape-to-text:t;">
                <w:txbxContent>
                  <w:p>
                    <w:pPr>
                      <w:pStyle w:val="4"/>
                      <w:keepNext w:val="0"/>
                      <w:keepLines w:val="0"/>
                      <w:pageBreakBefore w:val="0"/>
                      <w:widowControl w:val="0"/>
                      <w:kinsoku/>
                      <w:wordWrap/>
                      <w:overflowPunct/>
                      <w:topLinePunct w:val="0"/>
                      <w:bidi w:val="0"/>
                      <w:adjustRightInd/>
                      <w:snapToGrid w:val="0"/>
                      <w:ind w:left="525" w:leftChars="250" w:right="525" w:rightChars="250"/>
                      <w:textAlignment w:val="auto"/>
                      <w:rPr>
                        <w:rFonts w:hint="default" w:ascii="Times New Roman" w:hAnsi="Times New Roman" w:eastAsia="华文仿宋" w:cs="Times New Roman"/>
                        <w:sz w:val="32"/>
                        <w:szCs w:val="32"/>
                      </w:rPr>
                    </w:pPr>
                    <w:r>
                      <w:rPr>
                        <w:rFonts w:hint="default" w:ascii="Times New Roman" w:hAnsi="Times New Roman" w:eastAsia="华文仿宋" w:cs="Times New Roman"/>
                        <w:sz w:val="32"/>
                        <w:szCs w:val="32"/>
                      </w:rPr>
                      <w:fldChar w:fldCharType="begin"/>
                    </w:r>
                    <w:r>
                      <w:rPr>
                        <w:rFonts w:hint="default" w:ascii="Times New Roman" w:hAnsi="Times New Roman" w:eastAsia="华文仿宋" w:cs="Times New Roman"/>
                        <w:sz w:val="32"/>
                        <w:szCs w:val="32"/>
                      </w:rPr>
                      <w:instrText xml:space="preserve"> PAGE  \* MERGEFORMAT </w:instrText>
                    </w:r>
                    <w:r>
                      <w:rPr>
                        <w:rFonts w:hint="default" w:ascii="Times New Roman" w:hAnsi="Times New Roman" w:eastAsia="华文仿宋" w:cs="Times New Roman"/>
                        <w:sz w:val="32"/>
                        <w:szCs w:val="32"/>
                      </w:rPr>
                      <w:fldChar w:fldCharType="separate"/>
                    </w:r>
                    <w:r>
                      <w:rPr>
                        <w:rFonts w:hint="default" w:ascii="Times New Roman" w:hAnsi="Times New Roman" w:eastAsia="华文仿宋" w:cs="Times New Roman"/>
                        <w:sz w:val="32"/>
                        <w:szCs w:val="32"/>
                      </w:rPr>
                      <w:t>7</w:t>
                    </w:r>
                    <w:r>
                      <w:rPr>
                        <w:rFonts w:hint="default" w:ascii="Times New Roman" w:hAnsi="Times New Roman" w:eastAsia="华文仿宋" w:cs="Times New Roman"/>
                        <w:sz w:val="32"/>
                        <w:szCs w:val="32"/>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before="1" w:line="174" w:lineRule="auto"/>
      <w:ind w:left="8576"/>
      <w:rPr>
        <w:sz w:val="28"/>
        <w:szCs w:val="28"/>
      </w:rPr>
    </w:pPr>
    <w:r>
      <w:rPr>
        <w:sz w:val="28"/>
      </w:rP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rPr>
                              <w:rFonts w:hint="eastAsia"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hint="eastAsia" w:ascii="华文仿宋" w:hAnsi="华文仿宋" w:eastAsia="华文仿宋" w:cs="华文仿宋"/>
                              <w:sz w:val="28"/>
                              <w:szCs w:val="28"/>
                            </w:rPr>
                            <w:t>10</w:t>
                          </w:r>
                          <w:r>
                            <w:rPr>
                              <w:rFonts w:hint="eastAsia" w:ascii="华文仿宋" w:hAnsi="华文仿宋" w:eastAsia="华文仿宋" w:cs="华文仿宋"/>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sAOHox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rADh6MQIAAGMEAAAOAAAAAAAAAAEAIAAAAB8BAABkcnMvZTJvRG9jLnhtbFBLBQYA&#10;AAAABgAGAFkBAADCBQAAAAA=&#10;">
              <v:fill on="f" focussize="0,0"/>
              <v:stroke on="f" weight="0.5pt"/>
              <v:imagedata o:title=""/>
              <o:lock v:ext="edit" aspectratio="f"/>
              <v:textbox inset="0mm,0mm,0mm,0mm" style="mso-fit-shape-to-text:t;">
                <w:txbxContent>
                  <w:p>
                    <w:pPr>
                      <w:pStyle w:val="4"/>
                      <w:rPr>
                        <w:rFonts w:hint="eastAsia"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hint="eastAsia" w:ascii="华文仿宋" w:hAnsi="华文仿宋" w:eastAsia="华文仿宋" w:cs="华文仿宋"/>
                        <w:sz w:val="28"/>
                        <w:szCs w:val="28"/>
                      </w:rPr>
                      <w:t>10</w:t>
                    </w:r>
                    <w:r>
                      <w:rPr>
                        <w:rFonts w:hint="eastAsia" w:ascii="华文仿宋" w:hAnsi="华文仿宋" w:eastAsia="华文仿宋" w:cs="华文仿宋"/>
                        <w:sz w:val="28"/>
                        <w:szCs w:val="28"/>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before="1" w:line="174" w:lineRule="auto"/>
      <w:ind w:left="574"/>
      <w:rPr>
        <w:sz w:val="28"/>
        <w:szCs w:val="28"/>
      </w:rPr>
    </w:pPr>
    <w:r>
      <w:rPr>
        <w:sz w:val="28"/>
      </w:rPr>
      <mc:AlternateContent>
        <mc:Choice Requires="wps">
          <w:drawing>
            <wp:anchor distT="0" distB="0" distL="114300" distR="114300" simplePos="0" relativeHeight="251661312" behindDoc="0" locked="0" layoutInCell="1" allowOverlap="1">
              <wp:simplePos x="0" y="0"/>
              <wp:positionH relativeFrom="margin">
                <wp:align>outside</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keepNext w:val="0"/>
                            <w:keepLines w:val="0"/>
                            <w:pageBreakBefore w:val="0"/>
                            <w:widowControl w:val="0"/>
                            <w:kinsoku/>
                            <w:wordWrap/>
                            <w:overflowPunct/>
                            <w:topLinePunct w:val="0"/>
                            <w:bidi w:val="0"/>
                            <w:adjustRightInd/>
                            <w:snapToGrid w:val="0"/>
                            <w:ind w:left="525" w:leftChars="250" w:right="525" w:rightChars="250"/>
                            <w:textAlignment w:val="auto"/>
                            <w:rPr>
                              <w:rFonts w:hint="eastAsia"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hint="eastAsia" w:ascii="华文仿宋" w:hAnsi="华文仿宋" w:eastAsia="华文仿宋" w:cs="华文仿宋"/>
                              <w:sz w:val="28"/>
                              <w:szCs w:val="28"/>
                            </w:rPr>
                            <w:t>15</w:t>
                          </w:r>
                          <w:r>
                            <w:rPr>
                              <w:rFonts w:hint="eastAsia" w:ascii="华文仿宋" w:hAnsi="华文仿宋" w:eastAsia="华文仿宋" w:cs="华文仿宋"/>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pPr>
                      <w:pStyle w:val="4"/>
                      <w:keepNext w:val="0"/>
                      <w:keepLines w:val="0"/>
                      <w:pageBreakBefore w:val="0"/>
                      <w:widowControl w:val="0"/>
                      <w:kinsoku/>
                      <w:wordWrap/>
                      <w:overflowPunct/>
                      <w:topLinePunct w:val="0"/>
                      <w:bidi w:val="0"/>
                      <w:adjustRightInd/>
                      <w:snapToGrid w:val="0"/>
                      <w:ind w:left="525" w:leftChars="250" w:right="525" w:rightChars="250"/>
                      <w:textAlignment w:val="auto"/>
                      <w:rPr>
                        <w:rFonts w:hint="eastAsia"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hint="eastAsia" w:ascii="华文仿宋" w:hAnsi="华文仿宋" w:eastAsia="华文仿宋" w:cs="华文仿宋"/>
                        <w:sz w:val="28"/>
                        <w:szCs w:val="28"/>
                      </w:rPr>
                      <w:t>15</w:t>
                    </w:r>
                    <w:r>
                      <w:rPr>
                        <w:rFonts w:hint="eastAsia" w:ascii="华文仿宋" w:hAnsi="华文仿宋" w:eastAsia="华文仿宋" w:cs="华文仿宋"/>
                        <w:sz w:val="28"/>
                        <w:szCs w:val="28"/>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200B450"/>
    <w:multiLevelType w:val="singleLevel"/>
    <w:tmpl w:val="2200B450"/>
    <w:lvl w:ilvl="0" w:tentative="0">
      <w:start w:val="8"/>
      <w:numFmt w:val="chineseCounting"/>
      <w:suff w:val="nothing"/>
      <w:lvlText w:val="%1、"/>
      <w:lvlJc w:val="left"/>
      <w:rPr>
        <w:rFonts w:hint="eastAsia"/>
      </w:rPr>
    </w:lvl>
  </w:abstractNum>
  <w:abstractNum w:abstractNumId="1">
    <w:nsid w:val="723B51D3"/>
    <w:multiLevelType w:val="singleLevel"/>
    <w:tmpl w:val="723B51D3"/>
    <w:lvl w:ilvl="0" w:tentative="0">
      <w:start w:val="1"/>
      <w:numFmt w:val="chineseCounting"/>
      <w:suff w:val="nothing"/>
      <w:lvlText w:val="%1、"/>
      <w:lvlJc w:val="left"/>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bordersDoNotSurroundHeader w:val="0"/>
  <w:bordersDoNotSurroundFooter w:val="0"/>
  <w:documentProtection w:enforcement="0"/>
  <w:defaultTabStop w:val="420"/>
  <w:drawingGridHorizontalSpacing w:val="210"/>
  <w:drawingGridVerticalSpacing w:val="157"/>
  <w:displayHorizontalDrawingGridEvery w:val="1"/>
  <w:displayVerticalDrawingGridEvery w:val="1"/>
  <w:noPunctuationKerning w:val="1"/>
  <w:characterSpacingControl w:val="compressPunctuation"/>
  <w:noLineBreaksAfter w:lang="zh-CN" w:val="$([{£¥·‘“〈《「『【〔〖〝﹙﹛﹝＄（．［｛￡￥"/>
  <w:noLineBreaksBefore w:lang="zh-CN" w:val="!%),.:;&gt;?]}¢¨°·ˇˉ―‖’”…‰′″›℃∶、。〃〉》」』】〕〗〞︶︺︾﹀﹄﹚﹜﹞！＂％＇），．：；？］｀｜｝～￠"/>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doNotUseIndentAsNumberingTabStop/>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DI3YTEzNTI1MDUyNjJhZWE4ZWJlNzAxZDdmNWY2MmMifQ=="/>
    <w:docVar w:name="KSO_WPS_MARK_KEY" w:val="f3950b5a-5ef4-4515-a22e-2ab74764eb7c"/>
  </w:docVars>
  <w:rsids>
    <w:rsidRoot w:val="0CCB7736"/>
    <w:rsid w:val="00047FEF"/>
    <w:rsid w:val="000A3906"/>
    <w:rsid w:val="001776F1"/>
    <w:rsid w:val="006F0A16"/>
    <w:rsid w:val="00773328"/>
    <w:rsid w:val="00821883"/>
    <w:rsid w:val="00917857"/>
    <w:rsid w:val="00951882"/>
    <w:rsid w:val="00A755C2"/>
    <w:rsid w:val="00D06DD6"/>
    <w:rsid w:val="011D2710"/>
    <w:rsid w:val="016A347B"/>
    <w:rsid w:val="01B42948"/>
    <w:rsid w:val="01BF20E7"/>
    <w:rsid w:val="01E4322D"/>
    <w:rsid w:val="021138F7"/>
    <w:rsid w:val="02B50488"/>
    <w:rsid w:val="0338470A"/>
    <w:rsid w:val="034822A9"/>
    <w:rsid w:val="03D86621"/>
    <w:rsid w:val="04EE6171"/>
    <w:rsid w:val="05315F6B"/>
    <w:rsid w:val="05395EA9"/>
    <w:rsid w:val="0616597F"/>
    <w:rsid w:val="06426ACC"/>
    <w:rsid w:val="078F59E9"/>
    <w:rsid w:val="07A62D33"/>
    <w:rsid w:val="086B5F82"/>
    <w:rsid w:val="09E6794E"/>
    <w:rsid w:val="0A067AB9"/>
    <w:rsid w:val="0ABD557B"/>
    <w:rsid w:val="0BBB5A8D"/>
    <w:rsid w:val="0C104906"/>
    <w:rsid w:val="0C607C21"/>
    <w:rsid w:val="0CCB7736"/>
    <w:rsid w:val="0D9E0E8D"/>
    <w:rsid w:val="0E1F65D3"/>
    <w:rsid w:val="0E3E5716"/>
    <w:rsid w:val="0E6B257C"/>
    <w:rsid w:val="0EAB7397"/>
    <w:rsid w:val="0EF755B3"/>
    <w:rsid w:val="0F17035E"/>
    <w:rsid w:val="0F4E168D"/>
    <w:rsid w:val="0F7A0392"/>
    <w:rsid w:val="0FAF3959"/>
    <w:rsid w:val="0FD26E31"/>
    <w:rsid w:val="1020625B"/>
    <w:rsid w:val="11404466"/>
    <w:rsid w:val="11837AA9"/>
    <w:rsid w:val="11963ADD"/>
    <w:rsid w:val="11EB0F5C"/>
    <w:rsid w:val="11F20483"/>
    <w:rsid w:val="12123C76"/>
    <w:rsid w:val="12831010"/>
    <w:rsid w:val="129038DB"/>
    <w:rsid w:val="13441D7E"/>
    <w:rsid w:val="136F31F8"/>
    <w:rsid w:val="138750E0"/>
    <w:rsid w:val="1396506E"/>
    <w:rsid w:val="13D82A59"/>
    <w:rsid w:val="140E6961"/>
    <w:rsid w:val="15604228"/>
    <w:rsid w:val="15A620D3"/>
    <w:rsid w:val="16A3369E"/>
    <w:rsid w:val="17114A8B"/>
    <w:rsid w:val="176B77A7"/>
    <w:rsid w:val="178536BD"/>
    <w:rsid w:val="186A467A"/>
    <w:rsid w:val="19516372"/>
    <w:rsid w:val="19575CC2"/>
    <w:rsid w:val="19A80228"/>
    <w:rsid w:val="19AF68C7"/>
    <w:rsid w:val="19E85A53"/>
    <w:rsid w:val="1A101464"/>
    <w:rsid w:val="1A4C1518"/>
    <w:rsid w:val="1AB71087"/>
    <w:rsid w:val="1AB74849"/>
    <w:rsid w:val="1AC52FF2"/>
    <w:rsid w:val="1AE6175D"/>
    <w:rsid w:val="1B742AA7"/>
    <w:rsid w:val="1BD5498B"/>
    <w:rsid w:val="1BF15B4E"/>
    <w:rsid w:val="1CA34935"/>
    <w:rsid w:val="1D5A640E"/>
    <w:rsid w:val="1E9351E5"/>
    <w:rsid w:val="1F7640EC"/>
    <w:rsid w:val="20176B8B"/>
    <w:rsid w:val="20D30097"/>
    <w:rsid w:val="20D76C5F"/>
    <w:rsid w:val="20E55C2B"/>
    <w:rsid w:val="21057490"/>
    <w:rsid w:val="214A230E"/>
    <w:rsid w:val="21B052C4"/>
    <w:rsid w:val="22B43877"/>
    <w:rsid w:val="22CA430C"/>
    <w:rsid w:val="22DF2F05"/>
    <w:rsid w:val="22FF5445"/>
    <w:rsid w:val="23201E3D"/>
    <w:rsid w:val="2342170A"/>
    <w:rsid w:val="238D0E57"/>
    <w:rsid w:val="24256710"/>
    <w:rsid w:val="251E7983"/>
    <w:rsid w:val="25FE2B31"/>
    <w:rsid w:val="260D5D83"/>
    <w:rsid w:val="260E1D77"/>
    <w:rsid w:val="277A77CA"/>
    <w:rsid w:val="28043432"/>
    <w:rsid w:val="284A2254"/>
    <w:rsid w:val="29165294"/>
    <w:rsid w:val="292F1467"/>
    <w:rsid w:val="29786927"/>
    <w:rsid w:val="297B51B4"/>
    <w:rsid w:val="29E40467"/>
    <w:rsid w:val="29F527E2"/>
    <w:rsid w:val="2A9A1E2C"/>
    <w:rsid w:val="2BF35971"/>
    <w:rsid w:val="2C487650"/>
    <w:rsid w:val="2C5A7AC4"/>
    <w:rsid w:val="2DD85256"/>
    <w:rsid w:val="2E4F43C0"/>
    <w:rsid w:val="2EC7368E"/>
    <w:rsid w:val="2EDC05D9"/>
    <w:rsid w:val="2F0E54B0"/>
    <w:rsid w:val="2F240CAA"/>
    <w:rsid w:val="2F5137B6"/>
    <w:rsid w:val="2FF62815"/>
    <w:rsid w:val="30FB4B41"/>
    <w:rsid w:val="31621165"/>
    <w:rsid w:val="322E1E8E"/>
    <w:rsid w:val="323C5548"/>
    <w:rsid w:val="33235CE2"/>
    <w:rsid w:val="33E365F1"/>
    <w:rsid w:val="33F22F3B"/>
    <w:rsid w:val="359F2200"/>
    <w:rsid w:val="35A42962"/>
    <w:rsid w:val="36AD0EA9"/>
    <w:rsid w:val="36FF783F"/>
    <w:rsid w:val="37450F88"/>
    <w:rsid w:val="375F1A7E"/>
    <w:rsid w:val="378B026E"/>
    <w:rsid w:val="37B47BE4"/>
    <w:rsid w:val="37D6106F"/>
    <w:rsid w:val="37F52D97"/>
    <w:rsid w:val="38241593"/>
    <w:rsid w:val="388163D9"/>
    <w:rsid w:val="38856E40"/>
    <w:rsid w:val="38BE1DF3"/>
    <w:rsid w:val="38F862EB"/>
    <w:rsid w:val="39343807"/>
    <w:rsid w:val="39887BBC"/>
    <w:rsid w:val="3A0F7AD4"/>
    <w:rsid w:val="3A53023B"/>
    <w:rsid w:val="3AF42D2D"/>
    <w:rsid w:val="3B062751"/>
    <w:rsid w:val="3B3A041F"/>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1A259E"/>
    <w:rsid w:val="4021030A"/>
    <w:rsid w:val="40226C80"/>
    <w:rsid w:val="40C451A5"/>
    <w:rsid w:val="40C671E5"/>
    <w:rsid w:val="41051ABE"/>
    <w:rsid w:val="4156470B"/>
    <w:rsid w:val="41943ACE"/>
    <w:rsid w:val="42521D88"/>
    <w:rsid w:val="425D4066"/>
    <w:rsid w:val="430118BA"/>
    <w:rsid w:val="43173FD4"/>
    <w:rsid w:val="43B27D8E"/>
    <w:rsid w:val="43E97C54"/>
    <w:rsid w:val="44143822"/>
    <w:rsid w:val="44654A12"/>
    <w:rsid w:val="44E421C9"/>
    <w:rsid w:val="45320384"/>
    <w:rsid w:val="457C5F26"/>
    <w:rsid w:val="4716830A"/>
    <w:rsid w:val="47BF53CA"/>
    <w:rsid w:val="48B126BB"/>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F5D15A2"/>
    <w:rsid w:val="4FAF5F70"/>
    <w:rsid w:val="4FCB46B2"/>
    <w:rsid w:val="4FFE57BD"/>
    <w:rsid w:val="50AC44C4"/>
    <w:rsid w:val="50EA6DB9"/>
    <w:rsid w:val="51453FF0"/>
    <w:rsid w:val="515661FD"/>
    <w:rsid w:val="51714DE5"/>
    <w:rsid w:val="51CA7471"/>
    <w:rsid w:val="521C2FA3"/>
    <w:rsid w:val="522529B2"/>
    <w:rsid w:val="524806C4"/>
    <w:rsid w:val="5301082D"/>
    <w:rsid w:val="5387476B"/>
    <w:rsid w:val="53910AF4"/>
    <w:rsid w:val="53AC47FA"/>
    <w:rsid w:val="53FBDA3F"/>
    <w:rsid w:val="54F63F7F"/>
    <w:rsid w:val="555952B3"/>
    <w:rsid w:val="555E65E4"/>
    <w:rsid w:val="556B5A36"/>
    <w:rsid w:val="5599697B"/>
    <w:rsid w:val="55AF40BB"/>
    <w:rsid w:val="55E65FDC"/>
    <w:rsid w:val="5613734A"/>
    <w:rsid w:val="562D7E5B"/>
    <w:rsid w:val="564F3D12"/>
    <w:rsid w:val="56655190"/>
    <w:rsid w:val="56F72F7C"/>
    <w:rsid w:val="5717642E"/>
    <w:rsid w:val="575E22AF"/>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F7A1C50"/>
    <w:rsid w:val="5FC69000"/>
    <w:rsid w:val="601C4AB5"/>
    <w:rsid w:val="604F2F3E"/>
    <w:rsid w:val="60BE691E"/>
    <w:rsid w:val="60F838FC"/>
    <w:rsid w:val="61444403"/>
    <w:rsid w:val="62265BDF"/>
    <w:rsid w:val="62E1699A"/>
    <w:rsid w:val="62FBC294"/>
    <w:rsid w:val="63123C13"/>
    <w:rsid w:val="637D5875"/>
    <w:rsid w:val="64147F0D"/>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126A1A"/>
    <w:rsid w:val="6A3273AF"/>
    <w:rsid w:val="6AC56475"/>
    <w:rsid w:val="6AD35263"/>
    <w:rsid w:val="6B8D38AE"/>
    <w:rsid w:val="6BA1010E"/>
    <w:rsid w:val="6BC80F42"/>
    <w:rsid w:val="6CE47E41"/>
    <w:rsid w:val="6CED5810"/>
    <w:rsid w:val="6CF92413"/>
    <w:rsid w:val="6DFE5E04"/>
    <w:rsid w:val="6E0D1F7B"/>
    <w:rsid w:val="6E796921"/>
    <w:rsid w:val="6E87203D"/>
    <w:rsid w:val="6EE5683D"/>
    <w:rsid w:val="6F9278BB"/>
    <w:rsid w:val="6FB7D4E3"/>
    <w:rsid w:val="6FBE0EF0"/>
    <w:rsid w:val="6FFF1C22"/>
    <w:rsid w:val="70EC5DDE"/>
    <w:rsid w:val="710C022E"/>
    <w:rsid w:val="71572F19"/>
    <w:rsid w:val="719B7427"/>
    <w:rsid w:val="71E33685"/>
    <w:rsid w:val="71F326B3"/>
    <w:rsid w:val="724A6793"/>
    <w:rsid w:val="72647B59"/>
    <w:rsid w:val="7372FC32"/>
    <w:rsid w:val="737B349A"/>
    <w:rsid w:val="73A56E44"/>
    <w:rsid w:val="73B12A87"/>
    <w:rsid w:val="741F26FA"/>
    <w:rsid w:val="74470DF8"/>
    <w:rsid w:val="744E1D52"/>
    <w:rsid w:val="74A357E1"/>
    <w:rsid w:val="74BD60BB"/>
    <w:rsid w:val="74CF0052"/>
    <w:rsid w:val="74FA3C0D"/>
    <w:rsid w:val="751D6EAE"/>
    <w:rsid w:val="75A618AA"/>
    <w:rsid w:val="75FD1676"/>
    <w:rsid w:val="7687113B"/>
    <w:rsid w:val="76C3247D"/>
    <w:rsid w:val="76EFC8B0"/>
    <w:rsid w:val="776ACBF9"/>
    <w:rsid w:val="77FF7A21"/>
    <w:rsid w:val="7951325E"/>
    <w:rsid w:val="799536BA"/>
    <w:rsid w:val="7B170752"/>
    <w:rsid w:val="7B382425"/>
    <w:rsid w:val="7B8F681B"/>
    <w:rsid w:val="7BC55225"/>
    <w:rsid w:val="7BFF9B5C"/>
    <w:rsid w:val="7C3B673F"/>
    <w:rsid w:val="7CED5089"/>
    <w:rsid w:val="7D8636B9"/>
    <w:rsid w:val="7DD96C0E"/>
    <w:rsid w:val="7E352599"/>
    <w:rsid w:val="7E3B0727"/>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nhideWhenUsed="0" w:uiPriority="0" w:semiHidden="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nhideWhenUsed="0" w:uiPriority="99"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qFormat/>
    <w:locked/>
    <w:uiPriority w:val="0"/>
    <w:pPr>
      <w:keepNext/>
      <w:keepLines/>
      <w:outlineLvl w:val="0"/>
    </w:pPr>
    <w:rPr>
      <w:rFonts w:eastAsia="黑体"/>
      <w:bCs/>
      <w:kern w:val="44"/>
      <w:szCs w:val="44"/>
    </w:rPr>
  </w:style>
  <w:style w:type="character" w:default="1" w:styleId="9">
    <w:name w:val="Default Paragraph Font"/>
    <w:semiHidden/>
    <w:qFormat/>
    <w:uiPriority w:val="99"/>
  </w:style>
  <w:style w:type="table" w:default="1" w:styleId="7">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eastAsia="Times New Roman" w:cs="Times New Roman"/>
      <w:sz w:val="20"/>
      <w:szCs w:val="20"/>
    </w:rPr>
    <w:tblPr>
      <w:tblCellMar>
        <w:top w:w="0" w:type="dxa"/>
        <w:left w:w="108" w:type="dxa"/>
        <w:bottom w:w="0" w:type="dxa"/>
        <w:right w:w="108" w:type="dxa"/>
      </w:tblCellMar>
    </w:tblPr>
  </w:style>
  <w:style w:type="paragraph" w:styleId="2">
    <w:name w:val="Body Text"/>
    <w:basedOn w:val="1"/>
    <w:next w:val="1"/>
    <w:semiHidden/>
    <w:qFormat/>
    <w:uiPriority w:val="0"/>
    <w:rPr>
      <w:rFonts w:ascii="仿宋" w:hAnsi="仿宋" w:eastAsia="仿宋" w:cs="仿宋"/>
      <w:sz w:val="31"/>
      <w:szCs w:val="31"/>
      <w:lang w:val="en-US" w:eastAsia="en-US" w:bidi="ar-SA"/>
    </w:rPr>
  </w:style>
  <w:style w:type="paragraph" w:styleId="4">
    <w:name w:val="footer"/>
    <w:basedOn w:val="1"/>
    <w:link w:val="11"/>
    <w:qFormat/>
    <w:uiPriority w:val="99"/>
    <w:pPr>
      <w:tabs>
        <w:tab w:val="center" w:pos="4153"/>
        <w:tab w:val="right" w:pos="8306"/>
      </w:tabs>
      <w:snapToGrid w:val="0"/>
      <w:jc w:val="left"/>
    </w:pPr>
    <w:rPr>
      <w:sz w:val="18"/>
      <w:szCs w:val="18"/>
    </w:rPr>
  </w:style>
  <w:style w:type="paragraph" w:styleId="5">
    <w:name w:val="header"/>
    <w:basedOn w:val="1"/>
    <w:link w:val="12"/>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6">
    <w:name w:val="footnote text"/>
    <w:basedOn w:val="1"/>
    <w:next w:val="1"/>
    <w:qFormat/>
    <w:uiPriority w:val="0"/>
    <w:pPr>
      <w:snapToGrid w:val="0"/>
      <w:jc w:val="left"/>
    </w:pPr>
    <w:rPr>
      <w:sz w:val="18"/>
      <w:szCs w:val="18"/>
    </w:rPr>
  </w:style>
  <w:style w:type="table" w:styleId="8">
    <w:name w:val="Table Grid"/>
    <w:basedOn w:val="7"/>
    <w:qFormat/>
    <w:uiPriority w:val="99"/>
    <w:pPr>
      <w:widowControl w:val="0"/>
      <w:jc w:val="both"/>
    </w:pPr>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0">
    <w:name w:val="page number"/>
    <w:basedOn w:val="9"/>
    <w:qFormat/>
    <w:uiPriority w:val="99"/>
    <w:rPr>
      <w:rFonts w:cs="Times New Roman"/>
    </w:rPr>
  </w:style>
  <w:style w:type="character" w:customStyle="1" w:styleId="11">
    <w:name w:val="Footer Char"/>
    <w:basedOn w:val="9"/>
    <w:link w:val="4"/>
    <w:semiHidden/>
    <w:qFormat/>
    <w:uiPriority w:val="99"/>
    <w:rPr>
      <w:sz w:val="18"/>
      <w:szCs w:val="18"/>
    </w:rPr>
  </w:style>
  <w:style w:type="character" w:customStyle="1" w:styleId="12">
    <w:name w:val="Header Char"/>
    <w:basedOn w:val="9"/>
    <w:link w:val="5"/>
    <w:semiHidden/>
    <w:qFormat/>
    <w:uiPriority w:val="99"/>
    <w:rPr>
      <w:sz w:val="18"/>
      <w:szCs w:val="18"/>
    </w:rPr>
  </w:style>
  <w:style w:type="paragraph" w:styleId="13">
    <w:name w:val="List Paragraph"/>
    <w:basedOn w:val="1"/>
    <w:qFormat/>
    <w:uiPriority w:val="99"/>
    <w:pPr>
      <w:ind w:firstLine="420" w:firstLineChars="200"/>
    </w:pPr>
    <w:rPr>
      <w:rFonts w:ascii="Calibri" w:hAnsi="Calibri"/>
      <w:szCs w:val="22"/>
    </w:rPr>
  </w:style>
  <w:style w:type="table" w:customStyle="1" w:styleId="14">
    <w:name w:val="Table Normal"/>
    <w:semiHidden/>
    <w:unhideWhenUsed/>
    <w:qFormat/>
    <w:uiPriority w:val="0"/>
    <w:tblPr>
      <w:tblCellMar>
        <w:top w:w="0" w:type="dxa"/>
        <w:left w:w="0" w:type="dxa"/>
        <w:bottom w:w="0" w:type="dxa"/>
        <w:right w:w="0" w:type="dxa"/>
      </w:tblCellMar>
    </w:tblPr>
  </w:style>
  <w:style w:type="paragraph" w:customStyle="1" w:styleId="15">
    <w:name w:val="Table Text"/>
    <w:basedOn w:val="1"/>
    <w:semiHidden/>
    <w:qFormat/>
    <w:uiPriority w:val="0"/>
    <w:rPr>
      <w:rFonts w:ascii="Arial" w:hAnsi="Arial" w:eastAsia="Arial" w:cs="Arial"/>
      <w:sz w:val="21"/>
      <w:szCs w:val="21"/>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Normal_Wordconv</Template>
  <Pages>20</Pages>
  <Words>8080</Words>
  <Characters>8488</Characters>
  <Lines>0</Lines>
  <Paragraphs>0</Paragraphs>
  <TotalTime>7</TotalTime>
  <ScaleCrop>false</ScaleCrop>
  <LinksUpToDate>false</LinksUpToDate>
  <CharactersWithSpaces>8696</CharactersWithSpaces>
  <Application>WPS Office_11.1.0.14244_F1E327BC-269C-435d-A152-05C5408002CA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2020-06-06T01:07:00Z</dcterms:created>
  <dc:creator>Administrator</dc:creator>
  <cp:lastModifiedBy>李婉</cp:lastModifiedBy>
  <cp:lastPrinted>2024-05-29T02:03:00Z</cp:lastPrinted>
  <dcterms:modified xsi:type="dcterms:W3CDTF">2024-06-04T02:23:16Z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2052-11.1.0.14244</vt:lpwstr>
  </property>
  <property fmtid="{D5CDD505-2E9C-101B-9397-08002B2CF9AE}" pid="3" name="KSOSaveFontToCloudKey">
    <vt:lpwstr>386772509_embed</vt:lpwstr>
  </property>
  <property fmtid="{D5CDD505-2E9C-101B-9397-08002B2CF9AE}" pid="4" name="ICV">
    <vt:lpwstr>03AE1E385B634C2FB6A0F315828E7C45_13</vt:lpwstr>
  </property>
</Properties>
</file>