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5FC" w:rsidRDefault="003805FC" w:rsidP="003805FC">
      <w:pPr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附件3</w:t>
      </w:r>
    </w:p>
    <w:p w:rsidR="003805FC" w:rsidRDefault="003805FC" w:rsidP="003805FC">
      <w:pPr>
        <w:spacing w:line="251" w:lineRule="auto"/>
        <w:rPr>
          <w:rFonts w:ascii="Arial"/>
        </w:rPr>
      </w:pPr>
    </w:p>
    <w:p w:rsidR="003805FC" w:rsidRDefault="003805FC" w:rsidP="003805FC">
      <w:pPr>
        <w:spacing w:line="251" w:lineRule="auto"/>
        <w:rPr>
          <w:rFonts w:ascii="Arial"/>
        </w:rPr>
      </w:pPr>
    </w:p>
    <w:p w:rsidR="003805FC" w:rsidRDefault="003805FC" w:rsidP="003805FC">
      <w:pPr>
        <w:rPr>
          <w:rFonts w:ascii="Arial"/>
        </w:rPr>
      </w:pPr>
    </w:p>
    <w:p w:rsidR="003805FC" w:rsidRDefault="003805FC" w:rsidP="003805FC">
      <w:pPr>
        <w:pStyle w:val="a0"/>
      </w:pPr>
    </w:p>
    <w:p w:rsidR="003805FC" w:rsidRDefault="003805FC" w:rsidP="003805FC"/>
    <w:p w:rsidR="003805FC" w:rsidRDefault="003805FC" w:rsidP="003805FC">
      <w:pPr>
        <w:spacing w:before="223" w:line="218" w:lineRule="auto"/>
        <w:ind w:firstLineChars="100" w:firstLine="518"/>
        <w:rPr>
          <w:rFonts w:ascii="方正小标宋简体" w:eastAsia="方正小标宋简体" w:hAnsi="方正小标宋简体" w:cs="方正小标宋简体"/>
          <w:spacing w:val="-1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2023年度华容县禹山镇人民政府</w:t>
      </w:r>
    </w:p>
    <w:p w:rsidR="003805FC" w:rsidRDefault="003805FC" w:rsidP="003805FC">
      <w:pPr>
        <w:spacing w:before="223" w:line="218" w:lineRule="auto"/>
        <w:ind w:firstLineChars="250" w:firstLine="1295"/>
        <w:rPr>
          <w:rFonts w:ascii="方正小标宋简体" w:eastAsia="方正小标宋简体" w:hAnsi="方正小标宋简体" w:cs="方正小标宋简体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部门整体支出</w:t>
      </w:r>
      <w:r>
        <w:rPr>
          <w:rFonts w:ascii="方正小标宋简体" w:eastAsia="方正小标宋简体" w:hAnsi="方正小标宋简体" w:cs="方正小标宋简体" w:hint="eastAsia"/>
          <w:spacing w:val="-3"/>
          <w:sz w:val="52"/>
          <w:szCs w:val="52"/>
        </w:rPr>
        <w:t>绩效自评报告</w:t>
      </w:r>
    </w:p>
    <w:p w:rsidR="003805FC" w:rsidRDefault="003805FC" w:rsidP="003805FC">
      <w:pPr>
        <w:spacing w:line="243" w:lineRule="auto"/>
        <w:rPr>
          <w:rFonts w:ascii="Arial"/>
        </w:rPr>
      </w:pPr>
    </w:p>
    <w:p w:rsidR="003805FC" w:rsidRDefault="003805FC" w:rsidP="003805FC">
      <w:pPr>
        <w:spacing w:line="243" w:lineRule="auto"/>
        <w:rPr>
          <w:rFonts w:ascii="Arial"/>
        </w:rPr>
      </w:pPr>
    </w:p>
    <w:p w:rsidR="003805FC" w:rsidRDefault="003805FC" w:rsidP="003805FC">
      <w:pPr>
        <w:spacing w:line="243" w:lineRule="auto"/>
        <w:rPr>
          <w:rFonts w:ascii="Arial"/>
        </w:rPr>
      </w:pPr>
    </w:p>
    <w:p w:rsidR="003805FC" w:rsidRDefault="003805FC" w:rsidP="003805FC">
      <w:pPr>
        <w:spacing w:line="243" w:lineRule="auto"/>
        <w:rPr>
          <w:rFonts w:ascii="Arial"/>
        </w:rPr>
      </w:pPr>
    </w:p>
    <w:p w:rsidR="003805FC" w:rsidRDefault="003805FC" w:rsidP="003805FC">
      <w:pPr>
        <w:spacing w:line="243" w:lineRule="auto"/>
        <w:rPr>
          <w:rFonts w:ascii="Arial"/>
        </w:rPr>
      </w:pPr>
    </w:p>
    <w:p w:rsidR="003805FC" w:rsidRDefault="003805FC" w:rsidP="003805FC">
      <w:pPr>
        <w:spacing w:line="243" w:lineRule="auto"/>
        <w:rPr>
          <w:rFonts w:ascii="Arial"/>
        </w:rPr>
      </w:pPr>
    </w:p>
    <w:p w:rsidR="003805FC" w:rsidRDefault="003805FC" w:rsidP="003805FC">
      <w:pPr>
        <w:pStyle w:val="a0"/>
        <w:rPr>
          <w:rFonts w:ascii="Arial"/>
          <w:sz w:val="21"/>
        </w:rPr>
      </w:pPr>
    </w:p>
    <w:p w:rsidR="003805FC" w:rsidRDefault="003805FC" w:rsidP="003805FC">
      <w:pPr>
        <w:spacing w:line="243" w:lineRule="auto"/>
        <w:rPr>
          <w:rFonts w:ascii="Arial"/>
        </w:rPr>
      </w:pPr>
    </w:p>
    <w:p w:rsidR="003805FC" w:rsidRDefault="003805FC" w:rsidP="003805FC">
      <w:pPr>
        <w:spacing w:line="243" w:lineRule="auto"/>
        <w:rPr>
          <w:rFonts w:ascii="Arial"/>
        </w:rPr>
      </w:pPr>
    </w:p>
    <w:p w:rsidR="003805FC" w:rsidRDefault="003805FC" w:rsidP="003805FC">
      <w:pPr>
        <w:spacing w:line="243" w:lineRule="auto"/>
        <w:rPr>
          <w:rFonts w:ascii="Arial"/>
        </w:rPr>
      </w:pPr>
    </w:p>
    <w:p w:rsidR="003805FC" w:rsidRDefault="003805FC" w:rsidP="003805FC">
      <w:pPr>
        <w:spacing w:line="243" w:lineRule="auto"/>
        <w:rPr>
          <w:rFonts w:ascii="Arial"/>
        </w:rPr>
      </w:pPr>
    </w:p>
    <w:p w:rsidR="003805FC" w:rsidRDefault="003805FC" w:rsidP="003805FC">
      <w:pPr>
        <w:spacing w:line="243" w:lineRule="auto"/>
        <w:rPr>
          <w:rFonts w:ascii="Arial"/>
        </w:rPr>
      </w:pPr>
    </w:p>
    <w:p w:rsidR="003805FC" w:rsidRDefault="003805FC" w:rsidP="003805FC">
      <w:pPr>
        <w:spacing w:line="243" w:lineRule="auto"/>
        <w:rPr>
          <w:rFonts w:ascii="Arial"/>
        </w:rPr>
      </w:pPr>
    </w:p>
    <w:p w:rsidR="003805FC" w:rsidRDefault="003805FC" w:rsidP="003805FC">
      <w:pPr>
        <w:spacing w:line="244" w:lineRule="auto"/>
        <w:rPr>
          <w:rFonts w:ascii="Arial"/>
        </w:rPr>
      </w:pPr>
    </w:p>
    <w:p w:rsidR="003805FC" w:rsidRDefault="003805FC" w:rsidP="003805FC">
      <w:pPr>
        <w:spacing w:line="244" w:lineRule="auto"/>
        <w:rPr>
          <w:rFonts w:ascii="Arial"/>
        </w:rPr>
      </w:pPr>
    </w:p>
    <w:p w:rsidR="003805FC" w:rsidRDefault="003805FC" w:rsidP="003805FC">
      <w:pPr>
        <w:pStyle w:val="a6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3805FC" w:rsidRDefault="003805FC" w:rsidP="003805FC">
      <w:pPr>
        <w:spacing w:before="228" w:line="222" w:lineRule="auto"/>
        <w:ind w:firstLineChars="1050" w:firstLine="319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 5月  28日</w:t>
      </w:r>
    </w:p>
    <w:p w:rsidR="003805FC" w:rsidRDefault="003805FC" w:rsidP="003805FC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3805FC" w:rsidRDefault="003805FC" w:rsidP="003805FC">
      <w:pPr>
        <w:pStyle w:val="a6"/>
        <w:spacing w:before="102" w:line="224" w:lineRule="auto"/>
        <w:ind w:left="3216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3805FC" w:rsidRDefault="003805FC" w:rsidP="003805FC">
      <w:r>
        <w:br w:type="page"/>
      </w:r>
    </w:p>
    <w:p w:rsidR="003805FC" w:rsidRDefault="003805FC" w:rsidP="003805FC">
      <w:pPr>
        <w:pStyle w:val="a0"/>
        <w:sectPr w:rsidR="003805FC">
          <w:footerReference w:type="default" r:id="rId6"/>
          <w:pgSz w:w="11905" w:h="16838"/>
          <w:pgMar w:top="1984" w:right="1701" w:bottom="1984" w:left="1701" w:header="850" w:footer="1587" w:gutter="0"/>
          <w:pgNumType w:fmt="numberInDash" w:start="7"/>
          <w:cols w:space="0"/>
          <w:docGrid w:type="lines" w:linePitch="314"/>
        </w:sectPr>
      </w:pPr>
    </w:p>
    <w:p w:rsidR="003805FC" w:rsidRDefault="003805FC" w:rsidP="003805FC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</w:p>
    <w:p w:rsidR="003805FC" w:rsidRDefault="003805FC" w:rsidP="003805FC">
      <w:pPr>
        <w:pStyle w:val="a0"/>
      </w:pPr>
    </w:p>
    <w:p w:rsidR="003805FC" w:rsidRDefault="003805FC" w:rsidP="003805FC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2023年度华容县禹山镇人民政府</w:t>
      </w:r>
    </w:p>
    <w:p w:rsidR="003805FC" w:rsidRDefault="003805FC" w:rsidP="003805FC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部门整体支出</w:t>
      </w:r>
      <w:r>
        <w:rPr>
          <w:rFonts w:ascii="方正小标宋简体" w:eastAsia="方正小标宋简体" w:hAnsi="方正小标宋简体" w:cs="方正小标宋简体" w:hint="eastAsia"/>
          <w:spacing w:val="7"/>
          <w:sz w:val="44"/>
          <w:szCs w:val="44"/>
        </w:rPr>
        <w:t>绩效自评报告</w:t>
      </w:r>
    </w:p>
    <w:p w:rsidR="003805FC" w:rsidRDefault="003805FC" w:rsidP="003805FC">
      <w:pPr>
        <w:spacing w:line="283" w:lineRule="auto"/>
        <w:rPr>
          <w:rFonts w:ascii="Arial"/>
        </w:rPr>
      </w:pPr>
    </w:p>
    <w:p w:rsidR="003805FC" w:rsidRDefault="003805FC" w:rsidP="003805FC">
      <w:pPr>
        <w:spacing w:line="284" w:lineRule="auto"/>
        <w:rPr>
          <w:rFonts w:ascii="Arial"/>
        </w:rPr>
      </w:pPr>
    </w:p>
    <w:p w:rsidR="003805FC" w:rsidRDefault="003805FC" w:rsidP="003805FC">
      <w:pPr>
        <w:pStyle w:val="a0"/>
      </w:pPr>
    </w:p>
    <w:p w:rsidR="003805FC" w:rsidRDefault="003805FC" w:rsidP="003805FC">
      <w:pPr>
        <w:spacing w:before="101" w:line="228" w:lineRule="auto"/>
        <w:ind w:left="64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5"/>
          <w:sz w:val="32"/>
          <w:szCs w:val="32"/>
        </w:rPr>
        <w:t>一、部门基本情况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单位为财政全额预算拨款单位，核定人员编制</w:t>
      </w:r>
      <w:r>
        <w:rPr>
          <w:rFonts w:eastAsia="仿宋_GB2312" w:hint="eastAsia"/>
          <w:color w:val="000000"/>
          <w:sz w:val="32"/>
          <w:szCs w:val="32"/>
        </w:rPr>
        <w:t>97</w:t>
      </w:r>
      <w:r>
        <w:rPr>
          <w:rFonts w:eastAsia="仿宋_GB2312" w:hint="eastAsia"/>
          <w:color w:val="000000"/>
          <w:sz w:val="32"/>
          <w:szCs w:val="32"/>
        </w:rPr>
        <w:t>人，实有人数为</w:t>
      </w:r>
      <w:r>
        <w:rPr>
          <w:rFonts w:eastAsia="仿宋_GB2312" w:hint="eastAsia"/>
          <w:color w:val="000000"/>
          <w:sz w:val="32"/>
          <w:szCs w:val="32"/>
        </w:rPr>
        <w:t>97</w:t>
      </w:r>
      <w:r>
        <w:rPr>
          <w:rFonts w:eastAsia="仿宋_GB2312" w:hint="eastAsia"/>
          <w:color w:val="000000"/>
          <w:sz w:val="32"/>
          <w:szCs w:val="32"/>
        </w:rPr>
        <w:t>人。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1</w:t>
      </w:r>
      <w:r>
        <w:rPr>
          <w:rFonts w:eastAsia="仿宋_GB2312" w:hint="eastAsia"/>
          <w:color w:val="000000"/>
          <w:sz w:val="32"/>
          <w:szCs w:val="32"/>
        </w:rPr>
        <w:t>、职责职能：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人民政府：全民贯彻落实党和国家在农村的各项方针政策和法律法规，加强基层组织建设，完善党对农村工作的领导，紧紧围绕促进经济发展、增加农民收入，强化公共服务、着力改善民生，加强社会管理、维护农村稳定，推进基层民主、促进农村和谐四个方面履职。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财政所：负责贯彻执行有关财政、预算、财务、会计等方面的法律法规和政策；编制本镇财政预决算、管理和监督全镇各项财政收支，资金调度和拨款；指导全镇的会计工作，加强对农村财务工作的指导和监督；加强对国家专项资金的监督、将惠民政策落到实处；完成上级财政和乡镇安排的其他工作。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镇农业综合服务中心：负责种植业、养殖业、林业、水产业、农业机械新技术的引进、试验示范、培训推广、技术</w:t>
      </w:r>
      <w:r>
        <w:rPr>
          <w:rFonts w:eastAsia="仿宋_GB2312" w:hint="eastAsia"/>
          <w:color w:val="000000"/>
          <w:sz w:val="32"/>
          <w:szCs w:val="32"/>
        </w:rPr>
        <w:lastRenderedPageBreak/>
        <w:t>服务和农业林业病虫害预测预报及防治指导工作；负责国家强制免疫的动物疫病免疫接种以及相关工作；负责农产品质量安全检测监督服务工作；承办农村经济统计、农民专业合作组织管理等工作。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镇社会事业综合服务中心：协助社会事务办公室的工作，具体承办科技、教育体育、文化旅游广电、卫生健康与计划生育、人力资源和社会保障、民政、社区建设、医疗保障、住房和城乡建设、村镇规划、村镇建设、住房保障、交通运输、生态环境保护、残疾人事业、慈善等方面的公益服务性、技术性工作。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镇退役军人服务站：负责退役军人就业创业、优抚帮扶、权益保障、数据信息采集、走访慰问等事务性工作。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镇综合行政执法大队：负责本辖区内综合行政执法工作；依法依规相对集中行使乡村集镇管理、住房建设、自然资源、生态环境保护、市场监管、交通运输、应急管理、安全生产、农业农村、文化旅游等方面的行政执法权；负责执法信息报送；配合县级执法部门开展联合执法、专业执法，负责日常巡查、综合检查、接受投诉举报、协助调查取证等工作。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水利管理服务站：负责宣传防汛、水土保持、水资源等法律法规的宣传；负责农田水利规划、堤防建设与管理及防汛救灾工作；辖区内农村供水工程的规划、质量监督和安全运营；乡镇党委政府及其他业务部门安排的其他事项。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lastRenderedPageBreak/>
        <w:t>2</w:t>
      </w:r>
      <w:r>
        <w:rPr>
          <w:rFonts w:eastAsia="仿宋_GB2312" w:hint="eastAsia"/>
          <w:color w:val="000000"/>
          <w:sz w:val="32"/>
          <w:szCs w:val="32"/>
        </w:rPr>
        <w:t>、机构设置：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镇政府机关、镇财政所、镇农业综合服务中心、镇社会事业综合服务中心、镇退役军人服务站、镇综合行政执法大队、镇水利服务站。</w:t>
      </w:r>
    </w:p>
    <w:p w:rsidR="003805FC" w:rsidRDefault="003805FC" w:rsidP="003805FC">
      <w:pPr>
        <w:spacing w:before="216" w:line="226" w:lineRule="auto"/>
        <w:ind w:left="64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-2"/>
          <w:sz w:val="32"/>
          <w:szCs w:val="32"/>
        </w:rPr>
        <w:t>二、一般公共预算支出情况</w:t>
      </w:r>
    </w:p>
    <w:p w:rsidR="003805FC" w:rsidRDefault="003805FC" w:rsidP="003805FC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年一般公共预算支出</w:t>
      </w:r>
      <w:r>
        <w:rPr>
          <w:rFonts w:eastAsia="仿宋_GB2312"/>
          <w:sz w:val="32"/>
          <w:szCs w:val="32"/>
        </w:rPr>
        <w:t>3597.29</w:t>
      </w:r>
      <w:r>
        <w:rPr>
          <w:rFonts w:eastAsia="仿宋_GB2312" w:hint="eastAsia"/>
          <w:sz w:val="32"/>
          <w:szCs w:val="32"/>
        </w:rPr>
        <w:t>万元，具体情况如下：</w:t>
      </w:r>
    </w:p>
    <w:p w:rsidR="003805FC" w:rsidRDefault="003805FC" w:rsidP="003805FC">
      <w:pPr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（一）基本支出情况</w:t>
      </w:r>
    </w:p>
    <w:p w:rsidR="003805FC" w:rsidRDefault="003805FC" w:rsidP="003805FC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年基本支出</w:t>
      </w:r>
      <w:r>
        <w:rPr>
          <w:rFonts w:eastAsia="仿宋_GB2312"/>
          <w:sz w:val="32"/>
          <w:szCs w:val="32"/>
        </w:rPr>
        <w:t>1499.44</w:t>
      </w:r>
      <w:r>
        <w:rPr>
          <w:rFonts w:eastAsia="仿宋_GB2312" w:hint="eastAsia"/>
          <w:sz w:val="32"/>
          <w:szCs w:val="32"/>
        </w:rPr>
        <w:t>万元，其中：人员支出</w:t>
      </w:r>
      <w:r>
        <w:rPr>
          <w:rFonts w:eastAsia="仿宋_GB2312"/>
          <w:sz w:val="32"/>
          <w:szCs w:val="32"/>
        </w:rPr>
        <w:t>1200.65</w:t>
      </w:r>
      <w:r>
        <w:rPr>
          <w:rFonts w:eastAsia="仿宋_GB2312" w:hint="eastAsia"/>
          <w:sz w:val="32"/>
          <w:szCs w:val="32"/>
        </w:rPr>
        <w:t>万元，占基本支出的</w:t>
      </w:r>
      <w:r>
        <w:rPr>
          <w:rFonts w:eastAsia="仿宋_GB2312" w:hint="eastAsia"/>
          <w:sz w:val="32"/>
          <w:szCs w:val="32"/>
        </w:rPr>
        <w:t>80.07%</w:t>
      </w:r>
      <w:r>
        <w:rPr>
          <w:rFonts w:eastAsia="仿宋_GB2312" w:hint="eastAsia"/>
          <w:sz w:val="32"/>
          <w:szCs w:val="32"/>
        </w:rPr>
        <w:t>，公用支出</w:t>
      </w:r>
      <w:r>
        <w:rPr>
          <w:rFonts w:eastAsia="仿宋_GB2312"/>
          <w:sz w:val="32"/>
          <w:szCs w:val="32"/>
        </w:rPr>
        <w:t>298.79</w:t>
      </w:r>
      <w:r>
        <w:rPr>
          <w:rFonts w:eastAsia="仿宋_GB2312" w:hint="eastAsia"/>
          <w:sz w:val="32"/>
          <w:szCs w:val="32"/>
        </w:rPr>
        <w:t>万元，占基本支出的</w:t>
      </w:r>
      <w:r>
        <w:rPr>
          <w:rFonts w:eastAsia="仿宋_GB2312" w:hint="eastAsia"/>
          <w:sz w:val="32"/>
          <w:szCs w:val="32"/>
        </w:rPr>
        <w:t>19.93%</w:t>
      </w:r>
      <w:r>
        <w:rPr>
          <w:rFonts w:eastAsia="仿宋_GB2312" w:hint="eastAsia"/>
          <w:sz w:val="32"/>
          <w:szCs w:val="32"/>
        </w:rPr>
        <w:t>。单位厉行节约，保障了机构人员工资、社保和福利的及时发放，保障了机构的正常运转。</w:t>
      </w:r>
    </w:p>
    <w:p w:rsidR="003805FC" w:rsidRDefault="003805FC" w:rsidP="003805FC">
      <w:pPr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（二）项目支出情况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年项目支出</w:t>
      </w:r>
      <w:r>
        <w:rPr>
          <w:rFonts w:eastAsia="仿宋_GB2312"/>
          <w:color w:val="000000"/>
          <w:sz w:val="32"/>
          <w:szCs w:val="32"/>
        </w:rPr>
        <w:t>2097.85</w:t>
      </w:r>
      <w:r>
        <w:rPr>
          <w:rFonts w:eastAsia="仿宋_GB2312" w:hint="eastAsia"/>
          <w:color w:val="000000"/>
          <w:sz w:val="32"/>
          <w:szCs w:val="32"/>
        </w:rPr>
        <w:t>万元，项目指标下达及时，支付按进度完成，项目资金主要用</w:t>
      </w:r>
      <w:r>
        <w:rPr>
          <w:rFonts w:ascii="宋体" w:hAnsi="宋体" w:cs="宋体" w:hint="eastAsia"/>
          <w:color w:val="000000"/>
          <w:sz w:val="32"/>
          <w:szCs w:val="32"/>
        </w:rPr>
        <w:t>于</w:t>
      </w:r>
      <w:r>
        <w:rPr>
          <w:rFonts w:eastAsia="仿宋_GB2312" w:hint="eastAsia"/>
          <w:color w:val="000000"/>
          <w:sz w:val="32"/>
          <w:szCs w:val="32"/>
        </w:rPr>
        <w:t>发展乡镇农业经济，推动乡镇各项事业发展，促进经济社会协调发展，提升乡村社会文化发展，巩固农村环境整治成果，巩固精准扶贫成果，推进乡村振兴等业务工作任务。主要目标：保障镇政府的基本运转，不断提升镇政府服务水平；促进经济、社会和文化发展；加强农村建设，建设美丽、宜居新镇等目标任务。项目资金支付都是按照预算执行，实行专款专用，项目实施完成后，达到了预期经济效益及社会效益，圆满的完成了各项任务。</w:t>
      </w:r>
    </w:p>
    <w:p w:rsidR="003805FC" w:rsidRDefault="003805FC" w:rsidP="003805FC">
      <w:pPr>
        <w:pStyle w:val="a0"/>
      </w:pPr>
    </w:p>
    <w:p w:rsidR="003805FC" w:rsidRDefault="003805FC" w:rsidP="003805FC">
      <w:pPr>
        <w:spacing w:before="224" w:line="227" w:lineRule="auto"/>
        <w:ind w:left="649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lastRenderedPageBreak/>
        <w:t>三、政府性基金预算支出情况</w:t>
      </w:r>
    </w:p>
    <w:p w:rsidR="003805FC" w:rsidRDefault="003805FC" w:rsidP="003805FC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年政府性基金预算</w:t>
      </w:r>
      <w:r>
        <w:rPr>
          <w:rFonts w:eastAsia="仿宋_GB2312" w:hint="eastAsia"/>
          <w:sz w:val="32"/>
          <w:szCs w:val="32"/>
        </w:rPr>
        <w:t>支出</w:t>
      </w:r>
      <w:r>
        <w:rPr>
          <w:rFonts w:eastAsia="仿宋_GB2312"/>
          <w:sz w:val="32"/>
          <w:szCs w:val="32"/>
        </w:rPr>
        <w:t>540</w:t>
      </w:r>
      <w:r>
        <w:rPr>
          <w:rFonts w:eastAsia="仿宋_GB2312" w:hint="eastAsia"/>
          <w:sz w:val="32"/>
          <w:szCs w:val="32"/>
        </w:rPr>
        <w:t>万元，具体情况如下：</w:t>
      </w:r>
    </w:p>
    <w:p w:rsidR="003805FC" w:rsidRDefault="003805FC" w:rsidP="003805FC">
      <w:pPr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（一）基本支出情况</w:t>
      </w:r>
    </w:p>
    <w:p w:rsidR="003805FC" w:rsidRDefault="003805FC" w:rsidP="003805FC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年基本支出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万元。</w:t>
      </w:r>
    </w:p>
    <w:p w:rsidR="003805FC" w:rsidRDefault="003805FC" w:rsidP="003805FC">
      <w:pPr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（二）项目支出情况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年项目支出</w:t>
      </w:r>
      <w:r>
        <w:rPr>
          <w:rFonts w:eastAsia="仿宋_GB2312"/>
          <w:sz w:val="32"/>
          <w:szCs w:val="32"/>
        </w:rPr>
        <w:t>540</w:t>
      </w:r>
      <w:r>
        <w:rPr>
          <w:rFonts w:eastAsia="仿宋_GB2312" w:hint="eastAsia"/>
          <w:color w:val="000000"/>
          <w:sz w:val="32"/>
          <w:szCs w:val="32"/>
        </w:rPr>
        <w:t>万元，项目指标下达及时，支付按进度完成，项目资金主要用</w:t>
      </w:r>
      <w:r>
        <w:rPr>
          <w:rFonts w:ascii="宋体" w:hAnsi="宋体" w:cs="宋体" w:hint="eastAsia"/>
          <w:color w:val="000000"/>
          <w:sz w:val="32"/>
          <w:szCs w:val="32"/>
        </w:rPr>
        <w:t>于</w:t>
      </w:r>
      <w:r>
        <w:rPr>
          <w:rFonts w:eastAsia="仿宋_GB2312" w:hint="eastAsia"/>
          <w:color w:val="000000"/>
          <w:sz w:val="32"/>
          <w:szCs w:val="32"/>
        </w:rPr>
        <w:t>乡镇基础设施建设、维护，推动乡镇各项事业发展等业务工作任务。主要目标：加强农村建设，建设美丽、宜居新镇等目标任务。项目资金支付都是按照预算执行，实行专款专用，项目实施完成后，达到了预期经济效益及社会效益，圆满的完成了各项任务。</w:t>
      </w:r>
    </w:p>
    <w:p w:rsidR="003805FC" w:rsidRDefault="003805FC" w:rsidP="003805FC">
      <w:pPr>
        <w:spacing w:before="219" w:line="600" w:lineRule="exact"/>
        <w:ind w:left="662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四、国有资本经营预算支出情况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年无国有资本经营预算支出。</w:t>
      </w:r>
    </w:p>
    <w:p w:rsidR="003805FC" w:rsidRDefault="003805FC" w:rsidP="003805FC">
      <w:pPr>
        <w:spacing w:line="227" w:lineRule="auto"/>
        <w:ind w:left="65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五、社会保险基金预算支出情况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年无社会保险基金预算支出。</w:t>
      </w:r>
    </w:p>
    <w:p w:rsidR="003805FC" w:rsidRDefault="003805FC" w:rsidP="003805FC">
      <w:pPr>
        <w:spacing w:before="219" w:line="226" w:lineRule="auto"/>
        <w:ind w:left="65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六、部门整体支出绩效情况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，根据年初工作规划和重点工作，围绕县委、县政府的工作部署，积极履行职责，强化管理，较好地完成了年度工作目标，同时加强预算收支的管理，建立健全内部管理制度，严格内部管理流程，部门整体支出管理得到了提升。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年度部门整体支出绩效情况如下：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1.</w:t>
      </w:r>
      <w:r>
        <w:rPr>
          <w:rFonts w:eastAsia="仿宋_GB2312" w:hint="eastAsia"/>
          <w:sz w:val="32"/>
          <w:szCs w:val="32"/>
        </w:rPr>
        <w:t>严格预算支出管理。严控行政经费，压缩一般性支出，严格控制“三公”经费，资产的配置严格政府采购，保障机构运行成本。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完善财务控制管理。按照国家相关法律法规，制定完善了单位内部控制制度，并严格按照制度管理和执行，防范风险，保证机构运行管理效率。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通过对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年的运行成本、管理效率、履职效能、社会效应、可持续发展能力和服务对象满意度等方面综合考评，</w:t>
      </w:r>
      <w:r>
        <w:rPr>
          <w:rFonts w:eastAsia="仿宋_GB2312" w:hint="eastAsia"/>
          <w:sz w:val="32"/>
          <w:szCs w:val="32"/>
        </w:rPr>
        <w:t xml:space="preserve"> 2023</w:t>
      </w:r>
      <w:r>
        <w:rPr>
          <w:rFonts w:eastAsia="仿宋_GB2312" w:hint="eastAsia"/>
          <w:sz w:val="32"/>
          <w:szCs w:val="32"/>
        </w:rPr>
        <w:t>年，较好地完成了年度工作目标，部门整体支出绩效评价为优。</w:t>
      </w:r>
    </w:p>
    <w:p w:rsidR="003805FC" w:rsidRDefault="003805FC" w:rsidP="003805FC">
      <w:pPr>
        <w:spacing w:before="220" w:line="600" w:lineRule="exact"/>
        <w:ind w:left="64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七、存在的问题及原因分析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一是进一步加强厉行节约机制，提高单位三保支出的保障能力。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二是预算编制与实际支出项目有的存在差异，有待进一步优化预算，提高预算编制的准确性。</w:t>
      </w:r>
    </w:p>
    <w:p w:rsidR="003805FC" w:rsidRDefault="003805FC" w:rsidP="003805FC">
      <w:pPr>
        <w:spacing w:line="227" w:lineRule="auto"/>
        <w:ind w:left="64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八、下一步改进措施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一是按照预算规定的项目和用途严格财务审核，经费支出严格按预算规定项目的财务支出内容进行财务核算，在预算金额内严格控制费用的支出，先有预算，再有支出。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二是预算财务分析常态化，定期做好预算支出财务分析，做好部门整体支出预算评价工作。</w:t>
      </w:r>
    </w:p>
    <w:p w:rsidR="003805FC" w:rsidRDefault="003805FC" w:rsidP="003805FC">
      <w:pPr>
        <w:spacing w:before="219" w:line="600" w:lineRule="exact"/>
        <w:ind w:left="65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九、部门整体支出绩效自评结果拟应用和公开</w:t>
      </w:r>
      <w:r>
        <w:rPr>
          <w:rFonts w:ascii="黑体" w:eastAsia="黑体" w:hAnsi="黑体" w:cs="黑体" w:hint="eastAsia"/>
          <w:spacing w:val="8"/>
          <w:position w:val="21"/>
          <w:sz w:val="32"/>
          <w:szCs w:val="32"/>
        </w:rPr>
        <w:t>情况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2023</w:t>
      </w:r>
      <w:r>
        <w:rPr>
          <w:rFonts w:eastAsia="仿宋_GB2312" w:hint="eastAsia"/>
          <w:sz w:val="32"/>
          <w:szCs w:val="32"/>
        </w:rPr>
        <w:t>年整体支出绩效自评随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年部门决算一起在政府门户网站公开。</w:t>
      </w:r>
    </w:p>
    <w:p w:rsidR="003805FC" w:rsidRDefault="003805FC" w:rsidP="003805FC">
      <w:pPr>
        <w:spacing w:line="226" w:lineRule="auto"/>
        <w:ind w:left="647"/>
        <w:rPr>
          <w:rFonts w:ascii="黑体" w:eastAsia="黑体" w:hAnsi="黑体" w:cs="黑体"/>
          <w:spacing w:val="-3"/>
          <w:sz w:val="32"/>
          <w:szCs w:val="32"/>
        </w:rPr>
      </w:pPr>
      <w:r>
        <w:rPr>
          <w:rFonts w:ascii="黑体" w:eastAsia="黑体" w:hAnsi="黑体" w:cs="黑体" w:hint="eastAsia"/>
          <w:spacing w:val="-3"/>
          <w:sz w:val="32"/>
          <w:szCs w:val="32"/>
        </w:rPr>
        <w:t>十、其他需要说明的情况</w:t>
      </w:r>
    </w:p>
    <w:p w:rsidR="003805FC" w:rsidRDefault="003805FC" w:rsidP="003805F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无</w:t>
      </w:r>
    </w:p>
    <w:p w:rsidR="000E0ADF" w:rsidRDefault="000E0ADF"/>
    <w:sectPr w:rsidR="000E0A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ADF" w:rsidRDefault="000E0ADF" w:rsidP="003805FC">
      <w:r>
        <w:separator/>
      </w:r>
    </w:p>
  </w:endnote>
  <w:endnote w:type="continuationSeparator" w:id="1">
    <w:p w:rsidR="000E0ADF" w:rsidRDefault="000E0ADF" w:rsidP="00380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5FC" w:rsidRDefault="003805FC">
    <w:pPr>
      <w:pStyle w:val="a6"/>
      <w:spacing w:before="1" w:line="174" w:lineRule="auto"/>
      <w:jc w:val="center"/>
      <w:rPr>
        <w:sz w:val="28"/>
        <w:szCs w:val="28"/>
      </w:rPr>
    </w:pPr>
    <w:r w:rsidRPr="00FF36EB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104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rBCXA3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BawQlwNwIAAHEEAAAOAAAAAAAAAAEAIAAAAB8BAABkcnMvZTJvRG9jLnht&#10;bFBLBQYAAAAABgAGAFkBAADIBQAAAAA=&#10;" filled="f" stroked="f" strokeweight=".5pt">
          <v:textbox style="mso-fit-shape-to-text:t" inset="0,0,0,0">
            <w:txbxContent>
              <w:p w:rsidR="003805FC" w:rsidRDefault="003805FC">
                <w:pPr>
                  <w:pStyle w:val="a5"/>
                  <w:ind w:leftChars="250" w:left="525" w:rightChars="250" w:right="525"/>
                  <w:rPr>
                    <w:rFonts w:eastAsia="华文仿宋"/>
                    <w:sz w:val="32"/>
                    <w:szCs w:val="32"/>
                  </w:rPr>
                </w:pPr>
                <w:r>
                  <w:rPr>
                    <w:rFonts w:eastAsia="华文仿宋"/>
                    <w:sz w:val="32"/>
                    <w:szCs w:val="32"/>
                  </w:rPr>
                  <w:fldChar w:fldCharType="begin"/>
                </w:r>
                <w:r>
                  <w:rPr>
                    <w:rFonts w:ascii="Times New Roman" w:eastAsia="华文仿宋" w:hAnsi="Times New Roman" w:cs="Times New Roman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separate"/>
                </w:r>
                <w:r w:rsidRPr="003805FC">
                  <w:rPr>
                    <w:rFonts w:eastAsia="华文仿宋"/>
                    <w:noProof/>
                    <w:sz w:val="32"/>
                    <w:szCs w:val="32"/>
                  </w:rPr>
                  <w:t>13</w: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ADF" w:rsidRDefault="000E0ADF" w:rsidP="003805FC">
      <w:r>
        <w:separator/>
      </w:r>
    </w:p>
  </w:footnote>
  <w:footnote w:type="continuationSeparator" w:id="1">
    <w:p w:rsidR="000E0ADF" w:rsidRDefault="000E0ADF" w:rsidP="003805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05FC"/>
    <w:rsid w:val="000E0ADF"/>
    <w:rsid w:val="0038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3805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380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3805F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3805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qFormat/>
    <w:rsid w:val="003805FC"/>
    <w:rPr>
      <w:sz w:val="18"/>
      <w:szCs w:val="18"/>
    </w:rPr>
  </w:style>
  <w:style w:type="paragraph" w:styleId="a0">
    <w:name w:val="footnote text"/>
    <w:basedOn w:val="a"/>
    <w:next w:val="a"/>
    <w:link w:val="Char1"/>
    <w:autoRedefine/>
    <w:qFormat/>
    <w:rsid w:val="003805FC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rsid w:val="003805FC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2"/>
    <w:autoRedefine/>
    <w:semiHidden/>
    <w:qFormat/>
    <w:rsid w:val="003805FC"/>
    <w:rPr>
      <w:rFonts w:ascii="仿宋" w:eastAsia="仿宋" w:hAnsi="仿宋" w:cs="仿宋"/>
      <w:sz w:val="31"/>
      <w:szCs w:val="31"/>
      <w:lang w:eastAsia="en-US"/>
    </w:rPr>
  </w:style>
  <w:style w:type="character" w:customStyle="1" w:styleId="Char2">
    <w:name w:val="正文文本 Char"/>
    <w:basedOn w:val="a1"/>
    <w:link w:val="a6"/>
    <w:semiHidden/>
    <w:rsid w:val="003805FC"/>
    <w:rPr>
      <w:rFonts w:ascii="仿宋" w:eastAsia="仿宋" w:hAnsi="仿宋" w:cs="仿宋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dcterms:created xsi:type="dcterms:W3CDTF">2024-06-05T09:10:00Z</dcterms:created>
  <dcterms:modified xsi:type="dcterms:W3CDTF">2024-06-05T09:10:00Z</dcterms:modified>
</cp:coreProperties>
</file>