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10.odttf" ContentType="application/vnd.openxmlformats-officedocument.obfuscatedFont"/>
  <Override PartName="/word/fonts/font1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fonts/font9.odttf" ContentType="application/vnd.openxmlformats-officedocument.obfuscatedFont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ascii="黑体" w:hAnsi="黑体" w:eastAsia="黑体" w:cs="黑体"/>
          <w:spacing w:val="-4"/>
          <w:sz w:val="31"/>
          <w:szCs w:val="31"/>
          <w:lang w:val="en-US" w:eastAsia="zh-CN"/>
        </w:rPr>
      </w:pPr>
      <w:r>
        <w:rPr>
          <w:rFonts w:hint="eastAsia" w:ascii="仿宋_GB2312" w:hAnsi="仿宋_GB2312" w:eastAsia="仿宋_GB2312" w:cs="仿宋_GB2312"/>
          <w:spacing w:val="-4"/>
          <w:sz w:val="32"/>
          <w:szCs w:val="32"/>
        </w:rPr>
        <w:t>附件</w:t>
      </w:r>
      <w:r>
        <w:rPr>
          <w:rFonts w:hint="eastAsia" w:ascii="仿宋_GB2312" w:hAnsi="仿宋_GB2312" w:eastAsia="仿宋_GB2312" w:cs="仿宋_GB2312"/>
          <w:spacing w:val="-4"/>
          <w:sz w:val="32"/>
          <w:szCs w:val="32"/>
          <w:lang w:val="en-US" w:eastAsia="zh-CN"/>
        </w:rPr>
        <w:t>2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ind w:left="0"/>
        <w:textAlignment w:val="auto"/>
        <w:rPr>
          <w:rFonts w:hint="eastAsia" w:ascii="黑体" w:hAnsi="黑体" w:eastAsia="黑体" w:cs="黑体"/>
          <w:spacing w:val="-4"/>
          <w:sz w:val="31"/>
          <w:szCs w:val="31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jc w:val="center"/>
        <w:textAlignment w:val="auto"/>
        <w:rPr>
          <w:rFonts w:hint="eastAsia" w:ascii="方正小标宋简体" w:hAnsi="方正小标宋简体" w:eastAsia="方正小标宋简体" w:cs="方正小标宋简体"/>
          <w:spacing w:val="0"/>
          <w:sz w:val="44"/>
          <w:szCs w:val="44"/>
        </w:rPr>
      </w:pPr>
      <w:r>
        <w:rPr>
          <w:rFonts w:hint="eastAsia" w:ascii="方正小标宋简体" w:hAnsi="方正小标宋简体" w:eastAsia="方正小标宋简体" w:cs="方正小标宋简体"/>
          <w:spacing w:val="0"/>
          <w:sz w:val="44"/>
          <w:szCs w:val="44"/>
        </w:rPr>
        <w:t>2023年度部门整体支出绩效评价基础数据表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textAlignment w:val="auto"/>
      </w:pPr>
    </w:p>
    <w:tbl>
      <w:tblPr>
        <w:tblStyle w:val="24"/>
        <w:tblW w:w="9277" w:type="dxa"/>
        <w:jc w:val="center"/>
        <w:tblInd w:w="0" w:type="dxa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3419"/>
        <w:gridCol w:w="964"/>
        <w:gridCol w:w="965"/>
        <w:gridCol w:w="1"/>
        <w:gridCol w:w="985"/>
        <w:gridCol w:w="986"/>
        <w:gridCol w:w="978"/>
        <w:gridCol w:w="979"/>
      </w:tblGrid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39" w:hRule="atLeast"/>
          <w:jc w:val="center"/>
        </w:trPr>
        <w:tc>
          <w:tcPr>
            <w:tcW w:w="3419" w:type="dxa"/>
            <w:vMerge w:val="restart"/>
            <w:tcBorders>
              <w:bottom w:val="nil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财政供养人员情况（人）</w:t>
            </w:r>
          </w:p>
        </w:tc>
        <w:tc>
          <w:tcPr>
            <w:tcW w:w="1930" w:type="dxa"/>
            <w:gridSpan w:val="3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编制数</w:t>
            </w:r>
          </w:p>
        </w:tc>
        <w:tc>
          <w:tcPr>
            <w:tcW w:w="1971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2023年实际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在职人数</w:t>
            </w:r>
          </w:p>
        </w:tc>
        <w:tc>
          <w:tcPr>
            <w:tcW w:w="1957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控制率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4" w:hRule="atLeast"/>
          <w:jc w:val="center"/>
        </w:trPr>
        <w:tc>
          <w:tcPr>
            <w:tcW w:w="3419" w:type="dxa"/>
            <w:vMerge w:val="continue"/>
            <w:tcBorders>
              <w:top w:val="nil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</w:p>
        </w:tc>
        <w:tc>
          <w:tcPr>
            <w:tcW w:w="1930" w:type="dxa"/>
            <w:gridSpan w:val="3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default" w:ascii="黑体" w:hAnsi="黑体" w:eastAsia="黑体" w:cs="黑体"/>
                <w:sz w:val="21"/>
                <w:szCs w:val="21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  <w:lang w:val="en-US" w:eastAsia="zh-CN"/>
              </w:rPr>
              <w:t>60</w:t>
            </w:r>
          </w:p>
        </w:tc>
        <w:tc>
          <w:tcPr>
            <w:tcW w:w="1971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default" w:ascii="黑体" w:hAnsi="黑体" w:eastAsia="黑体" w:cs="黑体"/>
                <w:sz w:val="21"/>
                <w:szCs w:val="21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  <w:lang w:val="en-US" w:eastAsia="zh-CN"/>
              </w:rPr>
              <w:t>60</w:t>
            </w:r>
          </w:p>
        </w:tc>
        <w:tc>
          <w:tcPr>
            <w:tcW w:w="1957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default" w:ascii="黑体" w:hAnsi="黑体" w:eastAsia="黑体" w:cs="黑体"/>
                <w:sz w:val="21"/>
                <w:szCs w:val="21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  <w:lang w:val="en-US" w:eastAsia="zh-CN"/>
              </w:rPr>
              <w:t>100%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4" w:hRule="atLeast"/>
          <w:jc w:val="center"/>
        </w:trPr>
        <w:tc>
          <w:tcPr>
            <w:tcW w:w="341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经费控制情况（万元）</w:t>
            </w:r>
          </w:p>
        </w:tc>
        <w:tc>
          <w:tcPr>
            <w:tcW w:w="1930" w:type="dxa"/>
            <w:gridSpan w:val="3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2022年决算数</w:t>
            </w:r>
          </w:p>
        </w:tc>
        <w:tc>
          <w:tcPr>
            <w:tcW w:w="1971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2023年预算数</w:t>
            </w:r>
          </w:p>
        </w:tc>
        <w:tc>
          <w:tcPr>
            <w:tcW w:w="1957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2023年决算数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4" w:hRule="atLeast"/>
          <w:jc w:val="center"/>
        </w:trPr>
        <w:tc>
          <w:tcPr>
            <w:tcW w:w="341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三公经费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：</w:t>
            </w:r>
          </w:p>
        </w:tc>
        <w:tc>
          <w:tcPr>
            <w:tcW w:w="1930" w:type="dxa"/>
            <w:gridSpan w:val="3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lang w:val="en-US" w:eastAsia="zh-CN"/>
              </w:rPr>
              <w:t>3.75</w:t>
            </w:r>
          </w:p>
        </w:tc>
        <w:tc>
          <w:tcPr>
            <w:tcW w:w="1971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4.70</w:t>
            </w:r>
          </w:p>
        </w:tc>
        <w:tc>
          <w:tcPr>
            <w:tcW w:w="1957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0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4" w:hRule="atLeast"/>
          <w:jc w:val="center"/>
        </w:trPr>
        <w:tc>
          <w:tcPr>
            <w:tcW w:w="341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firstLine="420" w:firstLineChars="200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1、公务用车购置和维护经费</w:t>
            </w:r>
          </w:p>
        </w:tc>
        <w:tc>
          <w:tcPr>
            <w:tcW w:w="1930" w:type="dxa"/>
            <w:gridSpan w:val="3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firstLine="420" w:firstLineChars="20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971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firstLine="420" w:firstLineChars="20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957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firstLine="420" w:firstLineChars="20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4" w:hRule="atLeast"/>
          <w:jc w:val="center"/>
        </w:trPr>
        <w:tc>
          <w:tcPr>
            <w:tcW w:w="341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firstLine="840" w:firstLineChars="400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其中：公车购置</w:t>
            </w:r>
          </w:p>
        </w:tc>
        <w:tc>
          <w:tcPr>
            <w:tcW w:w="1930" w:type="dxa"/>
            <w:gridSpan w:val="3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firstLine="840" w:firstLineChars="40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971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firstLine="840" w:firstLineChars="40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957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firstLine="840" w:firstLineChars="40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4" w:hRule="atLeast"/>
          <w:jc w:val="center"/>
        </w:trPr>
        <w:tc>
          <w:tcPr>
            <w:tcW w:w="341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left="0" w:leftChars="0" w:firstLine="1459" w:firstLineChars="695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公车运行维护</w:t>
            </w:r>
          </w:p>
        </w:tc>
        <w:tc>
          <w:tcPr>
            <w:tcW w:w="1930" w:type="dxa"/>
            <w:gridSpan w:val="3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971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957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4" w:hRule="atLeast"/>
          <w:jc w:val="center"/>
        </w:trPr>
        <w:tc>
          <w:tcPr>
            <w:tcW w:w="341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firstLine="420" w:firstLineChars="200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2、出国经费</w:t>
            </w:r>
          </w:p>
        </w:tc>
        <w:tc>
          <w:tcPr>
            <w:tcW w:w="1930" w:type="dxa"/>
            <w:gridSpan w:val="3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firstLine="420" w:firstLineChars="20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971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firstLine="420" w:firstLineChars="20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957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firstLine="420" w:firstLineChars="20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4" w:hRule="atLeast"/>
          <w:jc w:val="center"/>
        </w:trPr>
        <w:tc>
          <w:tcPr>
            <w:tcW w:w="341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firstLine="420" w:firstLineChars="200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3、公务接待</w:t>
            </w:r>
          </w:p>
        </w:tc>
        <w:tc>
          <w:tcPr>
            <w:tcW w:w="1930" w:type="dxa"/>
            <w:gridSpan w:val="3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firstLine="420" w:firstLineChars="200"/>
              <w:jc w:val="center"/>
              <w:textAlignment w:val="auto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3.75</w:t>
            </w:r>
          </w:p>
        </w:tc>
        <w:tc>
          <w:tcPr>
            <w:tcW w:w="1971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firstLine="420" w:firstLineChars="200"/>
              <w:jc w:val="center"/>
              <w:textAlignment w:val="auto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4.70</w:t>
            </w:r>
          </w:p>
        </w:tc>
        <w:tc>
          <w:tcPr>
            <w:tcW w:w="1957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firstLine="420" w:firstLineChars="200"/>
              <w:jc w:val="center"/>
              <w:textAlignment w:val="auto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0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4" w:hRule="atLeast"/>
          <w:jc w:val="center"/>
        </w:trPr>
        <w:tc>
          <w:tcPr>
            <w:tcW w:w="341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项目支出：</w:t>
            </w:r>
          </w:p>
        </w:tc>
        <w:tc>
          <w:tcPr>
            <w:tcW w:w="1930" w:type="dxa"/>
            <w:gridSpan w:val="3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exact"/>
              <w:ind w:left="0" w:leftChars="0" w:right="0" w:rightChars="0" w:firstLine="0" w:firstLineChars="0"/>
              <w:jc w:val="center"/>
              <w:rPr>
                <w:rFonts w:hint="eastAsia" w:ascii="新宋体" w:hAnsi="新宋体" w:eastAsia="新宋体" w:cs="新宋体"/>
                <w:sz w:val="21"/>
                <w:szCs w:val="21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lang w:val="en-US" w:eastAsia="zh-CN"/>
              </w:rPr>
              <w:t>1256.25</w:t>
            </w:r>
          </w:p>
        </w:tc>
        <w:tc>
          <w:tcPr>
            <w:tcW w:w="1971" w:type="dxa"/>
            <w:gridSpan w:val="2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exact"/>
              <w:ind w:left="0" w:leftChars="0" w:right="0" w:rightChars="0" w:firstLine="0" w:firstLineChars="0"/>
              <w:jc w:val="center"/>
              <w:rPr>
                <w:rFonts w:hint="eastAsia" w:ascii="新宋体" w:hAnsi="新宋体" w:eastAsia="新宋体" w:cs="新宋体"/>
                <w:sz w:val="21"/>
                <w:szCs w:val="21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lang w:val="en-US" w:eastAsia="zh-CN"/>
              </w:rPr>
              <w:t>0</w:t>
            </w:r>
          </w:p>
        </w:tc>
        <w:tc>
          <w:tcPr>
            <w:tcW w:w="1957" w:type="dxa"/>
            <w:gridSpan w:val="2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exact"/>
              <w:ind w:left="0" w:leftChars="0" w:right="0" w:rightChars="0" w:firstLine="0" w:firstLineChars="0"/>
              <w:jc w:val="center"/>
              <w:rPr>
                <w:rFonts w:hint="default" w:ascii="新宋体" w:hAnsi="新宋体" w:eastAsia="新宋体" w:cs="新宋体"/>
                <w:sz w:val="21"/>
                <w:szCs w:val="21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lang w:val="en-US" w:eastAsia="zh-CN"/>
              </w:rPr>
              <w:t>1043.55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4" w:hRule="atLeast"/>
          <w:jc w:val="center"/>
        </w:trPr>
        <w:tc>
          <w:tcPr>
            <w:tcW w:w="341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tabs>
                <w:tab w:val="left" w:pos="839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一般公共服务支出项目</w:t>
            </w:r>
          </w:p>
        </w:tc>
        <w:tc>
          <w:tcPr>
            <w:tcW w:w="1930" w:type="dxa"/>
            <w:gridSpan w:val="3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exact"/>
              <w:ind w:left="0" w:leftChars="0" w:right="0" w:rightChars="0" w:firstLine="0" w:firstLineChars="0"/>
              <w:jc w:val="center"/>
              <w:rPr>
                <w:rFonts w:hint="eastAsia" w:ascii="新宋体" w:hAnsi="新宋体" w:eastAsia="新宋体" w:cs="新宋体"/>
                <w:sz w:val="21"/>
                <w:szCs w:val="21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lang w:val="en-US" w:eastAsia="zh-CN"/>
              </w:rPr>
              <w:t>41.67</w:t>
            </w:r>
          </w:p>
        </w:tc>
        <w:tc>
          <w:tcPr>
            <w:tcW w:w="1971" w:type="dxa"/>
            <w:gridSpan w:val="2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exact"/>
              <w:ind w:left="0" w:leftChars="0" w:right="0" w:rightChars="0" w:firstLine="0" w:firstLineChars="0"/>
              <w:jc w:val="center"/>
              <w:rPr>
                <w:rFonts w:hint="eastAsia" w:ascii="新宋体" w:hAnsi="新宋体" w:eastAsia="新宋体" w:cs="新宋体"/>
                <w:sz w:val="21"/>
                <w:szCs w:val="21"/>
                <w:lang w:val="en-US" w:eastAsia="zh-CN"/>
              </w:rPr>
            </w:pPr>
          </w:p>
        </w:tc>
        <w:tc>
          <w:tcPr>
            <w:tcW w:w="1957" w:type="dxa"/>
            <w:gridSpan w:val="2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exact"/>
              <w:ind w:left="0" w:leftChars="0" w:right="0" w:rightChars="0" w:firstLine="0" w:firstLineChars="0"/>
              <w:jc w:val="center"/>
              <w:rPr>
                <w:rFonts w:hint="default" w:ascii="新宋体" w:hAnsi="新宋体" w:eastAsia="新宋体" w:cs="新宋体"/>
                <w:sz w:val="21"/>
                <w:szCs w:val="21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lang w:val="en-US" w:eastAsia="zh-CN"/>
              </w:rPr>
              <w:t>6.70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4" w:hRule="atLeast"/>
          <w:jc w:val="center"/>
        </w:trPr>
        <w:tc>
          <w:tcPr>
            <w:tcW w:w="341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国防支出项目</w:t>
            </w:r>
          </w:p>
        </w:tc>
        <w:tc>
          <w:tcPr>
            <w:tcW w:w="1930" w:type="dxa"/>
            <w:gridSpan w:val="3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exact"/>
              <w:ind w:left="0" w:leftChars="0" w:right="0" w:rightChars="0" w:firstLine="0" w:firstLineChars="0"/>
              <w:jc w:val="center"/>
              <w:rPr>
                <w:rFonts w:hint="eastAsia" w:ascii="新宋体" w:hAnsi="新宋体" w:eastAsia="新宋体" w:cs="新宋体"/>
                <w:sz w:val="21"/>
                <w:szCs w:val="21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lang w:val="en-US" w:eastAsia="zh-CN"/>
              </w:rPr>
              <w:t>0</w:t>
            </w:r>
          </w:p>
        </w:tc>
        <w:tc>
          <w:tcPr>
            <w:tcW w:w="1971" w:type="dxa"/>
            <w:gridSpan w:val="2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exact"/>
              <w:ind w:left="0" w:leftChars="0" w:right="0" w:rightChars="0" w:firstLine="0" w:firstLineChars="0"/>
              <w:jc w:val="center"/>
              <w:rPr>
                <w:rFonts w:hint="eastAsia" w:ascii="新宋体" w:hAnsi="新宋体" w:eastAsia="新宋体" w:cs="新宋体"/>
                <w:sz w:val="21"/>
                <w:szCs w:val="21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lang w:val="en-US" w:eastAsia="zh-CN"/>
              </w:rPr>
              <w:t>0</w:t>
            </w:r>
          </w:p>
        </w:tc>
        <w:tc>
          <w:tcPr>
            <w:tcW w:w="1957" w:type="dxa"/>
            <w:gridSpan w:val="2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exact"/>
              <w:ind w:left="0" w:leftChars="0" w:right="0" w:rightChars="0" w:firstLine="0" w:firstLineChars="0"/>
              <w:jc w:val="center"/>
              <w:rPr>
                <w:rFonts w:hint="default" w:ascii="新宋体" w:hAnsi="新宋体" w:eastAsia="新宋体" w:cs="新宋体"/>
                <w:sz w:val="21"/>
                <w:szCs w:val="21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lang w:val="en-US" w:eastAsia="zh-CN"/>
              </w:rPr>
              <w:t>3.00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4" w:hRule="atLeast"/>
          <w:jc w:val="center"/>
        </w:trPr>
        <w:tc>
          <w:tcPr>
            <w:tcW w:w="341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卫生健康支出项目</w:t>
            </w:r>
          </w:p>
        </w:tc>
        <w:tc>
          <w:tcPr>
            <w:tcW w:w="1930" w:type="dxa"/>
            <w:gridSpan w:val="3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exact"/>
              <w:ind w:left="0" w:leftChars="0" w:right="0" w:rightChars="0" w:firstLine="0" w:firstLineChars="0"/>
              <w:jc w:val="center"/>
              <w:rPr>
                <w:rFonts w:hint="default" w:ascii="新宋体" w:hAnsi="新宋体" w:eastAsia="新宋体" w:cs="新宋体"/>
                <w:sz w:val="21"/>
                <w:szCs w:val="21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lang w:val="en-US" w:eastAsia="zh-CN"/>
              </w:rPr>
              <w:t>7.00</w:t>
            </w:r>
          </w:p>
        </w:tc>
        <w:tc>
          <w:tcPr>
            <w:tcW w:w="1971" w:type="dxa"/>
            <w:gridSpan w:val="2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exact"/>
              <w:ind w:left="0" w:leftChars="0" w:right="0" w:rightChars="0" w:firstLine="0" w:firstLineChars="0"/>
              <w:jc w:val="center"/>
              <w:rPr>
                <w:rFonts w:hint="eastAsia" w:ascii="新宋体" w:hAnsi="新宋体" w:eastAsia="新宋体" w:cs="新宋体"/>
                <w:sz w:val="21"/>
                <w:szCs w:val="21"/>
                <w:lang w:val="en-US" w:eastAsia="zh-CN"/>
              </w:rPr>
            </w:pPr>
          </w:p>
        </w:tc>
        <w:tc>
          <w:tcPr>
            <w:tcW w:w="1957" w:type="dxa"/>
            <w:gridSpan w:val="2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exact"/>
              <w:ind w:left="0" w:leftChars="0" w:right="0" w:rightChars="0" w:firstLine="0" w:firstLineChars="0"/>
              <w:jc w:val="center"/>
              <w:rPr>
                <w:rFonts w:hint="default" w:ascii="新宋体" w:hAnsi="新宋体" w:eastAsia="新宋体" w:cs="新宋体"/>
                <w:sz w:val="21"/>
                <w:szCs w:val="21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lang w:val="en-US" w:eastAsia="zh-CN"/>
              </w:rPr>
              <w:t>0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4" w:hRule="atLeast"/>
          <w:jc w:val="center"/>
        </w:trPr>
        <w:tc>
          <w:tcPr>
            <w:tcW w:w="341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公共安全支出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项目</w:t>
            </w:r>
          </w:p>
        </w:tc>
        <w:tc>
          <w:tcPr>
            <w:tcW w:w="1930" w:type="dxa"/>
            <w:gridSpan w:val="3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exact"/>
              <w:ind w:left="0" w:leftChars="0" w:right="0" w:rightChars="0" w:firstLine="0" w:firstLineChars="0"/>
              <w:jc w:val="center"/>
              <w:rPr>
                <w:rFonts w:hint="eastAsia" w:ascii="新宋体" w:hAnsi="新宋体" w:eastAsia="新宋体" w:cs="新宋体"/>
                <w:sz w:val="21"/>
                <w:szCs w:val="21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lang w:val="en-US" w:eastAsia="zh-CN"/>
              </w:rPr>
              <w:t>0</w:t>
            </w:r>
          </w:p>
        </w:tc>
        <w:tc>
          <w:tcPr>
            <w:tcW w:w="1971" w:type="dxa"/>
            <w:gridSpan w:val="2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exact"/>
              <w:ind w:left="0" w:leftChars="0" w:right="0" w:rightChars="0" w:firstLine="0" w:firstLineChars="0"/>
              <w:jc w:val="center"/>
              <w:rPr>
                <w:rFonts w:hint="eastAsia" w:ascii="新宋体" w:hAnsi="新宋体" w:eastAsia="新宋体" w:cs="新宋体"/>
                <w:sz w:val="21"/>
                <w:szCs w:val="21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lang w:val="en-US" w:eastAsia="zh-CN"/>
              </w:rPr>
              <w:t>0</w:t>
            </w:r>
          </w:p>
        </w:tc>
        <w:tc>
          <w:tcPr>
            <w:tcW w:w="1957" w:type="dxa"/>
            <w:gridSpan w:val="2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exact"/>
              <w:ind w:left="0" w:leftChars="0" w:right="0" w:rightChars="0" w:firstLine="0" w:firstLineChars="0"/>
              <w:jc w:val="center"/>
              <w:rPr>
                <w:rFonts w:hint="default" w:ascii="新宋体" w:hAnsi="新宋体" w:eastAsia="新宋体" w:cs="新宋体"/>
                <w:sz w:val="21"/>
                <w:szCs w:val="21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lang w:val="en-US" w:eastAsia="zh-CN"/>
              </w:rPr>
              <w:t>1.14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4" w:hRule="atLeast"/>
          <w:jc w:val="center"/>
        </w:trPr>
        <w:tc>
          <w:tcPr>
            <w:tcW w:w="341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文化旅游体育与传媒支出项目</w:t>
            </w:r>
          </w:p>
        </w:tc>
        <w:tc>
          <w:tcPr>
            <w:tcW w:w="1930" w:type="dxa"/>
            <w:gridSpan w:val="3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exact"/>
              <w:ind w:left="0" w:leftChars="0" w:right="0" w:rightChars="0" w:firstLine="0" w:firstLineChars="0"/>
              <w:jc w:val="center"/>
              <w:rPr>
                <w:rFonts w:hint="eastAsia" w:ascii="新宋体" w:hAnsi="新宋体" w:eastAsia="新宋体" w:cs="新宋体"/>
                <w:sz w:val="21"/>
                <w:szCs w:val="21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lang w:val="en-US" w:eastAsia="zh-CN"/>
              </w:rPr>
              <w:t>4.00</w:t>
            </w:r>
          </w:p>
        </w:tc>
        <w:tc>
          <w:tcPr>
            <w:tcW w:w="1971" w:type="dxa"/>
            <w:gridSpan w:val="2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exact"/>
              <w:ind w:left="0" w:leftChars="0" w:right="0" w:rightChars="0" w:firstLine="0" w:firstLineChars="0"/>
              <w:jc w:val="center"/>
              <w:rPr>
                <w:rFonts w:hint="eastAsia" w:ascii="新宋体" w:hAnsi="新宋体" w:eastAsia="新宋体" w:cs="新宋体"/>
                <w:sz w:val="21"/>
                <w:szCs w:val="21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lang w:val="en-US" w:eastAsia="zh-CN"/>
              </w:rPr>
              <w:t>0</w:t>
            </w:r>
          </w:p>
        </w:tc>
        <w:tc>
          <w:tcPr>
            <w:tcW w:w="1957" w:type="dxa"/>
            <w:gridSpan w:val="2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exact"/>
              <w:ind w:left="0" w:leftChars="0" w:right="0" w:rightChars="0" w:firstLine="0" w:firstLineChars="0"/>
              <w:jc w:val="center"/>
              <w:rPr>
                <w:rFonts w:hint="default" w:ascii="新宋体" w:hAnsi="新宋体" w:eastAsia="新宋体" w:cs="新宋体"/>
                <w:sz w:val="21"/>
                <w:szCs w:val="21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lang w:val="en-US" w:eastAsia="zh-CN"/>
              </w:rPr>
              <w:t>16.80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4" w:hRule="atLeast"/>
          <w:jc w:val="center"/>
        </w:trPr>
        <w:tc>
          <w:tcPr>
            <w:tcW w:w="341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社会保障和就业支出项目</w:t>
            </w:r>
          </w:p>
        </w:tc>
        <w:tc>
          <w:tcPr>
            <w:tcW w:w="1930" w:type="dxa"/>
            <w:gridSpan w:val="3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exact"/>
              <w:ind w:left="0" w:leftChars="0" w:right="0" w:rightChars="0" w:firstLine="0" w:firstLineChars="0"/>
              <w:jc w:val="center"/>
              <w:rPr>
                <w:rFonts w:hint="eastAsia" w:ascii="新宋体" w:hAnsi="新宋体" w:eastAsia="新宋体" w:cs="新宋体"/>
                <w:sz w:val="21"/>
                <w:szCs w:val="21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lang w:val="en-US" w:eastAsia="zh-CN"/>
              </w:rPr>
              <w:t>151.57</w:t>
            </w:r>
          </w:p>
        </w:tc>
        <w:tc>
          <w:tcPr>
            <w:tcW w:w="1971" w:type="dxa"/>
            <w:gridSpan w:val="2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exact"/>
              <w:ind w:left="0" w:leftChars="0" w:right="0" w:rightChars="0" w:firstLine="0" w:firstLineChars="0"/>
              <w:jc w:val="center"/>
              <w:rPr>
                <w:rFonts w:hint="eastAsia" w:ascii="新宋体" w:hAnsi="新宋体" w:eastAsia="新宋体" w:cs="新宋体"/>
                <w:sz w:val="21"/>
                <w:szCs w:val="21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lang w:val="en-US" w:eastAsia="zh-CN"/>
              </w:rPr>
              <w:t>0</w:t>
            </w:r>
          </w:p>
        </w:tc>
        <w:tc>
          <w:tcPr>
            <w:tcW w:w="1957" w:type="dxa"/>
            <w:gridSpan w:val="2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exact"/>
              <w:ind w:left="0" w:leftChars="0" w:right="0" w:rightChars="0" w:firstLine="0" w:firstLineChars="0"/>
              <w:jc w:val="center"/>
              <w:rPr>
                <w:rFonts w:hint="default" w:ascii="新宋体" w:hAnsi="新宋体" w:eastAsia="新宋体" w:cs="新宋体"/>
                <w:sz w:val="21"/>
                <w:szCs w:val="21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lang w:val="en-US" w:eastAsia="zh-CN"/>
              </w:rPr>
              <w:t>247.79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4" w:hRule="atLeast"/>
          <w:jc w:val="center"/>
        </w:trPr>
        <w:tc>
          <w:tcPr>
            <w:tcW w:w="341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节能环保支出项目</w:t>
            </w:r>
          </w:p>
        </w:tc>
        <w:tc>
          <w:tcPr>
            <w:tcW w:w="1930" w:type="dxa"/>
            <w:gridSpan w:val="3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exact"/>
              <w:ind w:left="0" w:leftChars="0" w:right="0" w:rightChars="0" w:firstLine="0" w:firstLineChars="0"/>
              <w:jc w:val="center"/>
              <w:rPr>
                <w:rFonts w:hint="eastAsia" w:ascii="新宋体" w:hAnsi="新宋体" w:eastAsia="新宋体" w:cs="新宋体"/>
                <w:sz w:val="21"/>
                <w:szCs w:val="21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lang w:val="en-US" w:eastAsia="zh-CN"/>
              </w:rPr>
              <w:t>29.00</w:t>
            </w:r>
          </w:p>
        </w:tc>
        <w:tc>
          <w:tcPr>
            <w:tcW w:w="1971" w:type="dxa"/>
            <w:gridSpan w:val="2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exact"/>
              <w:ind w:left="0" w:leftChars="0" w:right="0" w:rightChars="0" w:firstLine="0" w:firstLineChars="0"/>
              <w:jc w:val="center"/>
              <w:rPr>
                <w:rFonts w:hint="default" w:ascii="新宋体" w:hAnsi="新宋体" w:eastAsia="新宋体" w:cs="新宋体"/>
                <w:sz w:val="21"/>
                <w:szCs w:val="21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lang w:val="en-US" w:eastAsia="zh-CN"/>
              </w:rPr>
              <w:t>0</w:t>
            </w:r>
          </w:p>
        </w:tc>
        <w:tc>
          <w:tcPr>
            <w:tcW w:w="1957" w:type="dxa"/>
            <w:gridSpan w:val="2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exact"/>
              <w:ind w:left="0" w:leftChars="0" w:right="0" w:rightChars="0" w:firstLine="0" w:firstLineChars="0"/>
              <w:jc w:val="center"/>
              <w:rPr>
                <w:rFonts w:hint="default" w:ascii="新宋体" w:hAnsi="新宋体" w:eastAsia="新宋体" w:cs="新宋体"/>
                <w:sz w:val="21"/>
                <w:szCs w:val="21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lang w:val="en-US" w:eastAsia="zh-CN"/>
              </w:rPr>
              <w:t>29.70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4" w:hRule="atLeast"/>
          <w:jc w:val="center"/>
        </w:trPr>
        <w:tc>
          <w:tcPr>
            <w:tcW w:w="341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城乡社区支出项目</w:t>
            </w:r>
          </w:p>
        </w:tc>
        <w:tc>
          <w:tcPr>
            <w:tcW w:w="1930" w:type="dxa"/>
            <w:gridSpan w:val="3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exact"/>
              <w:ind w:left="0" w:leftChars="0" w:right="0" w:rightChars="0" w:firstLine="0" w:firstLineChars="0"/>
              <w:jc w:val="center"/>
              <w:rPr>
                <w:rFonts w:hint="eastAsia" w:ascii="新宋体" w:hAnsi="新宋体" w:eastAsia="新宋体" w:cs="新宋体"/>
                <w:sz w:val="21"/>
                <w:szCs w:val="21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lang w:val="en-US" w:eastAsia="zh-CN"/>
              </w:rPr>
              <w:t>2.40</w:t>
            </w:r>
          </w:p>
        </w:tc>
        <w:tc>
          <w:tcPr>
            <w:tcW w:w="1971" w:type="dxa"/>
            <w:gridSpan w:val="2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exact"/>
              <w:ind w:left="0" w:leftChars="0" w:right="0" w:rightChars="0" w:firstLine="0" w:firstLineChars="0"/>
              <w:jc w:val="center"/>
              <w:rPr>
                <w:rFonts w:hint="eastAsia" w:ascii="新宋体" w:hAnsi="新宋体" w:eastAsia="新宋体" w:cs="新宋体"/>
                <w:sz w:val="21"/>
                <w:szCs w:val="21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lang w:val="en-US" w:eastAsia="zh-CN"/>
              </w:rPr>
              <w:t>0</w:t>
            </w:r>
          </w:p>
        </w:tc>
        <w:tc>
          <w:tcPr>
            <w:tcW w:w="1957" w:type="dxa"/>
            <w:gridSpan w:val="2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exact"/>
              <w:ind w:left="0" w:leftChars="0" w:right="0" w:rightChars="0" w:firstLine="0" w:firstLineChars="0"/>
              <w:jc w:val="center"/>
              <w:rPr>
                <w:rFonts w:hint="default" w:ascii="新宋体" w:hAnsi="新宋体" w:eastAsia="新宋体" w:cs="新宋体"/>
                <w:sz w:val="21"/>
                <w:szCs w:val="21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lang w:val="en-US" w:eastAsia="zh-CN"/>
              </w:rPr>
              <w:t>38.32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4" w:hRule="atLeast"/>
          <w:jc w:val="center"/>
        </w:trPr>
        <w:tc>
          <w:tcPr>
            <w:tcW w:w="341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农林水支出项目</w:t>
            </w:r>
          </w:p>
        </w:tc>
        <w:tc>
          <w:tcPr>
            <w:tcW w:w="1930" w:type="dxa"/>
            <w:gridSpan w:val="3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exact"/>
              <w:ind w:left="0" w:leftChars="0" w:right="0" w:rightChars="0" w:firstLine="0" w:firstLineChars="0"/>
              <w:jc w:val="center"/>
              <w:rPr>
                <w:rFonts w:hint="eastAsia" w:ascii="新宋体" w:hAnsi="新宋体" w:eastAsia="新宋体" w:cs="新宋体"/>
                <w:sz w:val="21"/>
                <w:szCs w:val="21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lang w:val="en-US" w:eastAsia="zh-CN"/>
              </w:rPr>
              <w:t>858.04</w:t>
            </w:r>
          </w:p>
        </w:tc>
        <w:tc>
          <w:tcPr>
            <w:tcW w:w="1971" w:type="dxa"/>
            <w:gridSpan w:val="2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exact"/>
              <w:ind w:left="0" w:leftChars="0" w:right="0" w:rightChars="0" w:firstLine="0" w:firstLineChars="0"/>
              <w:jc w:val="center"/>
              <w:rPr>
                <w:rFonts w:hint="eastAsia" w:ascii="新宋体" w:hAnsi="新宋体" w:eastAsia="新宋体" w:cs="新宋体"/>
                <w:sz w:val="21"/>
                <w:szCs w:val="21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lang w:val="en-US" w:eastAsia="zh-CN"/>
              </w:rPr>
              <w:t>0</w:t>
            </w:r>
          </w:p>
        </w:tc>
        <w:tc>
          <w:tcPr>
            <w:tcW w:w="1957" w:type="dxa"/>
            <w:gridSpan w:val="2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exact"/>
              <w:ind w:left="0" w:leftChars="0" w:right="0" w:rightChars="0" w:firstLine="0" w:firstLineChars="0"/>
              <w:jc w:val="center"/>
              <w:rPr>
                <w:rFonts w:hint="default" w:ascii="新宋体" w:hAnsi="新宋体" w:eastAsia="新宋体" w:cs="新宋体"/>
                <w:sz w:val="21"/>
                <w:szCs w:val="21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lang w:val="en-US" w:eastAsia="zh-CN"/>
              </w:rPr>
              <w:t>560.49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9" w:hRule="atLeast"/>
          <w:jc w:val="center"/>
        </w:trPr>
        <w:tc>
          <w:tcPr>
            <w:tcW w:w="341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交通运输支出项目</w:t>
            </w:r>
          </w:p>
        </w:tc>
        <w:tc>
          <w:tcPr>
            <w:tcW w:w="1930" w:type="dxa"/>
            <w:gridSpan w:val="3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exact"/>
              <w:ind w:left="0" w:leftChars="0" w:right="0" w:rightChars="0" w:firstLine="0" w:firstLineChars="0"/>
              <w:jc w:val="center"/>
              <w:rPr>
                <w:rFonts w:hint="eastAsia" w:ascii="新宋体" w:hAnsi="新宋体" w:eastAsia="新宋体" w:cs="新宋体"/>
                <w:sz w:val="21"/>
                <w:szCs w:val="21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lang w:val="en-US" w:eastAsia="zh-CN"/>
              </w:rPr>
              <w:t>15.46</w:t>
            </w:r>
          </w:p>
        </w:tc>
        <w:tc>
          <w:tcPr>
            <w:tcW w:w="1971" w:type="dxa"/>
            <w:gridSpan w:val="2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exact"/>
              <w:ind w:left="0" w:leftChars="0" w:right="0" w:rightChars="0" w:firstLine="0" w:firstLineChars="0"/>
              <w:jc w:val="center"/>
              <w:rPr>
                <w:rFonts w:hint="eastAsia" w:ascii="新宋体" w:hAnsi="新宋体" w:eastAsia="新宋体" w:cs="新宋体"/>
                <w:sz w:val="21"/>
                <w:szCs w:val="21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lang w:val="en-US" w:eastAsia="zh-CN"/>
              </w:rPr>
              <w:t>0</w:t>
            </w:r>
          </w:p>
        </w:tc>
        <w:tc>
          <w:tcPr>
            <w:tcW w:w="1957" w:type="dxa"/>
            <w:gridSpan w:val="2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exact"/>
              <w:ind w:left="0" w:leftChars="0" w:right="0" w:rightChars="0" w:firstLine="0" w:firstLineChars="0"/>
              <w:jc w:val="center"/>
              <w:rPr>
                <w:rFonts w:hint="default" w:ascii="新宋体" w:hAnsi="新宋体" w:eastAsia="新宋体" w:cs="新宋体"/>
                <w:sz w:val="21"/>
                <w:szCs w:val="21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lang w:val="en-US" w:eastAsia="zh-CN"/>
              </w:rPr>
              <w:t>13.07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9" w:hRule="atLeast"/>
          <w:jc w:val="center"/>
        </w:trPr>
        <w:tc>
          <w:tcPr>
            <w:tcW w:w="341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商业服务业等支出项目</w:t>
            </w:r>
          </w:p>
        </w:tc>
        <w:tc>
          <w:tcPr>
            <w:tcW w:w="1930" w:type="dxa"/>
            <w:gridSpan w:val="3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exact"/>
              <w:ind w:left="0" w:leftChars="0" w:right="0" w:rightChars="0" w:firstLine="0" w:firstLineChars="0"/>
              <w:jc w:val="center"/>
              <w:rPr>
                <w:rFonts w:hint="default" w:ascii="新宋体" w:hAnsi="新宋体" w:eastAsia="新宋体" w:cs="新宋体"/>
                <w:sz w:val="21"/>
                <w:szCs w:val="21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lang w:val="en-US" w:eastAsia="zh-CN"/>
              </w:rPr>
              <w:t>34.00</w:t>
            </w:r>
          </w:p>
        </w:tc>
        <w:tc>
          <w:tcPr>
            <w:tcW w:w="1971" w:type="dxa"/>
            <w:gridSpan w:val="2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exact"/>
              <w:ind w:left="0" w:leftChars="0" w:right="0" w:rightChars="0" w:firstLine="0" w:firstLineChars="0"/>
              <w:jc w:val="center"/>
              <w:rPr>
                <w:rFonts w:hint="default" w:ascii="新宋体" w:hAnsi="新宋体" w:eastAsia="新宋体" w:cs="新宋体"/>
                <w:sz w:val="21"/>
                <w:szCs w:val="21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lang w:val="en-US" w:eastAsia="zh-CN"/>
              </w:rPr>
              <w:t>0</w:t>
            </w:r>
          </w:p>
        </w:tc>
        <w:tc>
          <w:tcPr>
            <w:tcW w:w="1957" w:type="dxa"/>
            <w:gridSpan w:val="2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exact"/>
              <w:ind w:left="0" w:leftChars="0" w:right="0" w:rightChars="0" w:firstLine="0" w:firstLineChars="0"/>
              <w:jc w:val="center"/>
              <w:rPr>
                <w:rFonts w:hint="default" w:ascii="新宋体" w:hAnsi="新宋体" w:eastAsia="新宋体" w:cs="新宋体"/>
                <w:sz w:val="21"/>
                <w:szCs w:val="21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lang w:val="en-US" w:eastAsia="zh-CN"/>
              </w:rPr>
              <w:t>18.00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9" w:hRule="atLeast"/>
          <w:jc w:val="center"/>
        </w:trPr>
        <w:tc>
          <w:tcPr>
            <w:tcW w:w="341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自然资源海洋气象等支出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项目</w:t>
            </w:r>
          </w:p>
        </w:tc>
        <w:tc>
          <w:tcPr>
            <w:tcW w:w="1930" w:type="dxa"/>
            <w:gridSpan w:val="3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exact"/>
              <w:ind w:left="0" w:leftChars="0" w:right="0" w:rightChars="0" w:firstLine="0" w:firstLineChars="0"/>
              <w:jc w:val="center"/>
              <w:rPr>
                <w:rFonts w:hint="default" w:ascii="新宋体" w:hAnsi="新宋体" w:eastAsia="新宋体" w:cs="新宋体"/>
                <w:sz w:val="21"/>
                <w:szCs w:val="21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lang w:val="en-US" w:eastAsia="zh-CN"/>
              </w:rPr>
              <w:t>8.00</w:t>
            </w:r>
          </w:p>
        </w:tc>
        <w:tc>
          <w:tcPr>
            <w:tcW w:w="1971" w:type="dxa"/>
            <w:gridSpan w:val="2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exact"/>
              <w:ind w:left="0" w:leftChars="0" w:right="0" w:rightChars="0" w:firstLine="0" w:firstLineChars="0"/>
              <w:jc w:val="center"/>
              <w:rPr>
                <w:rFonts w:hint="default" w:ascii="新宋体" w:hAnsi="新宋体" w:eastAsia="新宋体" w:cs="新宋体"/>
                <w:sz w:val="21"/>
                <w:szCs w:val="21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lang w:val="en-US" w:eastAsia="zh-CN"/>
              </w:rPr>
              <w:t>0</w:t>
            </w:r>
          </w:p>
        </w:tc>
        <w:tc>
          <w:tcPr>
            <w:tcW w:w="1957" w:type="dxa"/>
            <w:gridSpan w:val="2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exact"/>
              <w:ind w:left="0" w:leftChars="0" w:right="0" w:rightChars="0" w:firstLine="0" w:firstLineChars="0"/>
              <w:jc w:val="center"/>
              <w:rPr>
                <w:rFonts w:hint="default" w:ascii="新宋体" w:hAnsi="新宋体" w:eastAsia="新宋体" w:cs="新宋体"/>
                <w:sz w:val="21"/>
                <w:szCs w:val="21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lang w:val="en-US" w:eastAsia="zh-CN"/>
              </w:rPr>
              <w:t>16.00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15" w:hRule="atLeast"/>
          <w:jc w:val="center"/>
        </w:trPr>
        <w:tc>
          <w:tcPr>
            <w:tcW w:w="341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粮油物资储备支出项目</w:t>
            </w:r>
          </w:p>
        </w:tc>
        <w:tc>
          <w:tcPr>
            <w:tcW w:w="1930" w:type="dxa"/>
            <w:gridSpan w:val="3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exact"/>
              <w:ind w:left="0" w:leftChars="0" w:right="0" w:rightChars="0" w:firstLine="0" w:firstLineChars="0"/>
              <w:jc w:val="center"/>
              <w:rPr>
                <w:rFonts w:hint="default" w:ascii="新宋体" w:hAnsi="新宋体" w:eastAsia="新宋体" w:cs="新宋体"/>
                <w:sz w:val="21"/>
                <w:szCs w:val="21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lang w:val="en-US" w:eastAsia="zh-CN"/>
              </w:rPr>
              <w:t>61.11</w:t>
            </w:r>
          </w:p>
        </w:tc>
        <w:tc>
          <w:tcPr>
            <w:tcW w:w="1971" w:type="dxa"/>
            <w:gridSpan w:val="2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exact"/>
              <w:ind w:left="0" w:leftChars="0" w:right="0" w:rightChars="0" w:firstLine="0" w:firstLineChars="0"/>
              <w:jc w:val="center"/>
              <w:rPr>
                <w:rFonts w:hint="eastAsia" w:ascii="新宋体" w:hAnsi="新宋体" w:eastAsia="新宋体" w:cs="新宋体"/>
                <w:sz w:val="21"/>
                <w:szCs w:val="21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lang w:val="en-US" w:eastAsia="zh-CN"/>
              </w:rPr>
              <w:t>0</w:t>
            </w:r>
          </w:p>
        </w:tc>
        <w:tc>
          <w:tcPr>
            <w:tcW w:w="1957" w:type="dxa"/>
            <w:gridSpan w:val="2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exact"/>
              <w:ind w:left="0" w:leftChars="0" w:right="0" w:rightChars="0" w:firstLine="0" w:firstLineChars="0"/>
              <w:jc w:val="center"/>
              <w:rPr>
                <w:rFonts w:hint="default" w:ascii="新宋体" w:hAnsi="新宋体" w:eastAsia="新宋体" w:cs="新宋体"/>
                <w:sz w:val="21"/>
                <w:szCs w:val="21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lang w:val="en-US" w:eastAsia="zh-CN"/>
              </w:rPr>
              <w:t>52.99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15" w:hRule="atLeast"/>
          <w:jc w:val="center"/>
        </w:trPr>
        <w:tc>
          <w:tcPr>
            <w:tcW w:w="341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国有资本经营预算支出项目</w:t>
            </w:r>
          </w:p>
        </w:tc>
        <w:tc>
          <w:tcPr>
            <w:tcW w:w="1930" w:type="dxa"/>
            <w:gridSpan w:val="3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exact"/>
              <w:ind w:left="0" w:leftChars="0" w:right="0" w:rightChars="0" w:firstLine="0" w:firstLineChars="0"/>
              <w:jc w:val="center"/>
              <w:rPr>
                <w:rFonts w:hint="default" w:ascii="新宋体" w:hAnsi="新宋体" w:eastAsia="新宋体" w:cs="新宋体"/>
                <w:sz w:val="21"/>
                <w:szCs w:val="21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lang w:val="en-US" w:eastAsia="zh-CN"/>
              </w:rPr>
              <w:t>0</w:t>
            </w:r>
          </w:p>
        </w:tc>
        <w:tc>
          <w:tcPr>
            <w:tcW w:w="1971" w:type="dxa"/>
            <w:gridSpan w:val="2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exact"/>
              <w:ind w:left="0" w:leftChars="0" w:right="0" w:rightChars="0" w:firstLine="0" w:firstLineChars="0"/>
              <w:jc w:val="center"/>
              <w:rPr>
                <w:rFonts w:hint="default" w:ascii="新宋体" w:hAnsi="新宋体" w:eastAsia="新宋体" w:cs="新宋体"/>
                <w:sz w:val="21"/>
                <w:szCs w:val="21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lang w:val="en-US" w:eastAsia="zh-CN"/>
              </w:rPr>
              <w:t>0</w:t>
            </w:r>
          </w:p>
        </w:tc>
        <w:tc>
          <w:tcPr>
            <w:tcW w:w="1957" w:type="dxa"/>
            <w:gridSpan w:val="2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exact"/>
              <w:ind w:left="0" w:leftChars="0" w:right="0" w:rightChars="0" w:firstLine="0" w:firstLineChars="0"/>
              <w:jc w:val="center"/>
              <w:rPr>
                <w:rFonts w:hint="default" w:ascii="新宋体" w:hAnsi="新宋体" w:eastAsia="新宋体" w:cs="新宋体"/>
                <w:sz w:val="21"/>
                <w:szCs w:val="21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lang w:val="en-US" w:eastAsia="zh-CN"/>
              </w:rPr>
              <w:t>0.05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15" w:hRule="atLeast"/>
          <w:jc w:val="center"/>
        </w:trPr>
        <w:tc>
          <w:tcPr>
            <w:tcW w:w="341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tabs>
                <w:tab w:val="left" w:pos="639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both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其他支出项目</w:t>
            </w:r>
          </w:p>
        </w:tc>
        <w:tc>
          <w:tcPr>
            <w:tcW w:w="1930" w:type="dxa"/>
            <w:gridSpan w:val="3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exact"/>
              <w:ind w:left="0" w:leftChars="0" w:right="0" w:rightChars="0" w:firstLine="0" w:firstLineChars="0"/>
              <w:jc w:val="center"/>
              <w:rPr>
                <w:rFonts w:hint="default" w:ascii="新宋体" w:hAnsi="新宋体" w:eastAsia="新宋体" w:cs="新宋体"/>
                <w:sz w:val="21"/>
                <w:szCs w:val="21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lang w:val="en-US" w:eastAsia="zh-CN"/>
              </w:rPr>
              <w:t>44.00</w:t>
            </w:r>
          </w:p>
        </w:tc>
        <w:tc>
          <w:tcPr>
            <w:tcW w:w="1971" w:type="dxa"/>
            <w:gridSpan w:val="2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exact"/>
              <w:ind w:left="0" w:leftChars="0" w:right="0" w:rightChars="0" w:firstLine="0" w:firstLineChars="0"/>
              <w:jc w:val="center"/>
              <w:rPr>
                <w:rFonts w:hint="default" w:ascii="新宋体" w:hAnsi="新宋体" w:eastAsia="新宋体" w:cs="新宋体"/>
                <w:sz w:val="21"/>
                <w:szCs w:val="21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lang w:val="en-US" w:eastAsia="zh-CN"/>
              </w:rPr>
              <w:t>0</w:t>
            </w:r>
          </w:p>
        </w:tc>
        <w:tc>
          <w:tcPr>
            <w:tcW w:w="1957" w:type="dxa"/>
            <w:gridSpan w:val="2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exact"/>
              <w:ind w:left="0" w:leftChars="0" w:right="0" w:rightChars="0" w:firstLine="0" w:firstLineChars="0"/>
              <w:jc w:val="center"/>
              <w:rPr>
                <w:rFonts w:hint="default" w:ascii="新宋体" w:hAnsi="新宋体" w:eastAsia="新宋体" w:cs="新宋体"/>
                <w:sz w:val="21"/>
                <w:szCs w:val="21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lang w:val="en-US" w:eastAsia="zh-CN"/>
              </w:rPr>
              <w:t>39.50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4" w:hRule="atLeast"/>
          <w:jc w:val="center"/>
        </w:trPr>
        <w:tc>
          <w:tcPr>
            <w:tcW w:w="341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公用经费</w:t>
            </w:r>
          </w:p>
        </w:tc>
        <w:tc>
          <w:tcPr>
            <w:tcW w:w="1930" w:type="dxa"/>
            <w:gridSpan w:val="3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exact"/>
              <w:ind w:left="0" w:leftChars="0" w:right="0" w:rightChars="0" w:firstLine="0" w:firstLineChars="0"/>
              <w:jc w:val="center"/>
              <w:rPr>
                <w:rFonts w:hint="default" w:ascii="新宋体" w:hAnsi="新宋体" w:eastAsia="新宋体" w:cs="新宋体"/>
                <w:sz w:val="21"/>
                <w:szCs w:val="21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lang w:val="en-US" w:eastAsia="zh-CN"/>
              </w:rPr>
              <w:t>86.30</w:t>
            </w:r>
          </w:p>
        </w:tc>
        <w:tc>
          <w:tcPr>
            <w:tcW w:w="1971" w:type="dxa"/>
            <w:gridSpan w:val="2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exact"/>
              <w:ind w:left="0" w:leftChars="0" w:right="0" w:rightChars="0" w:firstLine="0" w:firstLineChars="0"/>
              <w:jc w:val="center"/>
              <w:rPr>
                <w:rFonts w:hint="default" w:ascii="新宋体" w:hAnsi="新宋体" w:eastAsia="新宋体" w:cs="新宋体"/>
                <w:sz w:val="21"/>
                <w:szCs w:val="21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lang w:val="en-US" w:eastAsia="zh-CN"/>
              </w:rPr>
              <w:t>48.02</w:t>
            </w:r>
          </w:p>
        </w:tc>
        <w:tc>
          <w:tcPr>
            <w:tcW w:w="1957" w:type="dxa"/>
            <w:gridSpan w:val="2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exact"/>
              <w:ind w:left="0" w:leftChars="0" w:right="0" w:rightChars="0" w:firstLine="0" w:firstLineChars="0"/>
              <w:jc w:val="center"/>
              <w:rPr>
                <w:rFonts w:hint="default" w:ascii="新宋体" w:hAnsi="新宋体" w:eastAsia="新宋体" w:cs="新宋体"/>
                <w:sz w:val="21"/>
                <w:szCs w:val="21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lang w:val="en-US" w:eastAsia="zh-CN"/>
              </w:rPr>
              <w:t>124.2</w:t>
            </w:r>
            <w:bookmarkStart w:id="0" w:name="_GoBack"/>
            <w:bookmarkEnd w:id="0"/>
            <w:r>
              <w:rPr>
                <w:rFonts w:hint="eastAsia" w:ascii="新宋体" w:hAnsi="新宋体" w:eastAsia="新宋体" w:cs="新宋体"/>
                <w:sz w:val="21"/>
                <w:szCs w:val="21"/>
                <w:lang w:val="en-US" w:eastAsia="zh-CN"/>
              </w:rPr>
              <w:t>9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4" w:hRule="atLeast"/>
          <w:jc w:val="center"/>
        </w:trPr>
        <w:tc>
          <w:tcPr>
            <w:tcW w:w="341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firstLine="840" w:firstLineChars="400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其中：办公经费</w:t>
            </w:r>
          </w:p>
        </w:tc>
        <w:tc>
          <w:tcPr>
            <w:tcW w:w="1930" w:type="dxa"/>
            <w:gridSpan w:val="3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exact"/>
              <w:ind w:left="0" w:leftChars="0" w:right="0" w:rightChars="0" w:firstLine="0" w:firstLineChars="0"/>
              <w:jc w:val="center"/>
              <w:rPr>
                <w:rFonts w:hint="default" w:ascii="新宋体" w:hAnsi="新宋体" w:eastAsia="新宋体" w:cs="新宋体"/>
                <w:sz w:val="21"/>
                <w:szCs w:val="21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lang w:val="en-US" w:eastAsia="zh-CN"/>
              </w:rPr>
              <w:t>5.00</w:t>
            </w:r>
          </w:p>
        </w:tc>
        <w:tc>
          <w:tcPr>
            <w:tcW w:w="1971" w:type="dxa"/>
            <w:gridSpan w:val="2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exact"/>
              <w:ind w:left="0" w:leftChars="0" w:right="0" w:rightChars="0" w:firstLine="0" w:firstLineChars="0"/>
              <w:jc w:val="center"/>
              <w:rPr>
                <w:rFonts w:hint="default" w:ascii="新宋体" w:hAnsi="新宋体" w:eastAsia="新宋体" w:cs="新宋体"/>
                <w:sz w:val="21"/>
                <w:szCs w:val="21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lang w:val="en-US" w:eastAsia="zh-CN"/>
              </w:rPr>
              <w:t>0</w:t>
            </w:r>
          </w:p>
        </w:tc>
        <w:tc>
          <w:tcPr>
            <w:tcW w:w="1957" w:type="dxa"/>
            <w:gridSpan w:val="2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exact"/>
              <w:ind w:left="0" w:leftChars="0" w:right="0" w:rightChars="0" w:firstLine="0" w:firstLineChars="0"/>
              <w:jc w:val="center"/>
              <w:rPr>
                <w:rFonts w:hint="default" w:ascii="新宋体" w:hAnsi="新宋体" w:eastAsia="新宋体" w:cs="新宋体"/>
                <w:sz w:val="21"/>
                <w:szCs w:val="21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lang w:val="en-US" w:eastAsia="zh-CN"/>
              </w:rPr>
              <w:t>7.64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4" w:hRule="atLeast"/>
          <w:jc w:val="center"/>
        </w:trPr>
        <w:tc>
          <w:tcPr>
            <w:tcW w:w="341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left="0" w:leftChars="0" w:firstLine="1478" w:firstLineChars="704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水费、电费、差旅费</w:t>
            </w:r>
          </w:p>
        </w:tc>
        <w:tc>
          <w:tcPr>
            <w:tcW w:w="1930" w:type="dxa"/>
            <w:gridSpan w:val="3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exact"/>
              <w:ind w:left="0" w:leftChars="0" w:right="0" w:rightChars="0" w:firstLine="0" w:firstLineChars="0"/>
              <w:jc w:val="center"/>
              <w:rPr>
                <w:rFonts w:hint="default" w:ascii="新宋体" w:hAnsi="新宋体" w:eastAsia="新宋体" w:cs="新宋体"/>
                <w:sz w:val="21"/>
                <w:szCs w:val="21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lang w:val="en-US" w:eastAsia="zh-CN"/>
              </w:rPr>
              <w:t>0</w:t>
            </w:r>
          </w:p>
        </w:tc>
        <w:tc>
          <w:tcPr>
            <w:tcW w:w="1971" w:type="dxa"/>
            <w:gridSpan w:val="2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exact"/>
              <w:ind w:left="0" w:leftChars="0" w:right="0" w:rightChars="0" w:firstLine="0" w:firstLineChars="0"/>
              <w:jc w:val="center"/>
              <w:rPr>
                <w:rFonts w:hint="eastAsia" w:ascii="新宋体" w:hAnsi="新宋体" w:eastAsia="新宋体" w:cs="新宋体"/>
                <w:sz w:val="21"/>
                <w:szCs w:val="21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lang w:val="en-US" w:eastAsia="zh-CN"/>
              </w:rPr>
              <w:t>0</w:t>
            </w:r>
          </w:p>
        </w:tc>
        <w:tc>
          <w:tcPr>
            <w:tcW w:w="1957" w:type="dxa"/>
            <w:gridSpan w:val="2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exact"/>
              <w:ind w:left="0" w:leftChars="0" w:right="0" w:rightChars="0" w:firstLine="0" w:firstLineChars="0"/>
              <w:jc w:val="center"/>
              <w:rPr>
                <w:rFonts w:hint="default" w:ascii="新宋体" w:hAnsi="新宋体" w:eastAsia="新宋体" w:cs="新宋体"/>
                <w:sz w:val="21"/>
                <w:szCs w:val="21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lang w:val="en-US" w:eastAsia="zh-CN"/>
              </w:rPr>
              <w:t>16.37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4" w:hRule="atLeast"/>
          <w:jc w:val="center"/>
        </w:trPr>
        <w:tc>
          <w:tcPr>
            <w:tcW w:w="341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left="0" w:leftChars="0" w:firstLine="1478" w:firstLineChars="704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会议费、培训费</w:t>
            </w:r>
          </w:p>
        </w:tc>
        <w:tc>
          <w:tcPr>
            <w:tcW w:w="1930" w:type="dxa"/>
            <w:gridSpan w:val="3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exact"/>
              <w:ind w:left="0" w:leftChars="0" w:right="0" w:rightChars="0" w:firstLine="0" w:firstLineChars="0"/>
              <w:jc w:val="center"/>
              <w:rPr>
                <w:rFonts w:hint="default" w:ascii="新宋体" w:hAnsi="新宋体" w:eastAsia="新宋体" w:cs="新宋体"/>
                <w:sz w:val="21"/>
                <w:szCs w:val="21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lang w:val="en-US" w:eastAsia="zh-CN"/>
              </w:rPr>
              <w:t>8.78</w:t>
            </w:r>
          </w:p>
        </w:tc>
        <w:tc>
          <w:tcPr>
            <w:tcW w:w="1971" w:type="dxa"/>
            <w:gridSpan w:val="2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exact"/>
              <w:ind w:left="0" w:leftChars="0" w:right="0" w:rightChars="0" w:firstLine="0" w:firstLineChars="0"/>
              <w:jc w:val="center"/>
              <w:rPr>
                <w:rFonts w:hint="default" w:ascii="新宋体" w:hAnsi="新宋体" w:eastAsia="新宋体" w:cs="新宋体"/>
                <w:sz w:val="21"/>
                <w:szCs w:val="21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lang w:val="en-US" w:eastAsia="zh-CN"/>
              </w:rPr>
              <w:t>10.10</w:t>
            </w:r>
          </w:p>
        </w:tc>
        <w:tc>
          <w:tcPr>
            <w:tcW w:w="1957" w:type="dxa"/>
            <w:gridSpan w:val="2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exact"/>
              <w:ind w:left="0" w:leftChars="0" w:right="0" w:rightChars="0" w:firstLine="0" w:firstLineChars="0"/>
              <w:jc w:val="center"/>
              <w:rPr>
                <w:rFonts w:hint="default" w:ascii="新宋体" w:hAnsi="新宋体" w:eastAsia="新宋体" w:cs="新宋体"/>
                <w:sz w:val="21"/>
                <w:szCs w:val="21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lang w:val="en-US" w:eastAsia="zh-CN"/>
              </w:rPr>
              <w:t>0.83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4" w:hRule="atLeast"/>
          <w:jc w:val="center"/>
        </w:trPr>
        <w:tc>
          <w:tcPr>
            <w:tcW w:w="341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政府采购金额</w:t>
            </w:r>
          </w:p>
        </w:tc>
        <w:tc>
          <w:tcPr>
            <w:tcW w:w="1930" w:type="dxa"/>
            <w:gridSpan w:val="3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exact"/>
              <w:ind w:left="0" w:leftChars="0" w:right="0" w:rightChars="0" w:firstLine="0" w:firstLineChars="0"/>
              <w:jc w:val="center"/>
              <w:rPr>
                <w:rFonts w:hint="eastAsia" w:ascii="新宋体" w:hAnsi="新宋体" w:eastAsia="新宋体" w:cs="新宋体"/>
                <w:sz w:val="21"/>
                <w:szCs w:val="21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</w:rPr>
              <w:t>——</w:t>
            </w:r>
          </w:p>
        </w:tc>
        <w:tc>
          <w:tcPr>
            <w:tcW w:w="1971" w:type="dxa"/>
            <w:gridSpan w:val="2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exact"/>
              <w:ind w:left="0" w:leftChars="0" w:right="0" w:rightChars="0" w:firstLine="0" w:firstLineChars="0"/>
              <w:jc w:val="center"/>
              <w:rPr>
                <w:rFonts w:hint="default" w:ascii="新宋体" w:hAnsi="新宋体" w:eastAsia="新宋体" w:cs="新宋体"/>
                <w:sz w:val="21"/>
                <w:szCs w:val="21"/>
                <w:lang w:val="en-US" w:eastAsia="zh-CN"/>
              </w:rPr>
            </w:pPr>
          </w:p>
        </w:tc>
        <w:tc>
          <w:tcPr>
            <w:tcW w:w="1957" w:type="dxa"/>
            <w:gridSpan w:val="2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exact"/>
              <w:ind w:left="0" w:leftChars="0" w:right="0" w:rightChars="0" w:firstLine="0" w:firstLineChars="0"/>
              <w:jc w:val="center"/>
              <w:rPr>
                <w:rFonts w:hint="default" w:ascii="新宋体" w:hAnsi="新宋体" w:eastAsia="新宋体" w:cs="新宋体"/>
                <w:sz w:val="21"/>
                <w:szCs w:val="21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lang w:val="en-US" w:eastAsia="zh-CN"/>
              </w:rPr>
              <w:t>375.66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4" w:hRule="atLeast"/>
          <w:jc w:val="center"/>
        </w:trPr>
        <w:tc>
          <w:tcPr>
            <w:tcW w:w="341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部门基本支出预算调整</w:t>
            </w:r>
          </w:p>
        </w:tc>
        <w:tc>
          <w:tcPr>
            <w:tcW w:w="1930" w:type="dxa"/>
            <w:gridSpan w:val="3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exact"/>
              <w:ind w:left="0" w:leftChars="0" w:right="0" w:rightChars="0" w:firstLine="0" w:firstLineChars="0"/>
              <w:jc w:val="center"/>
              <w:rPr>
                <w:rFonts w:hint="eastAsia" w:ascii="新宋体" w:hAnsi="新宋体" w:eastAsia="新宋体" w:cs="新宋体"/>
                <w:sz w:val="21"/>
                <w:szCs w:val="21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</w:rPr>
              <w:t>——</w:t>
            </w:r>
          </w:p>
        </w:tc>
        <w:tc>
          <w:tcPr>
            <w:tcW w:w="1971" w:type="dxa"/>
            <w:gridSpan w:val="2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exact"/>
              <w:ind w:left="0" w:leftChars="0" w:right="0" w:rightChars="0" w:firstLine="0" w:firstLineChars="0"/>
              <w:jc w:val="center"/>
              <w:rPr>
                <w:rFonts w:hint="default" w:ascii="新宋体" w:hAnsi="新宋体" w:eastAsia="新宋体" w:cs="新宋体"/>
                <w:sz w:val="21"/>
                <w:szCs w:val="21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lang w:val="en-US" w:eastAsia="zh-CN"/>
              </w:rPr>
              <w:t>721.59</w:t>
            </w:r>
          </w:p>
        </w:tc>
        <w:tc>
          <w:tcPr>
            <w:tcW w:w="1957" w:type="dxa"/>
            <w:gridSpan w:val="2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exact"/>
              <w:ind w:left="0" w:leftChars="0" w:right="0" w:rightChars="0" w:firstLine="0" w:firstLineChars="0"/>
              <w:jc w:val="center"/>
              <w:rPr>
                <w:rFonts w:hint="default" w:ascii="新宋体" w:hAnsi="新宋体" w:eastAsia="新宋体" w:cs="新宋体"/>
                <w:sz w:val="21"/>
                <w:szCs w:val="21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lang w:val="en-US" w:eastAsia="zh-CN"/>
              </w:rPr>
              <w:t>1218.98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08" w:hRule="atLeast"/>
          <w:jc w:val="center"/>
        </w:trPr>
        <w:tc>
          <w:tcPr>
            <w:tcW w:w="3419" w:type="dxa"/>
            <w:vMerge w:val="restart"/>
            <w:tcBorders>
              <w:bottom w:val="nil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楼堂馆所控制情况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（2023年完工项目）</w:t>
            </w:r>
          </w:p>
        </w:tc>
        <w:tc>
          <w:tcPr>
            <w:tcW w:w="964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批复规模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（㎡）</w:t>
            </w:r>
          </w:p>
        </w:tc>
        <w:tc>
          <w:tcPr>
            <w:tcW w:w="965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实际规模（㎡）</w:t>
            </w:r>
          </w:p>
        </w:tc>
        <w:tc>
          <w:tcPr>
            <w:tcW w:w="986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规模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控制率</w:t>
            </w:r>
          </w:p>
        </w:tc>
        <w:tc>
          <w:tcPr>
            <w:tcW w:w="986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预算投资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（万元）</w:t>
            </w:r>
          </w:p>
        </w:tc>
        <w:tc>
          <w:tcPr>
            <w:tcW w:w="978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实际投资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（万元）</w:t>
            </w:r>
          </w:p>
        </w:tc>
        <w:tc>
          <w:tcPr>
            <w:tcW w:w="97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投资概算控制率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4" w:hRule="atLeast"/>
          <w:jc w:val="center"/>
        </w:trPr>
        <w:tc>
          <w:tcPr>
            <w:tcW w:w="3419" w:type="dxa"/>
            <w:vMerge w:val="continue"/>
            <w:tcBorders>
              <w:top w:val="nil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964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965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986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986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978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97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70" w:hRule="atLeast"/>
          <w:jc w:val="center"/>
        </w:trPr>
        <w:tc>
          <w:tcPr>
            <w:tcW w:w="341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厉行节约保障措施</w:t>
            </w:r>
          </w:p>
        </w:tc>
        <w:tc>
          <w:tcPr>
            <w:tcW w:w="5858" w:type="dxa"/>
            <w:gridSpan w:val="7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lang w:val="en-US" w:eastAsia="zh-CN"/>
              </w:rPr>
              <w:t>减少不必要的开支</w:t>
            </w:r>
          </w:p>
        </w:tc>
      </w:tr>
    </w:tbl>
    <w:p>
      <w:pPr>
        <w:rPr>
          <w:rFonts w:hint="eastAsia"/>
          <w:lang w:eastAsia="zh-CN"/>
        </w:rPr>
      </w:pPr>
      <w:r>
        <w:rPr>
          <w:rFonts w:hint="eastAsia"/>
        </w:rPr>
        <w:t>说明：“项目支出” 需要填报基本支出以外的所有项目支出情况，“公用经费”填报基本支出</w:t>
      </w:r>
      <w:r>
        <w:rPr>
          <w:rFonts w:hint="eastAsia"/>
          <w:lang w:eastAsia="zh-CN"/>
        </w:rPr>
        <w:t>中的一般商品和服务支出。</w:t>
      </w:r>
    </w:p>
    <w:p>
      <w:pPr>
        <w:pStyle w:val="12"/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r>
        <w:rPr>
          <w:rFonts w:hint="eastAsia"/>
        </w:rPr>
        <w:t>填表人：        填报日期：       联系电话：          单位负责人签字：</w:t>
      </w:r>
    </w:p>
    <w:p>
      <w:pPr>
        <w:rPr>
          <w:spacing w:val="-13"/>
          <w:sz w:val="22"/>
          <w:szCs w:val="22"/>
        </w:rPr>
      </w:pPr>
      <w:r>
        <w:rPr>
          <w:spacing w:val="-13"/>
          <w:sz w:val="22"/>
          <w:szCs w:val="22"/>
        </w:rPr>
        <w:br w:type="page"/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80" w:lineRule="exact"/>
        <w:jc w:val="left"/>
        <w:textAlignment w:val="auto"/>
        <w:rPr>
          <w:rFonts w:hint="default" w:ascii="仿宋_GB2312" w:hAnsi="仿宋_GB2312" w:eastAsia="仿宋_GB2312" w:cs="仿宋_GB2312"/>
          <w:spacing w:val="-4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pacing w:val="-4"/>
          <w:sz w:val="32"/>
          <w:szCs w:val="32"/>
        </w:rPr>
        <w:t>附件</w:t>
      </w:r>
      <w:r>
        <w:rPr>
          <w:rFonts w:hint="eastAsia" w:ascii="仿宋_GB2312" w:hAnsi="仿宋_GB2312" w:eastAsia="仿宋_GB2312" w:cs="仿宋_GB2312"/>
          <w:spacing w:val="-4"/>
          <w:sz w:val="32"/>
          <w:szCs w:val="32"/>
          <w:lang w:val="en-US" w:eastAsia="zh-CN"/>
        </w:rPr>
        <w:t>3</w:t>
      </w:r>
    </w:p>
    <w:p>
      <w:pPr>
        <w:spacing w:line="251" w:lineRule="auto"/>
        <w:rPr>
          <w:rFonts w:ascii="Arial"/>
          <w:sz w:val="21"/>
        </w:rPr>
      </w:pPr>
    </w:p>
    <w:p>
      <w:pPr>
        <w:spacing w:line="251" w:lineRule="auto"/>
        <w:rPr>
          <w:rFonts w:ascii="Arial"/>
          <w:sz w:val="21"/>
        </w:rPr>
      </w:pPr>
    </w:p>
    <w:p>
      <w:pPr>
        <w:rPr>
          <w:rFonts w:ascii="Arial"/>
          <w:sz w:val="21"/>
        </w:rPr>
      </w:pPr>
    </w:p>
    <w:p>
      <w:pPr>
        <w:pStyle w:val="12"/>
      </w:pPr>
    </w:p>
    <w:p/>
    <w:p>
      <w:pPr>
        <w:jc w:val="center"/>
        <w:rPr>
          <w:rFonts w:hint="eastAsia" w:asciiTheme="majorEastAsia" w:hAnsiTheme="majorEastAsia" w:eastAsiaTheme="majorEastAsia" w:cstheme="majorEastAsia"/>
          <w:b w:val="0"/>
          <w:bCs w:val="0"/>
          <w:sz w:val="44"/>
          <w:szCs w:val="44"/>
        </w:rPr>
      </w:pPr>
      <w:r>
        <w:rPr>
          <w:rFonts w:hint="eastAsia" w:asciiTheme="majorEastAsia" w:hAnsiTheme="majorEastAsia" w:eastAsiaTheme="majorEastAsia" w:cstheme="majorEastAsia"/>
          <w:b w:val="0"/>
          <w:bCs w:val="0"/>
          <w:sz w:val="44"/>
          <w:szCs w:val="44"/>
        </w:rPr>
        <w:t>2023年度</w:t>
      </w:r>
      <w:r>
        <w:rPr>
          <w:rFonts w:hint="eastAsia" w:asciiTheme="majorEastAsia" w:hAnsiTheme="majorEastAsia" w:eastAsiaTheme="majorEastAsia" w:cstheme="majorEastAsia"/>
          <w:b w:val="0"/>
          <w:bCs w:val="0"/>
          <w:sz w:val="44"/>
          <w:szCs w:val="44"/>
          <w:lang w:eastAsia="zh-CN"/>
        </w:rPr>
        <w:t>华容县插旗镇人民政府</w:t>
      </w:r>
      <w:r>
        <w:rPr>
          <w:rFonts w:hint="eastAsia" w:asciiTheme="majorEastAsia" w:hAnsiTheme="majorEastAsia" w:eastAsiaTheme="majorEastAsia" w:cstheme="majorEastAsia"/>
          <w:b w:val="0"/>
          <w:bCs w:val="0"/>
          <w:sz w:val="44"/>
          <w:szCs w:val="44"/>
        </w:rPr>
        <w:t>整体支出</w:t>
      </w:r>
    </w:p>
    <w:p>
      <w:pPr>
        <w:jc w:val="center"/>
        <w:rPr>
          <w:rFonts w:hint="eastAsia" w:asciiTheme="majorEastAsia" w:hAnsiTheme="majorEastAsia" w:eastAsiaTheme="majorEastAsia" w:cstheme="majorEastAsia"/>
          <w:b w:val="0"/>
          <w:bCs w:val="0"/>
          <w:sz w:val="44"/>
          <w:szCs w:val="44"/>
        </w:rPr>
      </w:pPr>
      <w:r>
        <w:rPr>
          <w:rFonts w:hint="eastAsia" w:asciiTheme="majorEastAsia" w:hAnsiTheme="majorEastAsia" w:eastAsiaTheme="majorEastAsia" w:cstheme="majorEastAsia"/>
          <w:b w:val="0"/>
          <w:bCs w:val="0"/>
          <w:sz w:val="44"/>
          <w:szCs w:val="44"/>
        </w:rPr>
        <w:t>绩效自评报告</w:t>
      </w:r>
    </w:p>
    <w:p>
      <w:pPr>
        <w:jc w:val="center"/>
        <w:rPr>
          <w:rFonts w:hint="eastAsia" w:ascii="方正小标宋简体" w:hAnsi="方正小标宋简体" w:eastAsia="方正小标宋简体" w:cs="方正小标宋简体"/>
          <w:sz w:val="44"/>
          <w:szCs w:val="44"/>
        </w:rPr>
      </w:pPr>
    </w:p>
    <w:p>
      <w:pPr>
        <w:spacing w:line="243" w:lineRule="auto"/>
        <w:rPr>
          <w:rFonts w:ascii="Arial"/>
          <w:sz w:val="21"/>
        </w:rPr>
      </w:pPr>
    </w:p>
    <w:p>
      <w:pPr>
        <w:spacing w:line="243" w:lineRule="auto"/>
        <w:rPr>
          <w:rFonts w:ascii="Arial"/>
          <w:sz w:val="21"/>
        </w:rPr>
      </w:pPr>
    </w:p>
    <w:p>
      <w:pPr>
        <w:spacing w:line="243" w:lineRule="auto"/>
        <w:rPr>
          <w:rFonts w:ascii="Arial"/>
          <w:sz w:val="21"/>
        </w:rPr>
      </w:pPr>
    </w:p>
    <w:p>
      <w:pPr>
        <w:spacing w:line="243" w:lineRule="auto"/>
        <w:rPr>
          <w:rFonts w:ascii="Arial"/>
          <w:sz w:val="21"/>
        </w:rPr>
      </w:pPr>
    </w:p>
    <w:p>
      <w:pPr>
        <w:spacing w:line="243" w:lineRule="auto"/>
        <w:rPr>
          <w:rFonts w:ascii="Arial"/>
          <w:sz w:val="21"/>
        </w:rPr>
      </w:pPr>
    </w:p>
    <w:p>
      <w:pPr>
        <w:pStyle w:val="12"/>
        <w:rPr>
          <w:rFonts w:ascii="Arial"/>
          <w:sz w:val="21"/>
        </w:rPr>
      </w:pPr>
    </w:p>
    <w:p>
      <w:pPr>
        <w:spacing w:line="243" w:lineRule="auto"/>
        <w:rPr>
          <w:rFonts w:ascii="Arial"/>
          <w:sz w:val="21"/>
        </w:rPr>
      </w:pPr>
    </w:p>
    <w:p>
      <w:pPr>
        <w:spacing w:line="243" w:lineRule="auto"/>
        <w:rPr>
          <w:rFonts w:ascii="Arial"/>
          <w:sz w:val="21"/>
        </w:rPr>
      </w:pPr>
    </w:p>
    <w:p>
      <w:pPr>
        <w:spacing w:line="243" w:lineRule="auto"/>
        <w:rPr>
          <w:rFonts w:ascii="Arial"/>
          <w:sz w:val="21"/>
        </w:rPr>
      </w:pPr>
    </w:p>
    <w:p>
      <w:pPr>
        <w:spacing w:line="243" w:lineRule="auto"/>
        <w:rPr>
          <w:rFonts w:ascii="Arial"/>
          <w:sz w:val="21"/>
        </w:rPr>
      </w:pPr>
    </w:p>
    <w:p>
      <w:pPr>
        <w:spacing w:line="243" w:lineRule="auto"/>
        <w:rPr>
          <w:rFonts w:ascii="Arial"/>
          <w:sz w:val="21"/>
        </w:rPr>
      </w:pPr>
    </w:p>
    <w:p>
      <w:pPr>
        <w:spacing w:line="243" w:lineRule="auto"/>
        <w:rPr>
          <w:rFonts w:ascii="Arial"/>
          <w:sz w:val="21"/>
        </w:rPr>
      </w:pPr>
    </w:p>
    <w:p>
      <w:pPr>
        <w:spacing w:line="244" w:lineRule="auto"/>
        <w:rPr>
          <w:rFonts w:ascii="Arial"/>
          <w:sz w:val="21"/>
        </w:rPr>
      </w:pPr>
    </w:p>
    <w:p>
      <w:pPr>
        <w:spacing w:line="244" w:lineRule="auto"/>
        <w:rPr>
          <w:rFonts w:ascii="Arial"/>
          <w:sz w:val="21"/>
        </w:rPr>
      </w:pPr>
    </w:p>
    <w:p>
      <w:pPr>
        <w:pStyle w:val="5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100" w:line="221" w:lineRule="auto"/>
        <w:ind w:firstLine="600" w:firstLineChars="200"/>
        <w:textAlignment w:val="auto"/>
        <w:rPr>
          <w:rFonts w:hint="eastAsia"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pacing w:val="-10"/>
          <w:sz w:val="32"/>
          <w:szCs w:val="32"/>
        </w:rPr>
        <w:t>部门（单位）名称</w:t>
      </w:r>
      <w:r>
        <w:rPr>
          <w:rFonts w:hint="eastAsia" w:ascii="仿宋_GB2312" w:hAnsi="仿宋_GB2312" w:eastAsia="仿宋_GB2312" w:cs="仿宋_GB2312"/>
          <w:spacing w:val="4"/>
          <w:sz w:val="32"/>
          <w:szCs w:val="32"/>
        </w:rPr>
        <w:t>：</w:t>
      </w:r>
      <w:r>
        <w:rPr>
          <w:rFonts w:hint="eastAsia" w:ascii="仿宋_GB2312" w:hAnsi="仿宋_GB2312" w:eastAsia="仿宋_GB2312" w:cs="仿宋_GB2312"/>
          <w:spacing w:val="4"/>
          <w:sz w:val="32"/>
          <w:szCs w:val="32"/>
          <w:u w:val="single" w:color="auto"/>
          <w:lang w:val="en-US" w:eastAsia="zh-CN"/>
        </w:rPr>
        <w:t>(</w:t>
      </w:r>
      <w:r>
        <w:rPr>
          <w:rFonts w:hint="eastAsia" w:ascii="仿宋_GB2312" w:hAnsi="仿宋_GB2312" w:eastAsia="仿宋_GB2312" w:cs="仿宋_GB2312"/>
          <w:spacing w:val="-118"/>
          <w:sz w:val="32"/>
          <w:szCs w:val="32"/>
          <w:u w:val="single" w:color="auto"/>
        </w:rPr>
        <w:t xml:space="preserve"> </w:t>
      </w:r>
      <w:r>
        <w:rPr>
          <w:rFonts w:hint="eastAsia" w:ascii="仿宋_GB2312" w:hAnsi="仿宋_GB2312" w:eastAsia="仿宋_GB2312" w:cs="仿宋_GB2312"/>
          <w:spacing w:val="-75"/>
          <w:sz w:val="32"/>
          <w:szCs w:val="32"/>
          <w:u w:val="single" w:color="auto"/>
        </w:rPr>
        <w:t xml:space="preserve"> </w:t>
      </w:r>
      <w:r>
        <w:rPr>
          <w:rFonts w:hint="eastAsia" w:ascii="仿宋_GB2312" w:hAnsi="仿宋_GB2312" w:eastAsia="仿宋_GB2312" w:cs="仿宋_GB2312"/>
          <w:spacing w:val="-10"/>
          <w:sz w:val="32"/>
          <w:szCs w:val="32"/>
          <w:u w:val="single" w:color="auto"/>
        </w:rPr>
        <w:t>盖章）</w:t>
      </w:r>
      <w:r>
        <w:rPr>
          <w:rFonts w:hint="eastAsia" w:ascii="仿宋_GB2312" w:hAnsi="仿宋_GB2312" w:eastAsia="仿宋_GB2312" w:cs="仿宋_GB2312"/>
          <w:sz w:val="32"/>
          <w:szCs w:val="32"/>
          <w:u w:val="single" w:color="auto"/>
        </w:rPr>
        <w:t xml:space="preserve">       </w:t>
      </w:r>
      <w:r>
        <w:rPr>
          <w:rFonts w:hint="eastAsia" w:ascii="仿宋_GB2312" w:hAnsi="仿宋_GB2312" w:eastAsia="仿宋_GB2312" w:cs="仿宋_GB2312"/>
          <w:sz w:val="32"/>
          <w:szCs w:val="32"/>
          <w:u w:val="single" w:color="auto"/>
          <w:lang w:val="en-US" w:eastAsia="zh-CN"/>
        </w:rPr>
        <w:t xml:space="preserve">     </w:t>
      </w:r>
      <w:r>
        <w:rPr>
          <w:rFonts w:hint="eastAsia" w:ascii="仿宋_GB2312" w:hAnsi="仿宋_GB2312" w:eastAsia="仿宋_GB2312" w:cs="仿宋_GB2312"/>
          <w:sz w:val="32"/>
          <w:szCs w:val="32"/>
          <w:u w:val="single" w:color="auto"/>
        </w:rPr>
        <w:t xml:space="preserve">  </w:t>
      </w:r>
    </w:p>
    <w:p>
      <w:pPr>
        <w:spacing w:before="228" w:line="222" w:lineRule="auto"/>
        <w:ind w:firstLine="2432" w:firstLineChars="800"/>
        <w:jc w:val="both"/>
        <w:rPr>
          <w:rFonts w:hint="eastAsia" w:asciiTheme="majorEastAsia" w:hAnsiTheme="majorEastAsia" w:eastAsiaTheme="majorEastAsia" w:cstheme="majorEastAsia"/>
          <w:sz w:val="32"/>
          <w:szCs w:val="32"/>
        </w:rPr>
      </w:pPr>
      <w:r>
        <w:rPr>
          <w:rFonts w:hint="eastAsia" w:asciiTheme="majorEastAsia" w:hAnsiTheme="majorEastAsia" w:eastAsiaTheme="majorEastAsia" w:cstheme="majorEastAsia"/>
          <w:spacing w:val="-8"/>
          <w:sz w:val="32"/>
          <w:szCs w:val="32"/>
          <w:lang w:val="en-US" w:eastAsia="zh-CN"/>
        </w:rPr>
        <w:t>2024</w:t>
      </w:r>
      <w:r>
        <w:rPr>
          <w:rFonts w:hint="eastAsia" w:asciiTheme="majorEastAsia" w:hAnsiTheme="majorEastAsia" w:eastAsiaTheme="majorEastAsia" w:cstheme="majorEastAsia"/>
          <w:spacing w:val="-8"/>
          <w:sz w:val="32"/>
          <w:szCs w:val="32"/>
        </w:rPr>
        <w:t>年</w:t>
      </w:r>
      <w:r>
        <w:rPr>
          <w:rFonts w:hint="eastAsia" w:asciiTheme="majorEastAsia" w:hAnsiTheme="majorEastAsia" w:eastAsiaTheme="majorEastAsia" w:cstheme="majorEastAsia"/>
          <w:spacing w:val="21"/>
          <w:sz w:val="32"/>
          <w:szCs w:val="32"/>
        </w:rPr>
        <w:t xml:space="preserve">  </w:t>
      </w:r>
      <w:r>
        <w:rPr>
          <w:rFonts w:hint="eastAsia" w:asciiTheme="majorEastAsia" w:hAnsiTheme="majorEastAsia" w:eastAsiaTheme="majorEastAsia" w:cstheme="majorEastAsia"/>
          <w:spacing w:val="21"/>
          <w:sz w:val="32"/>
          <w:szCs w:val="32"/>
          <w:lang w:val="en-US" w:eastAsia="zh-CN"/>
        </w:rPr>
        <w:t>5</w:t>
      </w:r>
      <w:r>
        <w:rPr>
          <w:rFonts w:hint="eastAsia" w:asciiTheme="majorEastAsia" w:hAnsiTheme="majorEastAsia" w:eastAsiaTheme="majorEastAsia" w:cstheme="majorEastAsia"/>
          <w:spacing w:val="-8"/>
          <w:sz w:val="32"/>
          <w:szCs w:val="32"/>
        </w:rPr>
        <w:t>月</w:t>
      </w:r>
      <w:r>
        <w:rPr>
          <w:rFonts w:hint="eastAsia" w:asciiTheme="majorEastAsia" w:hAnsiTheme="majorEastAsia" w:eastAsiaTheme="majorEastAsia" w:cstheme="majorEastAsia"/>
          <w:spacing w:val="43"/>
          <w:sz w:val="32"/>
          <w:szCs w:val="32"/>
        </w:rPr>
        <w:t xml:space="preserve"> </w:t>
      </w:r>
      <w:r>
        <w:rPr>
          <w:rFonts w:hint="eastAsia" w:asciiTheme="majorEastAsia" w:hAnsiTheme="majorEastAsia" w:eastAsiaTheme="majorEastAsia" w:cstheme="majorEastAsia"/>
          <w:spacing w:val="43"/>
          <w:sz w:val="32"/>
          <w:szCs w:val="32"/>
          <w:lang w:val="en-US" w:eastAsia="zh-CN"/>
        </w:rPr>
        <w:t>24</w:t>
      </w:r>
      <w:r>
        <w:rPr>
          <w:rFonts w:hint="eastAsia" w:asciiTheme="majorEastAsia" w:hAnsiTheme="majorEastAsia" w:eastAsiaTheme="majorEastAsia" w:cstheme="majorEastAsia"/>
          <w:spacing w:val="43"/>
          <w:sz w:val="32"/>
          <w:szCs w:val="32"/>
        </w:rPr>
        <w:t xml:space="preserve"> </w:t>
      </w:r>
      <w:r>
        <w:rPr>
          <w:rFonts w:hint="eastAsia" w:asciiTheme="majorEastAsia" w:hAnsiTheme="majorEastAsia" w:eastAsiaTheme="majorEastAsia" w:cstheme="majorEastAsia"/>
          <w:spacing w:val="-8"/>
          <w:sz w:val="32"/>
          <w:szCs w:val="32"/>
        </w:rPr>
        <w:t>日</w:t>
      </w:r>
    </w:p>
    <w:p>
      <w:pPr>
        <w:spacing w:line="335" w:lineRule="auto"/>
        <w:rPr>
          <w:rFonts w:hint="eastAsia" w:asciiTheme="majorEastAsia" w:hAnsiTheme="majorEastAsia" w:eastAsiaTheme="majorEastAsia" w:cstheme="majorEastAsia"/>
          <w:sz w:val="32"/>
          <w:szCs w:val="32"/>
        </w:rPr>
      </w:pPr>
    </w:p>
    <w:p>
      <w:r>
        <w:br w:type="page"/>
      </w:r>
    </w:p>
    <w:p>
      <w:pPr>
        <w:pStyle w:val="12"/>
        <w:sectPr>
          <w:footerReference r:id="rId3" w:type="default"/>
          <w:pgSz w:w="11905" w:h="16838"/>
          <w:pgMar w:top="1984" w:right="1701" w:bottom="1984" w:left="1701" w:header="850" w:footer="1587" w:gutter="0"/>
          <w:pgNumType w:fmt="numberInDash" w:start="7"/>
          <w:cols w:space="0" w:num="1"/>
          <w:rtlGutter w:val="0"/>
          <w:docGrid w:type="lines" w:linePitch="314" w:charSpace="0"/>
        </w:sect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80" w:lineRule="exact"/>
        <w:ind w:left="0" w:firstLine="0" w:firstLineChars="0"/>
        <w:jc w:val="center"/>
        <w:textAlignment w:val="auto"/>
        <w:rPr>
          <w:rFonts w:hint="eastAsia" w:ascii="方正小标宋简体" w:hAnsi="方正小标宋简体" w:eastAsia="方正小标宋简体" w:cs="方正小标宋简体"/>
          <w:spacing w:val="6"/>
          <w:sz w:val="44"/>
          <w:szCs w:val="44"/>
        </w:rPr>
      </w:pPr>
    </w:p>
    <w:p>
      <w:pPr>
        <w:pStyle w:val="12"/>
        <w:rPr>
          <w:rFonts w:hint="eastAsia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610" w:lineRule="exact"/>
        <w:jc w:val="center"/>
        <w:textAlignment w:val="auto"/>
        <w:rPr>
          <w:rFonts w:hint="eastAsia" w:ascii="宋体" w:hAnsi="宋体" w:eastAsia="宋体" w:cs="宋体"/>
          <w:sz w:val="44"/>
          <w:szCs w:val="44"/>
        </w:rPr>
      </w:pPr>
      <w:r>
        <w:rPr>
          <w:rFonts w:hint="eastAsia" w:ascii="宋体" w:hAnsi="宋体" w:eastAsia="宋体" w:cs="宋体"/>
          <w:sz w:val="44"/>
          <w:szCs w:val="44"/>
        </w:rPr>
        <w:t>202</w:t>
      </w:r>
      <w:r>
        <w:rPr>
          <w:rFonts w:hint="eastAsia" w:ascii="宋体" w:hAnsi="宋体" w:eastAsia="宋体" w:cs="宋体"/>
          <w:sz w:val="44"/>
          <w:szCs w:val="44"/>
          <w:lang w:val="en-US" w:eastAsia="zh-CN"/>
        </w:rPr>
        <w:t>3</w:t>
      </w:r>
      <w:r>
        <w:rPr>
          <w:rFonts w:hint="eastAsia" w:ascii="宋体" w:hAnsi="宋体" w:eastAsia="宋体" w:cs="宋体"/>
          <w:sz w:val="44"/>
          <w:szCs w:val="44"/>
        </w:rPr>
        <w:t>年度</w:t>
      </w:r>
      <w:r>
        <w:rPr>
          <w:rFonts w:hint="eastAsia" w:ascii="宋体" w:hAnsi="宋体" w:eastAsia="宋体" w:cs="宋体"/>
          <w:sz w:val="44"/>
          <w:szCs w:val="44"/>
          <w:lang w:eastAsia="zh-CN"/>
        </w:rPr>
        <w:t>华容县</w:t>
      </w:r>
      <w:r>
        <w:rPr>
          <w:rFonts w:hint="eastAsia" w:ascii="宋体" w:hAnsi="宋体" w:cs="宋体"/>
          <w:sz w:val="44"/>
          <w:szCs w:val="44"/>
          <w:lang w:eastAsia="zh-CN"/>
        </w:rPr>
        <w:t>插旗</w:t>
      </w:r>
      <w:r>
        <w:rPr>
          <w:rFonts w:hint="eastAsia" w:ascii="宋体" w:hAnsi="宋体" w:eastAsia="宋体" w:cs="宋体"/>
          <w:sz w:val="44"/>
          <w:szCs w:val="44"/>
          <w:lang w:eastAsia="zh-CN"/>
        </w:rPr>
        <w:t>镇人民政府</w:t>
      </w:r>
      <w:r>
        <w:rPr>
          <w:rFonts w:hint="eastAsia" w:ascii="宋体" w:hAnsi="宋体" w:eastAsia="宋体" w:cs="宋体"/>
          <w:sz w:val="44"/>
          <w:szCs w:val="44"/>
        </w:rPr>
        <w:t>整体支出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610" w:lineRule="exact"/>
        <w:jc w:val="center"/>
        <w:textAlignment w:val="auto"/>
        <w:rPr>
          <w:rFonts w:hint="eastAsia" w:ascii="宋体" w:hAnsi="宋体" w:eastAsia="宋体" w:cs="宋体"/>
          <w:sz w:val="44"/>
          <w:szCs w:val="44"/>
        </w:rPr>
      </w:pPr>
      <w:r>
        <w:rPr>
          <w:rFonts w:hint="eastAsia" w:ascii="宋体" w:hAnsi="宋体" w:eastAsia="宋体" w:cs="宋体"/>
          <w:sz w:val="44"/>
          <w:szCs w:val="44"/>
        </w:rPr>
        <w:t>绩效自评报告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line="600" w:lineRule="exact"/>
        <w:ind w:firstLine="640" w:firstLineChars="200"/>
        <w:textAlignment w:val="auto"/>
        <w:rPr>
          <w:rFonts w:hint="eastAsia" w:ascii="宋体" w:hAnsi="宋体" w:eastAsia="宋体" w:cs="宋体"/>
          <w:sz w:val="32"/>
          <w:lang w:val="en-US" w:eastAsia="zh-CN"/>
        </w:rPr>
      </w:pPr>
      <w:r>
        <w:rPr>
          <w:rFonts w:hint="eastAsia" w:ascii="宋体" w:hAnsi="宋体" w:eastAsia="宋体" w:cs="宋体"/>
          <w:sz w:val="32"/>
          <w:lang w:val="en-US" w:eastAsia="zh-CN"/>
        </w:rPr>
        <w:t>根据《华容县财政局关于开展2023年度部门整体支出绩效自评工作的通知》（华财函〔2024〕103号）的相关规定和要求，现对我部门2023年度整体支出开展绩效自评，现将情况汇报如下：</w:t>
      </w:r>
    </w:p>
    <w:p>
      <w:pPr>
        <w:pStyle w:val="12"/>
        <w:rPr>
          <w:rFonts w:hint="eastAsia" w:ascii="宋体" w:hAnsi="宋体" w:eastAsia="宋体" w:cs="宋体"/>
        </w:rPr>
      </w:pPr>
    </w:p>
    <w:p>
      <w:pPr>
        <w:numPr>
          <w:ilvl w:val="0"/>
          <w:numId w:val="1"/>
        </w:numPr>
        <w:spacing w:before="101" w:line="228" w:lineRule="auto"/>
        <w:ind w:left="648"/>
        <w:rPr>
          <w:rFonts w:hint="eastAsia" w:ascii="宋体" w:hAnsi="宋体" w:eastAsia="宋体" w:cs="宋体"/>
          <w:spacing w:val="5"/>
          <w:sz w:val="32"/>
          <w:szCs w:val="32"/>
        </w:rPr>
      </w:pPr>
      <w:r>
        <w:rPr>
          <w:rFonts w:hint="eastAsia" w:ascii="宋体" w:hAnsi="宋体" w:eastAsia="宋体" w:cs="宋体"/>
          <w:spacing w:val="5"/>
          <w:sz w:val="32"/>
          <w:szCs w:val="32"/>
        </w:rPr>
        <w:t>部门基本情况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line="600" w:lineRule="exact"/>
        <w:ind w:firstLine="640" w:firstLineChars="200"/>
        <w:textAlignment w:val="auto"/>
        <w:rPr>
          <w:rFonts w:hint="eastAsia" w:ascii="宋体" w:hAnsi="宋体" w:eastAsia="宋体" w:cs="宋体"/>
          <w:sz w:val="32"/>
          <w:lang w:val="en-US" w:eastAsia="zh-CN"/>
        </w:rPr>
      </w:pPr>
      <w:r>
        <w:rPr>
          <w:rFonts w:hint="eastAsia" w:ascii="宋体" w:hAnsi="宋体" w:eastAsia="宋体" w:cs="宋体"/>
          <w:sz w:val="32"/>
          <w:lang w:val="en-US" w:eastAsia="zh-CN"/>
        </w:rPr>
        <w:t>华容县插旗镇人民政府共有</w:t>
      </w:r>
      <w:r>
        <w:rPr>
          <w:rFonts w:hint="eastAsia" w:ascii="宋体" w:hAnsi="宋体" w:eastAsia="宋体" w:cs="宋体"/>
          <w:sz w:val="32"/>
          <w:lang w:val="zh-CN" w:eastAsia="zh-CN"/>
        </w:rPr>
        <w:t>镇政府机关、镇财政所、镇农业综合服务中心、镇社会事业综合服务中心、镇退役军人服务站、镇综合行政执法大队、镇水利服务站</w:t>
      </w:r>
      <w:r>
        <w:rPr>
          <w:rFonts w:hint="eastAsia" w:ascii="宋体" w:hAnsi="宋体" w:eastAsia="宋体" w:cs="宋体"/>
          <w:sz w:val="32"/>
          <w:lang w:val="en-US" w:eastAsia="zh-CN"/>
        </w:rPr>
        <w:t>7个独立核算工作机构。现有人员编制60名（其中：行政编制32名，事业全额编制28名），实有在职干部、职工60人。</w:t>
      </w:r>
    </w:p>
    <w:p>
      <w:pPr>
        <w:spacing w:before="216" w:line="226" w:lineRule="auto"/>
        <w:ind w:left="648"/>
        <w:rPr>
          <w:rFonts w:hint="eastAsia" w:ascii="宋体" w:hAnsi="宋体" w:eastAsia="宋体" w:cs="宋体"/>
          <w:sz w:val="32"/>
          <w:szCs w:val="32"/>
        </w:rPr>
      </w:pPr>
      <w:r>
        <w:rPr>
          <w:rFonts w:hint="eastAsia" w:ascii="宋体" w:hAnsi="宋体" w:eastAsia="宋体" w:cs="宋体"/>
          <w:spacing w:val="-2"/>
          <w:sz w:val="32"/>
          <w:szCs w:val="32"/>
        </w:rPr>
        <w:t>二、一般公共预算支出情况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643" w:firstLineChars="200"/>
        <w:textAlignment w:val="auto"/>
        <w:rPr>
          <w:rFonts w:hint="eastAsia" w:ascii="宋体" w:hAnsi="宋体" w:eastAsia="宋体" w:cs="宋体"/>
          <w:b/>
          <w:bCs/>
          <w:sz w:val="32"/>
          <w:szCs w:val="32"/>
        </w:rPr>
      </w:pPr>
      <w:r>
        <w:rPr>
          <w:rFonts w:hint="eastAsia" w:ascii="宋体" w:hAnsi="宋体" w:eastAsia="宋体" w:cs="宋体"/>
          <w:b/>
          <w:bCs/>
          <w:sz w:val="32"/>
          <w:szCs w:val="32"/>
        </w:rPr>
        <w:t>（一）基本支出情况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line="600" w:lineRule="exact"/>
        <w:ind w:firstLine="640" w:firstLineChars="200"/>
        <w:textAlignment w:val="auto"/>
        <w:rPr>
          <w:rFonts w:hint="eastAsia" w:ascii="宋体" w:hAnsi="宋体" w:eastAsia="宋体" w:cs="宋体"/>
          <w:sz w:val="32"/>
          <w:lang w:val="en-US" w:eastAsia="zh-CN"/>
        </w:rPr>
      </w:pPr>
      <w:r>
        <w:rPr>
          <w:rFonts w:hint="eastAsia" w:ascii="宋体" w:hAnsi="宋体" w:eastAsia="宋体" w:cs="宋体"/>
          <w:sz w:val="32"/>
          <w:lang w:val="en-US" w:eastAsia="zh-CN"/>
        </w:rPr>
        <w:t>2023年我单位基本支出共</w:t>
      </w:r>
      <w:r>
        <w:rPr>
          <w:rFonts w:hint="eastAsia" w:ascii="宋体" w:hAnsi="宋体" w:cs="宋体"/>
          <w:sz w:val="32"/>
          <w:lang w:val="en-US" w:eastAsia="zh-CN"/>
        </w:rPr>
        <w:t>1218.98</w:t>
      </w:r>
      <w:r>
        <w:rPr>
          <w:rFonts w:hint="eastAsia" w:ascii="宋体" w:hAnsi="宋体" w:eastAsia="宋体" w:cs="宋体"/>
          <w:sz w:val="32"/>
          <w:lang w:val="en-US" w:eastAsia="zh-CN"/>
        </w:rPr>
        <w:t>万元，主要用于职工的工资福利支出、五险一金支出及商品服务支出；其中人员经费</w:t>
      </w:r>
      <w:r>
        <w:rPr>
          <w:rFonts w:hint="eastAsia" w:ascii="宋体" w:hAnsi="宋体" w:cs="宋体"/>
          <w:sz w:val="32"/>
          <w:lang w:val="en-US" w:eastAsia="zh-CN"/>
        </w:rPr>
        <w:t>1094.70</w:t>
      </w:r>
      <w:r>
        <w:rPr>
          <w:rFonts w:hint="eastAsia" w:ascii="宋体" w:hAnsi="宋体" w:eastAsia="宋体" w:cs="宋体"/>
          <w:sz w:val="32"/>
          <w:lang w:val="en-US" w:eastAsia="zh-CN"/>
        </w:rPr>
        <w:t>万元，日常公用经费</w:t>
      </w:r>
      <w:r>
        <w:rPr>
          <w:rFonts w:hint="eastAsia" w:ascii="宋体" w:hAnsi="宋体" w:cs="宋体"/>
          <w:sz w:val="32"/>
          <w:lang w:val="en-US" w:eastAsia="zh-CN"/>
        </w:rPr>
        <w:t>124.29</w:t>
      </w:r>
      <w:r>
        <w:rPr>
          <w:rFonts w:hint="eastAsia" w:ascii="宋体" w:hAnsi="宋体" w:eastAsia="宋体" w:cs="宋体"/>
          <w:sz w:val="32"/>
          <w:lang w:val="en-US" w:eastAsia="zh-CN"/>
        </w:rPr>
        <w:t>万元。2022年基本支出中人员经费</w:t>
      </w:r>
      <w:r>
        <w:rPr>
          <w:rFonts w:hint="eastAsia" w:ascii="宋体" w:hAnsi="宋体" w:cs="宋体"/>
          <w:sz w:val="32"/>
          <w:lang w:val="en-US" w:eastAsia="zh-CN"/>
        </w:rPr>
        <w:t>734.51</w:t>
      </w:r>
      <w:r>
        <w:rPr>
          <w:rFonts w:hint="eastAsia" w:ascii="宋体" w:hAnsi="宋体" w:eastAsia="宋体" w:cs="宋体"/>
          <w:sz w:val="32"/>
          <w:lang w:val="en-US" w:eastAsia="zh-CN"/>
        </w:rPr>
        <w:t>万元，本年比上年增加</w:t>
      </w:r>
      <w:r>
        <w:rPr>
          <w:rFonts w:hint="eastAsia" w:ascii="宋体" w:hAnsi="宋体" w:cs="宋体"/>
          <w:sz w:val="32"/>
          <w:lang w:val="en-US" w:eastAsia="zh-CN"/>
        </w:rPr>
        <w:t>484.47</w:t>
      </w:r>
      <w:r>
        <w:rPr>
          <w:rFonts w:hint="eastAsia" w:ascii="宋体" w:hAnsi="宋体" w:eastAsia="宋体" w:cs="宋体"/>
          <w:sz w:val="32"/>
          <w:lang w:val="en-US" w:eastAsia="zh-CN"/>
        </w:rPr>
        <w:t>万元，增幅</w:t>
      </w:r>
      <w:r>
        <w:rPr>
          <w:rFonts w:hint="eastAsia" w:ascii="宋体" w:hAnsi="宋体" w:cs="宋体"/>
          <w:sz w:val="32"/>
          <w:lang w:val="en-US" w:eastAsia="zh-CN"/>
        </w:rPr>
        <w:t>65.96</w:t>
      </w:r>
      <w:r>
        <w:rPr>
          <w:rFonts w:hint="eastAsia" w:ascii="宋体" w:hAnsi="宋体" w:eastAsia="宋体" w:cs="宋体"/>
          <w:sz w:val="32"/>
          <w:lang w:val="en-US" w:eastAsia="zh-CN"/>
        </w:rPr>
        <w:t>%，主要原因是</w:t>
      </w:r>
      <w:r>
        <w:rPr>
          <w:rFonts w:hint="eastAsia" w:ascii="宋体" w:hAnsi="宋体" w:cs="宋体"/>
          <w:sz w:val="32"/>
          <w:lang w:val="en-US" w:eastAsia="zh-CN"/>
        </w:rPr>
        <w:t>财政所的业务全部并入人民政府核算</w:t>
      </w:r>
      <w:r>
        <w:rPr>
          <w:rFonts w:hint="eastAsia" w:ascii="宋体" w:hAnsi="宋体" w:eastAsia="宋体" w:cs="宋体"/>
          <w:sz w:val="32"/>
          <w:lang w:val="en-US" w:eastAsia="zh-CN"/>
        </w:rPr>
        <w:t>；日常公用经费</w:t>
      </w:r>
      <w:r>
        <w:rPr>
          <w:rFonts w:hint="eastAsia" w:ascii="宋体" w:hAnsi="宋体" w:cs="宋体"/>
          <w:sz w:val="32"/>
          <w:lang w:val="en-US" w:eastAsia="zh-CN"/>
        </w:rPr>
        <w:t>86.31</w:t>
      </w:r>
      <w:r>
        <w:rPr>
          <w:rFonts w:hint="eastAsia" w:ascii="宋体" w:hAnsi="宋体" w:eastAsia="宋体" w:cs="宋体"/>
          <w:sz w:val="32"/>
          <w:lang w:val="en-US" w:eastAsia="zh-CN"/>
        </w:rPr>
        <w:t>万元，本年上年度</w:t>
      </w:r>
      <w:r>
        <w:rPr>
          <w:rFonts w:hint="eastAsia" w:ascii="宋体" w:hAnsi="宋体" w:cs="宋体"/>
          <w:sz w:val="32"/>
          <w:lang w:val="en-US" w:eastAsia="zh-CN"/>
        </w:rPr>
        <w:t>增加37.98</w:t>
      </w:r>
      <w:r>
        <w:rPr>
          <w:rFonts w:hint="eastAsia" w:ascii="宋体" w:hAnsi="宋体" w:eastAsia="宋体" w:cs="宋体"/>
          <w:sz w:val="32"/>
          <w:lang w:val="en-US" w:eastAsia="zh-CN"/>
        </w:rPr>
        <w:t>万元，</w:t>
      </w:r>
      <w:r>
        <w:rPr>
          <w:rFonts w:hint="eastAsia" w:ascii="宋体" w:hAnsi="宋体" w:cs="宋体"/>
          <w:sz w:val="32"/>
          <w:lang w:val="en-US" w:eastAsia="zh-CN"/>
        </w:rPr>
        <w:t>增</w:t>
      </w:r>
      <w:r>
        <w:rPr>
          <w:rFonts w:hint="eastAsia" w:ascii="宋体" w:hAnsi="宋体" w:eastAsia="宋体" w:cs="宋体"/>
          <w:sz w:val="32"/>
          <w:lang w:val="en-US" w:eastAsia="zh-CN"/>
        </w:rPr>
        <w:t>幅</w:t>
      </w:r>
      <w:r>
        <w:rPr>
          <w:rFonts w:hint="eastAsia" w:ascii="宋体" w:hAnsi="宋体" w:cs="宋体"/>
          <w:sz w:val="32"/>
          <w:lang w:val="en-US" w:eastAsia="zh-CN"/>
        </w:rPr>
        <w:t>44.01</w:t>
      </w:r>
      <w:r>
        <w:rPr>
          <w:rFonts w:hint="eastAsia" w:ascii="宋体" w:hAnsi="宋体" w:eastAsia="宋体" w:cs="宋体"/>
          <w:sz w:val="32"/>
          <w:lang w:val="en-US" w:eastAsia="zh-CN"/>
        </w:rPr>
        <w:t>%，主要原因是</w:t>
      </w:r>
      <w:r>
        <w:rPr>
          <w:rFonts w:hint="eastAsia" w:ascii="宋体" w:hAnsi="宋体" w:cs="宋体"/>
          <w:sz w:val="32"/>
          <w:lang w:val="en-US" w:eastAsia="zh-CN"/>
        </w:rPr>
        <w:t>财政所的业务全部并入人民政府核算</w:t>
      </w:r>
      <w:r>
        <w:rPr>
          <w:rFonts w:hint="eastAsia" w:ascii="宋体" w:hAnsi="宋体" w:eastAsia="宋体" w:cs="宋体"/>
          <w:sz w:val="32"/>
          <w:lang w:val="en-US" w:eastAsia="zh-CN"/>
        </w:rPr>
        <w:t>。</w:t>
      </w:r>
    </w:p>
    <w:p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firstLine="643" w:firstLineChars="200"/>
        <w:textAlignment w:val="auto"/>
        <w:rPr>
          <w:rFonts w:hint="eastAsia" w:ascii="宋体" w:hAnsi="宋体" w:eastAsia="宋体" w:cs="宋体"/>
          <w:b/>
          <w:bCs/>
          <w:sz w:val="32"/>
          <w:szCs w:val="32"/>
        </w:rPr>
      </w:pPr>
      <w:r>
        <w:rPr>
          <w:rFonts w:hint="eastAsia" w:ascii="宋体" w:hAnsi="宋体" w:eastAsia="宋体" w:cs="宋体"/>
          <w:b/>
          <w:bCs/>
          <w:sz w:val="32"/>
          <w:szCs w:val="32"/>
        </w:rPr>
        <w:t>项目支出情况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line="600" w:lineRule="exact"/>
        <w:ind w:firstLine="640" w:firstLineChars="200"/>
        <w:textAlignment w:val="auto"/>
        <w:rPr>
          <w:rFonts w:hint="eastAsia" w:ascii="宋体" w:hAnsi="宋体" w:eastAsia="宋体" w:cs="宋体"/>
          <w:sz w:val="32"/>
          <w:lang w:val="en-US" w:eastAsia="zh-CN"/>
        </w:rPr>
      </w:pPr>
      <w:r>
        <w:rPr>
          <w:rFonts w:hint="eastAsia" w:ascii="宋体" w:hAnsi="宋体" w:eastAsia="宋体" w:cs="宋体"/>
          <w:sz w:val="32"/>
          <w:lang w:val="en-US" w:eastAsia="zh-CN"/>
        </w:rPr>
        <w:t>2023年项目支出为</w:t>
      </w:r>
      <w:r>
        <w:rPr>
          <w:rFonts w:hint="eastAsia" w:ascii="宋体" w:hAnsi="宋体" w:cs="宋体"/>
          <w:sz w:val="32"/>
          <w:lang w:val="en-US" w:eastAsia="zh-CN"/>
        </w:rPr>
        <w:t>1043.55</w:t>
      </w:r>
      <w:r>
        <w:rPr>
          <w:rFonts w:hint="eastAsia" w:ascii="宋体" w:hAnsi="宋体" w:eastAsia="宋体" w:cs="宋体"/>
          <w:sz w:val="32"/>
          <w:lang w:val="en-US" w:eastAsia="zh-CN"/>
        </w:rPr>
        <w:t>万元，占总支出的</w:t>
      </w:r>
      <w:r>
        <w:rPr>
          <w:rFonts w:hint="eastAsia" w:ascii="宋体" w:hAnsi="宋体" w:cs="宋体"/>
          <w:sz w:val="32"/>
          <w:lang w:val="en-US" w:eastAsia="zh-CN"/>
        </w:rPr>
        <w:t>46.12</w:t>
      </w:r>
      <w:r>
        <w:rPr>
          <w:rFonts w:hint="eastAsia" w:ascii="宋体" w:hAnsi="宋体" w:eastAsia="宋体" w:cs="宋体"/>
          <w:sz w:val="32"/>
          <w:lang w:val="en-US" w:eastAsia="zh-CN"/>
        </w:rPr>
        <w:t>%，主要是项目建设支付的办公费、印刷费、差旅费、会议费、培训费、劳务费、对企事业单位的补贴、基础设施建设、拆迁补偿、大型修缮等商品和服务支出。其中商品和服务支出</w:t>
      </w:r>
      <w:r>
        <w:rPr>
          <w:rFonts w:hint="eastAsia" w:ascii="宋体" w:hAnsi="宋体" w:cs="宋体"/>
          <w:sz w:val="32"/>
          <w:lang w:val="en-US" w:eastAsia="zh-CN"/>
        </w:rPr>
        <w:t>122.38</w:t>
      </w:r>
      <w:r>
        <w:rPr>
          <w:rFonts w:hint="eastAsia" w:ascii="宋体" w:hAnsi="宋体" w:eastAsia="宋体" w:cs="宋体"/>
          <w:sz w:val="32"/>
          <w:lang w:val="en-US" w:eastAsia="zh-CN"/>
        </w:rPr>
        <w:t>万元,对个人和家庭的补助</w:t>
      </w:r>
      <w:r>
        <w:rPr>
          <w:rFonts w:hint="eastAsia" w:ascii="宋体" w:hAnsi="宋体" w:cs="宋体"/>
          <w:sz w:val="32"/>
          <w:lang w:val="en-US" w:eastAsia="zh-CN"/>
        </w:rPr>
        <w:t>551.76</w:t>
      </w:r>
      <w:r>
        <w:rPr>
          <w:rFonts w:hint="eastAsia" w:ascii="宋体" w:hAnsi="宋体" w:eastAsia="宋体" w:cs="宋体"/>
          <w:sz w:val="32"/>
          <w:lang w:val="en-US" w:eastAsia="zh-CN"/>
        </w:rPr>
        <w:t>万元，资本性支出</w:t>
      </w:r>
      <w:r>
        <w:rPr>
          <w:rFonts w:hint="eastAsia" w:ascii="宋体" w:hAnsi="宋体" w:cs="宋体"/>
          <w:sz w:val="32"/>
          <w:lang w:val="en-US" w:eastAsia="zh-CN"/>
        </w:rPr>
        <w:t>369.41</w:t>
      </w:r>
      <w:r>
        <w:rPr>
          <w:rFonts w:hint="eastAsia" w:ascii="宋体" w:hAnsi="宋体" w:eastAsia="宋体" w:cs="宋体"/>
          <w:sz w:val="32"/>
          <w:lang w:val="en-US" w:eastAsia="zh-CN"/>
        </w:rPr>
        <w:t>万元。</w:t>
      </w:r>
    </w:p>
    <w:p>
      <w:pPr>
        <w:numPr>
          <w:ilvl w:val="0"/>
          <w:numId w:val="1"/>
        </w:numPr>
        <w:spacing w:before="224" w:line="227" w:lineRule="auto"/>
        <w:ind w:left="648" w:leftChars="0" w:firstLine="0" w:firstLineChars="0"/>
        <w:rPr>
          <w:rFonts w:hint="eastAsia" w:ascii="宋体" w:hAnsi="宋体" w:eastAsia="宋体" w:cs="宋体"/>
          <w:spacing w:val="8"/>
          <w:sz w:val="32"/>
          <w:szCs w:val="32"/>
        </w:rPr>
      </w:pPr>
      <w:r>
        <w:rPr>
          <w:rFonts w:hint="eastAsia" w:ascii="宋体" w:hAnsi="宋体" w:eastAsia="宋体" w:cs="宋体"/>
          <w:spacing w:val="8"/>
          <w:sz w:val="32"/>
          <w:szCs w:val="32"/>
        </w:rPr>
        <w:t>政府性基金预算支出情况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line="600" w:lineRule="exact"/>
        <w:ind w:firstLine="640" w:firstLineChars="200"/>
        <w:textAlignment w:val="auto"/>
        <w:rPr>
          <w:rFonts w:hint="eastAsia" w:ascii="宋体" w:hAnsi="宋体" w:eastAsia="宋体" w:cs="宋体"/>
          <w:sz w:val="32"/>
          <w:szCs w:val="32"/>
          <w:highlight w:val="none"/>
          <w:lang w:val="en-US" w:eastAsia="zh-CN"/>
        </w:rPr>
      </w:pPr>
      <w:r>
        <w:rPr>
          <w:rFonts w:hint="eastAsia" w:ascii="宋体" w:hAnsi="宋体" w:eastAsia="宋体" w:cs="宋体"/>
          <w:sz w:val="32"/>
          <w:szCs w:val="32"/>
          <w:highlight w:val="none"/>
          <w:lang w:val="en-US" w:eastAsia="zh-CN"/>
        </w:rPr>
        <w:t>2023年政府性基金预算支出590.16万元,主要是移民补助、基础设施建设等商品和服务支出。其中对个人和家庭的补助43.76万元，资本性支出546.40万元。</w:t>
      </w:r>
    </w:p>
    <w:p>
      <w:pPr>
        <w:numPr>
          <w:ilvl w:val="0"/>
          <w:numId w:val="1"/>
        </w:numPr>
        <w:spacing w:before="219" w:line="600" w:lineRule="exact"/>
        <w:ind w:left="648" w:leftChars="0" w:firstLine="0" w:firstLineChars="0"/>
        <w:rPr>
          <w:rFonts w:hint="eastAsia" w:ascii="宋体" w:hAnsi="宋体" w:eastAsia="宋体" w:cs="宋体"/>
          <w:spacing w:val="7"/>
          <w:position w:val="21"/>
          <w:sz w:val="32"/>
          <w:szCs w:val="32"/>
        </w:rPr>
      </w:pPr>
      <w:r>
        <w:rPr>
          <w:rFonts w:hint="eastAsia" w:ascii="宋体" w:hAnsi="宋体" w:eastAsia="宋体" w:cs="宋体"/>
          <w:spacing w:val="7"/>
          <w:position w:val="21"/>
          <w:sz w:val="32"/>
          <w:szCs w:val="32"/>
        </w:rPr>
        <w:t>国有资本经营预算支出情况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line="600" w:lineRule="exact"/>
        <w:ind w:firstLine="640" w:firstLineChars="200"/>
        <w:textAlignment w:val="auto"/>
        <w:rPr>
          <w:rFonts w:hint="default" w:ascii="宋体" w:hAnsi="宋体" w:eastAsia="宋体" w:cs="宋体"/>
          <w:sz w:val="32"/>
          <w:lang w:val="en-US" w:eastAsia="zh-CN"/>
        </w:rPr>
      </w:pPr>
      <w:r>
        <w:rPr>
          <w:rFonts w:hint="eastAsia" w:ascii="宋体" w:hAnsi="宋体" w:eastAsia="宋体" w:cs="宋体"/>
          <w:sz w:val="32"/>
          <w:lang w:val="en-US" w:eastAsia="zh-CN"/>
        </w:rPr>
        <w:t>2023年国有资本经营预算支出</w:t>
      </w:r>
      <w:r>
        <w:rPr>
          <w:rFonts w:hint="eastAsia" w:ascii="宋体" w:hAnsi="宋体" w:cs="宋体"/>
          <w:sz w:val="32"/>
          <w:lang w:val="en-US" w:eastAsia="zh-CN"/>
        </w:rPr>
        <w:t>0.05万元，主要是国有企业退休人员社会化管理补助退休支出</w:t>
      </w:r>
      <w:r>
        <w:rPr>
          <w:rFonts w:hint="eastAsia" w:ascii="宋体" w:hAnsi="宋体" w:eastAsia="宋体" w:cs="宋体"/>
          <w:sz w:val="32"/>
          <w:lang w:val="en-US" w:eastAsia="zh-CN"/>
        </w:rPr>
        <w:t>。</w:t>
      </w:r>
      <w:r>
        <w:rPr>
          <w:rFonts w:hint="eastAsia" w:ascii="宋体" w:hAnsi="宋体" w:eastAsia="宋体" w:cs="宋体"/>
          <w:sz w:val="32"/>
          <w:szCs w:val="32"/>
          <w:highlight w:val="none"/>
          <w:lang w:val="en-US" w:eastAsia="zh-CN"/>
        </w:rPr>
        <w:t>其中对个人和家庭的补助0.05万元。</w:t>
      </w:r>
    </w:p>
    <w:p>
      <w:pPr>
        <w:numPr>
          <w:ilvl w:val="0"/>
          <w:numId w:val="1"/>
        </w:numPr>
        <w:spacing w:line="227" w:lineRule="auto"/>
        <w:ind w:left="648" w:leftChars="0" w:firstLine="0" w:firstLineChars="0"/>
        <w:rPr>
          <w:rFonts w:hint="eastAsia" w:ascii="宋体" w:hAnsi="宋体" w:eastAsia="宋体" w:cs="宋体"/>
          <w:spacing w:val="8"/>
          <w:sz w:val="32"/>
          <w:szCs w:val="32"/>
        </w:rPr>
      </w:pPr>
      <w:r>
        <w:rPr>
          <w:rFonts w:hint="eastAsia" w:ascii="宋体" w:hAnsi="宋体" w:eastAsia="宋体" w:cs="宋体"/>
          <w:spacing w:val="8"/>
          <w:sz w:val="32"/>
          <w:szCs w:val="32"/>
        </w:rPr>
        <w:t>社会保险基金预算支出情况</w:t>
      </w:r>
    </w:p>
    <w:p>
      <w:pPr>
        <w:pStyle w:val="15"/>
        <w:numPr>
          <w:ilvl w:val="0"/>
          <w:numId w:val="0"/>
        </w:numPr>
        <w:ind w:left="648" w:leftChars="0"/>
        <w:rPr>
          <w:rFonts w:hint="eastAsia" w:ascii="宋体" w:hAnsi="宋体" w:eastAsia="宋体" w:cs="宋体"/>
          <w:kern w:val="2"/>
          <w:sz w:val="32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2"/>
          <w:sz w:val="32"/>
          <w:szCs w:val="24"/>
          <w:lang w:val="en-US" w:eastAsia="zh-CN" w:bidi="ar-SA"/>
        </w:rPr>
        <w:t>2023年无社会保险基金预算支出。</w:t>
      </w:r>
    </w:p>
    <w:p>
      <w:pPr>
        <w:numPr>
          <w:ilvl w:val="0"/>
          <w:numId w:val="1"/>
        </w:numPr>
        <w:spacing w:before="219" w:line="226" w:lineRule="auto"/>
        <w:ind w:left="648" w:leftChars="0" w:firstLine="0" w:firstLineChars="0"/>
        <w:rPr>
          <w:rFonts w:hint="eastAsia" w:ascii="宋体" w:hAnsi="宋体" w:eastAsia="宋体" w:cs="宋体"/>
          <w:spacing w:val="8"/>
          <w:sz w:val="32"/>
          <w:szCs w:val="32"/>
        </w:rPr>
      </w:pPr>
      <w:r>
        <w:rPr>
          <w:rFonts w:hint="eastAsia" w:ascii="宋体" w:hAnsi="宋体" w:eastAsia="宋体" w:cs="宋体"/>
          <w:spacing w:val="8"/>
          <w:sz w:val="32"/>
          <w:szCs w:val="32"/>
        </w:rPr>
        <w:t>部门整体支出绩效情况</w:t>
      </w:r>
    </w:p>
    <w:p>
      <w:pPr>
        <w:pStyle w:val="13"/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560" w:lineRule="exact"/>
        <w:ind w:left="0" w:right="0" w:firstLine="597"/>
        <w:jc w:val="both"/>
        <w:textAlignment w:val="auto"/>
        <w:rPr>
          <w:rFonts w:hint="eastAsia" w:ascii="宋体" w:hAnsi="宋体" w:eastAsia="宋体" w:cs="宋体"/>
          <w:b w:val="0"/>
          <w:bCs w:val="0"/>
          <w:color w:val="auto"/>
          <w:sz w:val="32"/>
          <w:szCs w:val="32"/>
        </w:rPr>
      </w:pPr>
      <w:r>
        <w:rPr>
          <w:rFonts w:hint="eastAsia" w:ascii="宋体" w:hAnsi="宋体" w:eastAsia="宋体" w:cs="宋体"/>
          <w:b w:val="0"/>
          <w:bCs w:val="0"/>
          <w:color w:val="auto"/>
          <w:sz w:val="32"/>
          <w:szCs w:val="32"/>
        </w:rPr>
        <w:t>一年来，我们内联外拓、创新驱动，乡村振兴活力强劲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560" w:lineRule="exact"/>
        <w:ind w:firstLine="622" w:firstLineChars="200"/>
        <w:textAlignment w:val="auto"/>
        <w:rPr>
          <w:rFonts w:hint="eastAsia" w:ascii="宋体" w:hAnsi="宋体" w:eastAsia="宋体" w:cs="宋体"/>
          <w:b/>
          <w:bCs/>
          <w:color w:val="auto"/>
          <w:kern w:val="0"/>
          <w:sz w:val="32"/>
          <w:szCs w:val="32"/>
          <w:lang w:val="en-US" w:eastAsia="zh-CN" w:bidi="ar"/>
        </w:rPr>
      </w:pPr>
      <w:r>
        <w:rPr>
          <w:rFonts w:hint="eastAsia" w:ascii="宋体" w:hAnsi="宋体" w:eastAsia="宋体" w:cs="宋体"/>
          <w:b/>
          <w:bCs/>
          <w:color w:val="auto"/>
          <w:kern w:val="0"/>
          <w:sz w:val="31"/>
          <w:szCs w:val="31"/>
          <w:lang w:val="en-US" w:eastAsia="zh-CN" w:bidi="ar"/>
        </w:rPr>
        <w:t>一是芥菜产业转型发展势头强劲。</w:t>
      </w:r>
      <w:r>
        <w:rPr>
          <w:rFonts w:hint="eastAsia" w:ascii="宋体" w:hAnsi="宋体" w:eastAsia="宋体" w:cs="宋体"/>
          <w:b w:val="0"/>
          <w:bCs w:val="0"/>
          <w:color w:val="auto"/>
          <w:kern w:val="0"/>
          <w:sz w:val="32"/>
          <w:szCs w:val="32"/>
          <w:lang w:val="en-US" w:eastAsia="zh-CN" w:bidi="ar"/>
        </w:rPr>
        <w:t>围绕芥菜产业高质量发展目标，严格实行订单种植、订单腌制，完成芥菜种植面积2万亩，</w:t>
      </w:r>
      <w:r>
        <w:rPr>
          <w:rFonts w:hint="eastAsia" w:ascii="宋体" w:hAnsi="宋体" w:eastAsia="宋体" w:cs="宋体"/>
          <w:b/>
          <w:bCs/>
          <w:color w:val="auto"/>
          <w:kern w:val="0"/>
          <w:sz w:val="32"/>
          <w:szCs w:val="32"/>
          <w:lang w:val="en-US" w:eastAsia="zh-CN" w:bidi="ar"/>
        </w:rPr>
        <w:t>稳住了种植面积；</w:t>
      </w:r>
      <w:r>
        <w:rPr>
          <w:rFonts w:hint="eastAsia" w:ascii="宋体" w:hAnsi="宋体" w:eastAsia="宋体" w:cs="宋体"/>
          <w:b w:val="0"/>
          <w:bCs w:val="0"/>
          <w:color w:val="auto"/>
          <w:kern w:val="0"/>
          <w:sz w:val="32"/>
          <w:szCs w:val="32"/>
          <w:lang w:val="en-US" w:eastAsia="zh-CN" w:bidi="ar"/>
        </w:rPr>
        <w:t>不断整合农业资源，打造</w:t>
      </w:r>
      <w:r>
        <w:rPr>
          <w:rFonts w:hint="eastAsia" w:ascii="宋体" w:hAnsi="宋体" w:eastAsia="宋体" w:cs="宋体"/>
          <w:b w:val="0"/>
          <w:bCs w:val="0"/>
          <w:color w:val="auto"/>
          <w:sz w:val="32"/>
          <w:szCs w:val="32"/>
          <w:highlight w:val="none"/>
          <w:u w:val="none"/>
          <w:lang w:val="en-US" w:eastAsia="zh-CN"/>
        </w:rPr>
        <w:t>5处高标准芥菜</w:t>
      </w:r>
      <w:r>
        <w:rPr>
          <w:rFonts w:hint="eastAsia" w:ascii="宋体" w:hAnsi="宋体" w:eastAsia="宋体" w:cs="宋体"/>
          <w:b w:val="0"/>
          <w:bCs w:val="0"/>
          <w:color w:val="auto"/>
          <w:kern w:val="0"/>
          <w:sz w:val="32"/>
          <w:szCs w:val="32"/>
          <w:lang w:val="en-US" w:eastAsia="zh-CN" w:bidi="ar"/>
        </w:rPr>
        <w:t>示范基地，建成使</w:t>
      </w:r>
      <w:r>
        <w:rPr>
          <w:rFonts w:hint="eastAsia" w:ascii="宋体" w:hAnsi="宋体" w:eastAsia="宋体" w:cs="宋体"/>
          <w:b w:val="0"/>
          <w:bCs w:val="0"/>
          <w:color w:val="auto"/>
          <w:sz w:val="32"/>
          <w:szCs w:val="32"/>
          <w:highlight w:val="none"/>
          <w:u w:val="none"/>
          <w:lang w:val="en-US" w:eastAsia="zh-CN"/>
        </w:rPr>
        <w:t>用12万立方</w:t>
      </w:r>
      <w:r>
        <w:rPr>
          <w:rFonts w:hint="eastAsia" w:ascii="宋体" w:hAnsi="宋体" w:eastAsia="宋体" w:cs="宋体"/>
          <w:b w:val="0"/>
          <w:bCs w:val="0"/>
          <w:color w:val="auto"/>
          <w:kern w:val="0"/>
          <w:sz w:val="32"/>
          <w:szCs w:val="32"/>
          <w:lang w:val="en-US" w:eastAsia="zh-CN" w:bidi="ar"/>
        </w:rPr>
        <w:t>米标准化腌制池，</w:t>
      </w:r>
      <w:r>
        <w:rPr>
          <w:rFonts w:hint="eastAsia" w:ascii="宋体" w:hAnsi="宋体" w:eastAsia="宋体" w:cs="宋体"/>
          <w:b/>
          <w:bCs/>
          <w:color w:val="auto"/>
          <w:kern w:val="0"/>
          <w:sz w:val="32"/>
          <w:szCs w:val="32"/>
          <w:lang w:val="en-US" w:eastAsia="zh-CN" w:bidi="ar"/>
        </w:rPr>
        <w:t>稳住了产业效益；</w:t>
      </w:r>
      <w:r>
        <w:rPr>
          <w:rFonts w:hint="eastAsia" w:ascii="宋体" w:hAnsi="宋体" w:eastAsia="宋体" w:cs="宋体"/>
          <w:b w:val="0"/>
          <w:bCs w:val="0"/>
          <w:color w:val="auto"/>
          <w:kern w:val="0"/>
          <w:sz w:val="32"/>
          <w:szCs w:val="32"/>
          <w:lang w:val="en-US" w:eastAsia="zh-CN" w:bidi="ar"/>
        </w:rPr>
        <w:t>稳步拓展“一担二订三保”利益联接机制，全面推广</w:t>
      </w:r>
      <w:r>
        <w:rPr>
          <w:rFonts w:hint="eastAsia" w:ascii="宋体" w:hAnsi="宋体" w:eastAsia="宋体" w:cs="宋体"/>
          <w:b w:val="0"/>
          <w:bCs w:val="0"/>
          <w:color w:val="auto"/>
          <w:sz w:val="32"/>
          <w:szCs w:val="32"/>
          <w:lang w:val="en-US" w:eastAsia="zh-CN"/>
        </w:rPr>
        <w:t>“稻-再-菜”高效绿色种植模式，</w:t>
      </w:r>
      <w:r>
        <w:rPr>
          <w:rFonts w:hint="eastAsia" w:ascii="宋体" w:hAnsi="宋体" w:eastAsia="宋体" w:cs="宋体"/>
          <w:b w:val="0"/>
          <w:bCs w:val="0"/>
          <w:color w:val="auto"/>
          <w:kern w:val="0"/>
          <w:sz w:val="32"/>
          <w:szCs w:val="32"/>
          <w:lang w:val="en-US" w:eastAsia="zh-CN" w:bidi="ar"/>
        </w:rPr>
        <w:t>分散化解农户种植风险，</w:t>
      </w:r>
      <w:r>
        <w:rPr>
          <w:rFonts w:hint="eastAsia" w:ascii="宋体" w:hAnsi="宋体" w:eastAsia="宋体" w:cs="宋体"/>
          <w:b/>
          <w:bCs/>
          <w:color w:val="auto"/>
          <w:kern w:val="0"/>
          <w:sz w:val="32"/>
          <w:szCs w:val="32"/>
          <w:lang w:val="en-US" w:eastAsia="zh-CN" w:bidi="ar"/>
        </w:rPr>
        <w:t>稳住了农民收益。</w:t>
      </w:r>
      <w:r>
        <w:rPr>
          <w:rFonts w:hint="eastAsia" w:ascii="宋体" w:hAnsi="宋体" w:eastAsia="宋体" w:cs="宋体"/>
          <w:b w:val="0"/>
          <w:bCs w:val="0"/>
          <w:color w:val="auto"/>
          <w:kern w:val="0"/>
          <w:sz w:val="32"/>
          <w:szCs w:val="32"/>
          <w:lang w:val="en-US" w:eastAsia="zh-CN" w:bidi="ar"/>
        </w:rPr>
        <w:t>紧盯有限空间作业风险，完善标准化腌制池作业制度，深度整合散、乱、小芥菜加工企业，</w:t>
      </w:r>
      <w:r>
        <w:rPr>
          <w:rFonts w:hint="eastAsia" w:ascii="宋体" w:hAnsi="宋体" w:eastAsia="宋体" w:cs="宋体"/>
          <w:b/>
          <w:bCs/>
          <w:color w:val="auto"/>
          <w:kern w:val="0"/>
          <w:sz w:val="32"/>
          <w:szCs w:val="32"/>
          <w:lang w:val="en-US" w:eastAsia="zh-CN" w:bidi="ar"/>
        </w:rPr>
        <w:t>守住了安全生产底线；</w:t>
      </w:r>
      <w:r>
        <w:rPr>
          <w:rFonts w:hint="eastAsia" w:ascii="宋体" w:hAnsi="宋体" w:eastAsia="宋体" w:cs="宋体"/>
          <w:b w:val="0"/>
          <w:bCs w:val="0"/>
          <w:color w:val="auto"/>
          <w:sz w:val="32"/>
          <w:szCs w:val="32"/>
          <w:lang w:val="en-US" w:eastAsia="zh-CN"/>
        </w:rPr>
        <w:t>严格落实产品质量检测和起菜规程，做到带证销售、</w:t>
      </w:r>
      <w:r>
        <w:rPr>
          <w:rFonts w:hint="eastAsia" w:ascii="宋体" w:hAnsi="宋体" w:eastAsia="宋体" w:cs="宋体"/>
          <w:color w:val="auto"/>
          <w:sz w:val="32"/>
          <w:szCs w:val="32"/>
          <w:lang w:eastAsia="zh-CN"/>
        </w:rPr>
        <w:t>台账齐全</w:t>
      </w:r>
      <w:r>
        <w:rPr>
          <w:rFonts w:hint="eastAsia" w:ascii="宋体" w:hAnsi="宋体" w:eastAsia="宋体" w:cs="宋体"/>
          <w:b w:val="0"/>
          <w:bCs w:val="0"/>
          <w:color w:val="auto"/>
          <w:kern w:val="0"/>
          <w:sz w:val="32"/>
          <w:szCs w:val="32"/>
          <w:lang w:val="en-US" w:eastAsia="zh-CN" w:bidi="ar"/>
        </w:rPr>
        <w:t>，强化群众监督和常态化督查，</w:t>
      </w:r>
      <w:r>
        <w:rPr>
          <w:rFonts w:hint="eastAsia" w:ascii="宋体" w:hAnsi="宋体" w:eastAsia="宋体" w:cs="宋体"/>
          <w:b/>
          <w:bCs/>
          <w:color w:val="auto"/>
          <w:kern w:val="0"/>
          <w:sz w:val="32"/>
          <w:szCs w:val="32"/>
          <w:lang w:val="en-US" w:eastAsia="zh-CN" w:bidi="ar"/>
        </w:rPr>
        <w:t>守住了质量安全红线；</w:t>
      </w:r>
      <w:r>
        <w:rPr>
          <w:rFonts w:hint="eastAsia" w:ascii="宋体" w:hAnsi="宋体" w:eastAsia="宋体" w:cs="宋体"/>
          <w:b w:val="0"/>
          <w:bCs w:val="0"/>
          <w:color w:val="auto"/>
          <w:kern w:val="0"/>
          <w:sz w:val="32"/>
          <w:szCs w:val="32"/>
          <w:lang w:val="en-US" w:eastAsia="zh-CN" w:bidi="ar"/>
        </w:rPr>
        <w:t>传统“土窖”按照“退一复一”要求，完成</w:t>
      </w:r>
      <w:r>
        <w:rPr>
          <w:rFonts w:hint="eastAsia" w:ascii="宋体" w:hAnsi="宋体" w:eastAsia="宋体" w:cs="宋体"/>
          <w:b w:val="0"/>
          <w:bCs w:val="0"/>
          <w:color w:val="auto"/>
          <w:sz w:val="32"/>
          <w:szCs w:val="32"/>
          <w:highlight w:val="none"/>
          <w:u w:val="none"/>
          <w:lang w:val="en-US" w:eastAsia="zh-CN"/>
        </w:rPr>
        <w:t>7000余口土坑回填，</w:t>
      </w:r>
      <w:r>
        <w:rPr>
          <w:rFonts w:hint="eastAsia" w:ascii="宋体" w:hAnsi="宋体" w:eastAsia="宋体" w:cs="宋体"/>
          <w:b w:val="0"/>
          <w:bCs w:val="0"/>
          <w:color w:val="auto"/>
          <w:kern w:val="0"/>
          <w:sz w:val="32"/>
          <w:szCs w:val="32"/>
          <w:lang w:val="en-US" w:eastAsia="zh-CN" w:bidi="ar"/>
        </w:rPr>
        <w:t>占全县任务的80%以上，腌制池废水进行集中收集、集中处理，</w:t>
      </w:r>
      <w:r>
        <w:rPr>
          <w:rFonts w:hint="eastAsia" w:ascii="宋体" w:hAnsi="宋体" w:eastAsia="宋体" w:cs="宋体"/>
          <w:b/>
          <w:bCs/>
          <w:color w:val="auto"/>
          <w:kern w:val="0"/>
          <w:sz w:val="31"/>
          <w:szCs w:val="31"/>
          <w:lang w:val="en-US" w:eastAsia="zh-CN" w:bidi="ar"/>
        </w:rPr>
        <w:t>守住了环保安全防线。</w:t>
      </w:r>
      <w:r>
        <w:rPr>
          <w:rFonts w:hint="eastAsia" w:ascii="宋体" w:hAnsi="宋体" w:eastAsia="宋体" w:cs="宋体"/>
          <w:b w:val="0"/>
          <w:bCs w:val="0"/>
          <w:color w:val="auto"/>
          <w:kern w:val="0"/>
          <w:sz w:val="31"/>
          <w:szCs w:val="31"/>
          <w:lang w:val="en-US" w:eastAsia="zh-CN" w:bidi="ar"/>
        </w:rPr>
        <w:t>成功</w:t>
      </w:r>
      <w:r>
        <w:rPr>
          <w:rFonts w:hint="eastAsia" w:ascii="宋体" w:hAnsi="宋体" w:eastAsia="宋体" w:cs="宋体"/>
          <w:b w:val="0"/>
          <w:bCs w:val="0"/>
          <w:color w:val="auto"/>
          <w:kern w:val="0"/>
          <w:sz w:val="32"/>
          <w:szCs w:val="32"/>
          <w:lang w:val="en-US" w:eastAsia="zh-CN" w:bidi="ar"/>
        </w:rPr>
        <w:t>选育能适应气候，提高质量、产量的芥菜新品种——福建长菜，</w:t>
      </w:r>
      <w:r>
        <w:rPr>
          <w:rFonts w:hint="eastAsia" w:ascii="宋体" w:hAnsi="宋体" w:eastAsia="宋体" w:cs="宋体"/>
          <w:b/>
          <w:bCs/>
          <w:color w:val="auto"/>
          <w:kern w:val="0"/>
          <w:sz w:val="32"/>
          <w:szCs w:val="32"/>
          <w:lang w:val="en-US" w:eastAsia="zh-CN" w:bidi="ar"/>
        </w:rPr>
        <w:t>实现芥菜种业新提升；</w:t>
      </w:r>
      <w:r>
        <w:rPr>
          <w:rFonts w:hint="eastAsia" w:ascii="宋体" w:hAnsi="宋体" w:eastAsia="宋体" w:cs="宋体"/>
          <w:b w:val="0"/>
          <w:bCs w:val="0"/>
          <w:color w:val="auto"/>
          <w:kern w:val="0"/>
          <w:sz w:val="32"/>
          <w:szCs w:val="32"/>
          <w:lang w:val="en-US" w:eastAsia="zh-CN" w:bidi="ar"/>
        </w:rPr>
        <w:t>顺应市场新要求，创新开发“严大师”等中高端芥菜产品，</w:t>
      </w:r>
      <w:r>
        <w:rPr>
          <w:rFonts w:hint="eastAsia" w:ascii="宋体" w:hAnsi="宋体" w:eastAsia="宋体" w:cs="宋体"/>
          <w:b/>
          <w:bCs/>
          <w:color w:val="auto"/>
          <w:kern w:val="0"/>
          <w:sz w:val="32"/>
          <w:szCs w:val="32"/>
          <w:lang w:val="en-US" w:eastAsia="zh-CN" w:bidi="ar"/>
        </w:rPr>
        <w:t>实现产业价值新提升；</w:t>
      </w:r>
      <w:r>
        <w:rPr>
          <w:rFonts w:hint="eastAsia" w:ascii="宋体" w:hAnsi="宋体" w:eastAsia="宋体" w:cs="宋体"/>
          <w:b w:val="0"/>
          <w:bCs w:val="0"/>
          <w:color w:val="auto"/>
          <w:kern w:val="0"/>
          <w:sz w:val="32"/>
          <w:szCs w:val="32"/>
          <w:lang w:val="en-US" w:eastAsia="zh-CN" w:bidi="ar"/>
        </w:rPr>
        <w:t>围绕全县芥菜产业高质量发展布局，主动对接华隆酸菜、蓬盛食品等龙头企业，完成冷链物流产业园签约，</w:t>
      </w:r>
      <w:r>
        <w:rPr>
          <w:rFonts w:hint="eastAsia" w:ascii="宋体" w:hAnsi="宋体" w:eastAsia="宋体" w:cs="宋体"/>
          <w:b/>
          <w:bCs/>
          <w:color w:val="auto"/>
          <w:kern w:val="0"/>
          <w:sz w:val="32"/>
          <w:szCs w:val="32"/>
          <w:lang w:val="en-US" w:eastAsia="zh-CN" w:bidi="ar"/>
        </w:rPr>
        <w:t>实现出口（标准）产能新提升。</w:t>
      </w:r>
    </w:p>
    <w:p>
      <w:pPr>
        <w:pStyle w:val="14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="0" w:afterAutospacing="0" w:line="560" w:lineRule="exact"/>
        <w:ind w:left="0" w:leftChars="0" w:firstLine="622" w:firstLineChars="200"/>
        <w:textAlignment w:val="auto"/>
        <w:rPr>
          <w:rFonts w:hint="eastAsia" w:ascii="宋体" w:hAnsi="宋体" w:eastAsia="宋体" w:cs="宋体"/>
          <w:b w:val="0"/>
          <w:bCs w:val="0"/>
          <w:color w:val="auto"/>
          <w:kern w:val="0"/>
          <w:sz w:val="32"/>
          <w:szCs w:val="32"/>
          <w:lang w:val="en-US" w:eastAsia="zh-CN" w:bidi="ar"/>
        </w:rPr>
      </w:pPr>
      <w:r>
        <w:rPr>
          <w:rFonts w:hint="eastAsia" w:ascii="宋体" w:hAnsi="宋体" w:eastAsia="宋体" w:cs="宋体"/>
          <w:b/>
          <w:bCs/>
          <w:color w:val="auto"/>
          <w:kern w:val="0"/>
          <w:sz w:val="31"/>
          <w:szCs w:val="31"/>
          <w:lang w:val="en-US" w:eastAsia="zh-CN" w:bidi="ar"/>
        </w:rPr>
        <w:t>二是农业生产大盘稳定。</w:t>
      </w:r>
      <w:r>
        <w:rPr>
          <w:rFonts w:hint="eastAsia" w:ascii="宋体" w:hAnsi="宋体" w:eastAsia="宋体" w:cs="宋体"/>
          <w:color w:val="auto"/>
          <w:kern w:val="2"/>
          <w:sz w:val="32"/>
          <w:szCs w:val="32"/>
          <w:lang w:val="en-US" w:eastAsia="zh-CN" w:bidi="ar-SA"/>
        </w:rPr>
        <w:t>坚决</w:t>
      </w:r>
      <w:r>
        <w:rPr>
          <w:rFonts w:hint="eastAsia" w:ascii="宋体" w:hAnsi="宋体" w:eastAsia="宋体" w:cs="宋体"/>
          <w:color w:val="auto"/>
          <w:kern w:val="2"/>
          <w:sz w:val="32"/>
          <w:szCs w:val="32"/>
          <w:lang w:val="zh-CN" w:eastAsia="zh-CN" w:bidi="ar-SA"/>
        </w:rPr>
        <w:t>扛牢粮食安</w:t>
      </w:r>
      <w:r>
        <w:rPr>
          <w:rFonts w:hint="eastAsia" w:ascii="宋体" w:hAnsi="宋体" w:eastAsia="宋体" w:cs="宋体"/>
          <w:b w:val="0"/>
          <w:bCs w:val="0"/>
          <w:color w:val="auto"/>
          <w:kern w:val="0"/>
          <w:sz w:val="32"/>
          <w:szCs w:val="32"/>
          <w:lang w:val="zh-CN" w:eastAsia="zh-CN" w:bidi="ar"/>
        </w:rPr>
        <w:t>全政治责任</w:t>
      </w:r>
      <w:r>
        <w:rPr>
          <w:rFonts w:hint="eastAsia" w:ascii="宋体" w:hAnsi="宋体" w:eastAsia="宋体" w:cs="宋体"/>
          <w:b w:val="0"/>
          <w:bCs w:val="0"/>
          <w:color w:val="auto"/>
          <w:kern w:val="0"/>
          <w:sz w:val="32"/>
          <w:szCs w:val="32"/>
          <w:lang w:val="en-US" w:eastAsia="zh-CN" w:bidi="ar"/>
        </w:rPr>
        <w:t>，严守粮食生产安全底线与耕地红线，完成粮食种植任务4万亩、双季稻种植面积3300亩、粮监点建设145亩；以“林河田”三长合一为抓手，收回注插沟全部林权，整治耕地非农化非粮化图斑200余处，耕地补录复耕600余亩，代表全县顺利通过武汉督查局耕地保护专项督查。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560" w:lineRule="exact"/>
        <w:ind w:left="0" w:leftChars="0" w:right="0" w:firstLine="643" w:firstLineChars="200"/>
        <w:jc w:val="left"/>
        <w:textAlignment w:val="auto"/>
        <w:rPr>
          <w:rFonts w:hint="eastAsia" w:ascii="宋体" w:hAnsi="宋体" w:eastAsia="宋体" w:cs="宋体"/>
          <w:b w:val="0"/>
          <w:bCs w:val="0"/>
          <w:color w:val="auto"/>
          <w:kern w:val="0"/>
          <w:sz w:val="32"/>
          <w:szCs w:val="32"/>
          <w:lang w:val="en-US" w:eastAsia="zh-CN" w:bidi="ar"/>
        </w:rPr>
      </w:pPr>
      <w:r>
        <w:rPr>
          <w:rFonts w:hint="eastAsia" w:ascii="宋体" w:hAnsi="宋体" w:eastAsia="宋体" w:cs="宋体"/>
          <w:b/>
          <w:bCs/>
          <w:color w:val="auto"/>
          <w:sz w:val="32"/>
          <w:szCs w:val="32"/>
          <w:lang w:val="en-US" w:eastAsia="zh-CN"/>
        </w:rPr>
        <w:t>三是基础设施建设持续优化。</w:t>
      </w:r>
      <w:r>
        <w:rPr>
          <w:rFonts w:hint="eastAsia" w:ascii="宋体" w:hAnsi="宋体" w:eastAsia="宋体" w:cs="宋体"/>
          <w:b w:val="0"/>
          <w:bCs w:val="0"/>
          <w:color w:val="auto"/>
          <w:sz w:val="32"/>
          <w:szCs w:val="32"/>
          <w:lang w:val="en-US" w:eastAsia="zh-CN"/>
        </w:rPr>
        <w:t>积极开展防汛抗旱，完成东湖渍堤防汛通道整治9.8公里，</w:t>
      </w:r>
      <w:r>
        <w:rPr>
          <w:rFonts w:hint="eastAsia" w:ascii="宋体" w:hAnsi="宋体" w:eastAsia="宋体" w:cs="宋体"/>
          <w:b w:val="0"/>
          <w:bCs w:val="0"/>
          <w:color w:val="auto"/>
          <w:kern w:val="0"/>
          <w:sz w:val="32"/>
          <w:szCs w:val="32"/>
          <w:lang w:val="en-US" w:eastAsia="zh-CN" w:bidi="ar"/>
        </w:rPr>
        <w:t>安全垸建设及配套工程、北部补水工程、建丰剅重建等水利工程建设全面竣工使用；</w:t>
      </w:r>
      <w:r>
        <w:rPr>
          <w:rFonts w:hint="eastAsia" w:ascii="宋体" w:hAnsi="宋体" w:eastAsia="宋体" w:cs="宋体"/>
          <w:b w:val="0"/>
          <w:bCs w:val="0"/>
          <w:color w:val="auto"/>
          <w:sz w:val="32"/>
          <w:szCs w:val="32"/>
          <w:lang w:val="en-US" w:eastAsia="zh-CN"/>
        </w:rPr>
        <w:t>维护修缮千和、舒新、曙光等10个老旧机埠，改造重建5处涵闸，河道沟渠垃圾拦网常态化清理，</w:t>
      </w:r>
      <w:r>
        <w:rPr>
          <w:rFonts w:hint="eastAsia" w:ascii="宋体" w:hAnsi="宋体" w:eastAsia="宋体" w:cs="宋体"/>
          <w:b w:val="0"/>
          <w:bCs w:val="0"/>
          <w:color w:val="auto"/>
          <w:kern w:val="0"/>
          <w:sz w:val="32"/>
          <w:szCs w:val="32"/>
          <w:lang w:val="en-US" w:eastAsia="zh-CN" w:bidi="ar"/>
        </w:rPr>
        <w:t>保安保收和自然灾害风险应对能力不断提升</w:t>
      </w:r>
      <w:r>
        <w:rPr>
          <w:rFonts w:hint="eastAsia" w:ascii="宋体" w:hAnsi="宋体" w:eastAsia="宋体" w:cs="宋体"/>
          <w:b w:val="0"/>
          <w:bCs w:val="0"/>
          <w:color w:val="auto"/>
          <w:sz w:val="32"/>
          <w:szCs w:val="32"/>
          <w:lang w:val="en-US" w:eastAsia="zh-CN"/>
        </w:rPr>
        <w:t>；精准实施清淤清障，</w:t>
      </w:r>
      <w:r>
        <w:rPr>
          <w:rFonts w:hint="eastAsia" w:ascii="宋体" w:hAnsi="宋体" w:eastAsia="宋体" w:cs="宋体"/>
          <w:b w:val="0"/>
          <w:bCs w:val="0"/>
          <w:color w:val="auto"/>
          <w:kern w:val="0"/>
          <w:sz w:val="32"/>
          <w:szCs w:val="32"/>
          <w:lang w:val="en-US" w:eastAsia="zh-CN" w:bidi="ar"/>
        </w:rPr>
        <w:t>全面开展东湖流域水环境生态治理与修复项目，</w:t>
      </w:r>
      <w:r>
        <w:rPr>
          <w:rFonts w:hint="eastAsia" w:ascii="宋体" w:hAnsi="宋体" w:eastAsia="宋体" w:cs="宋体"/>
          <w:color w:val="auto"/>
          <w:sz w:val="32"/>
          <w:szCs w:val="32"/>
          <w:lang w:val="en-US" w:eastAsia="zh-CN"/>
        </w:rPr>
        <w:t>完成镇村两级沟渠疏洗29.6公里，八千沟、建闸沟硬化3.8公里，实时监测水质变化，</w:t>
      </w:r>
      <w:r>
        <w:rPr>
          <w:rFonts w:hint="eastAsia" w:ascii="宋体" w:hAnsi="宋体" w:eastAsia="宋体" w:cs="宋体"/>
          <w:b w:val="0"/>
          <w:bCs w:val="0"/>
          <w:color w:val="auto"/>
          <w:kern w:val="0"/>
          <w:sz w:val="32"/>
          <w:szCs w:val="32"/>
          <w:lang w:val="en-US" w:eastAsia="zh-CN" w:bidi="ar"/>
        </w:rPr>
        <w:t>农业用水问题持续改善；大力开展道路养护提质，完成道路挖补养护15公里，新修公路5.06公里，重要路口安装减速带72米，曝闪灯8个，安全标示标牌16个，曙光小学公路硬化、向阳街市场道路黑化等道路工程全部竣工，全镇道路交通品质安全更加完善。</w:t>
      </w:r>
    </w:p>
    <w:p>
      <w:pPr>
        <w:pStyle w:val="13"/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560" w:lineRule="exact"/>
        <w:ind w:left="0" w:right="0" w:firstLine="643"/>
        <w:jc w:val="both"/>
        <w:textAlignment w:val="auto"/>
        <w:rPr>
          <w:rFonts w:hint="eastAsia" w:ascii="宋体" w:hAnsi="宋体" w:eastAsia="宋体" w:cs="宋体"/>
          <w:b w:val="0"/>
          <w:bCs w:val="0"/>
          <w:color w:val="auto"/>
          <w:sz w:val="32"/>
          <w:szCs w:val="32"/>
        </w:rPr>
      </w:pPr>
      <w:r>
        <w:rPr>
          <w:rFonts w:hint="eastAsia" w:ascii="宋体" w:hAnsi="宋体" w:eastAsia="宋体" w:cs="宋体"/>
          <w:b w:val="0"/>
          <w:bCs w:val="0"/>
          <w:color w:val="auto"/>
          <w:sz w:val="32"/>
          <w:szCs w:val="32"/>
        </w:rPr>
        <w:t>一年来，我们固优补短、提档升级，</w:t>
      </w:r>
      <w:r>
        <w:rPr>
          <w:rFonts w:hint="eastAsia" w:ascii="宋体" w:hAnsi="宋体" w:eastAsia="宋体" w:cs="宋体"/>
          <w:b w:val="0"/>
          <w:bCs w:val="0"/>
          <w:color w:val="auto"/>
          <w:sz w:val="32"/>
          <w:szCs w:val="32"/>
          <w:lang w:eastAsia="zh-CN"/>
        </w:rPr>
        <w:t>生态环境</w:t>
      </w:r>
      <w:r>
        <w:rPr>
          <w:rFonts w:hint="eastAsia" w:ascii="宋体" w:hAnsi="宋体" w:eastAsia="宋体" w:cs="宋体"/>
          <w:b w:val="0"/>
          <w:bCs w:val="0"/>
          <w:color w:val="auto"/>
          <w:sz w:val="32"/>
          <w:szCs w:val="32"/>
        </w:rPr>
        <w:t>更新蝶变</w:t>
      </w:r>
    </w:p>
    <w:p>
      <w:pPr>
        <w:pStyle w:val="14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="0" w:afterAutospacing="0" w:line="560" w:lineRule="exact"/>
        <w:ind w:left="0" w:leftChars="0" w:firstLine="622" w:firstLineChars="200"/>
        <w:textAlignment w:val="auto"/>
        <w:rPr>
          <w:rFonts w:hint="eastAsia" w:ascii="宋体" w:hAnsi="宋体" w:eastAsia="宋体" w:cs="宋体"/>
          <w:b/>
          <w:bCs/>
          <w:color w:val="auto"/>
          <w:kern w:val="0"/>
          <w:sz w:val="32"/>
          <w:szCs w:val="32"/>
          <w:lang w:val="en-US" w:eastAsia="zh-CN" w:bidi="ar"/>
        </w:rPr>
      </w:pPr>
      <w:r>
        <w:rPr>
          <w:rFonts w:hint="eastAsia" w:ascii="宋体" w:hAnsi="宋体" w:eastAsia="宋体" w:cs="宋体"/>
          <w:b/>
          <w:bCs/>
          <w:color w:val="auto"/>
          <w:kern w:val="0"/>
          <w:sz w:val="31"/>
          <w:szCs w:val="31"/>
          <w:lang w:val="en-US" w:eastAsia="zh-CN" w:bidi="ar"/>
        </w:rPr>
        <w:t>一是东湖水系水环境治理取得新成效。</w:t>
      </w:r>
      <w:r>
        <w:rPr>
          <w:rFonts w:hint="eastAsia" w:ascii="宋体" w:hAnsi="宋体" w:eastAsia="宋体" w:cs="宋体"/>
          <w:color w:val="auto"/>
          <w:sz w:val="32"/>
          <w:szCs w:val="32"/>
          <w:lang w:val="en-US" w:eastAsia="zh-CN"/>
        </w:rPr>
        <w:t>以“三清零”目标，“三长”联合发力，推进东湖水系水环境系统治理。根据“人放天养”生态养殖原则和沿湖改养要求，</w:t>
      </w:r>
      <w:r>
        <w:rPr>
          <w:rFonts w:hint="eastAsia" w:ascii="宋体" w:hAnsi="宋体" w:eastAsia="宋体" w:cs="宋体"/>
          <w:b w:val="0"/>
          <w:bCs w:val="0"/>
          <w:color w:val="auto"/>
          <w:kern w:val="0"/>
          <w:sz w:val="32"/>
          <w:szCs w:val="32"/>
          <w:lang w:val="en-US" w:eastAsia="zh-CN" w:bidi="ar"/>
        </w:rPr>
        <w:t>东湖沿线千米范围内精养鱼池有序清退，</w:t>
      </w:r>
      <w:r>
        <w:rPr>
          <w:rFonts w:hint="eastAsia" w:ascii="宋体" w:hAnsi="宋体" w:eastAsia="宋体" w:cs="宋体"/>
          <w:b/>
          <w:bCs/>
          <w:color w:val="auto"/>
          <w:kern w:val="0"/>
          <w:sz w:val="32"/>
          <w:szCs w:val="32"/>
          <w:lang w:val="en-US" w:eastAsia="zh-CN" w:bidi="ar"/>
        </w:rPr>
        <w:t>实现</w:t>
      </w:r>
      <w:r>
        <w:rPr>
          <w:rFonts w:hint="eastAsia" w:ascii="宋体" w:hAnsi="宋体" w:eastAsia="宋体" w:cs="宋体"/>
          <w:b/>
          <w:bCs/>
          <w:color w:val="auto"/>
          <w:sz w:val="32"/>
          <w:szCs w:val="32"/>
          <w:lang w:val="en-US" w:eastAsia="zh-CN"/>
        </w:rPr>
        <w:t>养殖尾水直排清零</w:t>
      </w:r>
      <w:r>
        <w:rPr>
          <w:rFonts w:hint="eastAsia" w:ascii="宋体" w:hAnsi="宋体" w:eastAsia="宋体" w:cs="宋体"/>
          <w:b w:val="0"/>
          <w:bCs w:val="0"/>
          <w:color w:val="auto"/>
          <w:kern w:val="0"/>
          <w:sz w:val="32"/>
          <w:szCs w:val="32"/>
          <w:lang w:val="en-US" w:eastAsia="zh-CN" w:bidi="ar"/>
        </w:rPr>
        <w:t>；坚持综合治理，科学治理，拆除存量规模养殖场和散户养殖场，</w:t>
      </w:r>
      <w:r>
        <w:rPr>
          <w:rFonts w:hint="eastAsia" w:ascii="宋体" w:hAnsi="宋体" w:eastAsia="宋体" w:cs="宋体"/>
          <w:color w:val="auto"/>
          <w:sz w:val="32"/>
          <w:szCs w:val="32"/>
          <w:lang w:val="en-US" w:eastAsia="zh-CN"/>
        </w:rPr>
        <w:t>东湖沿线千米范围内畜禽产业全面退养，</w:t>
      </w:r>
      <w:r>
        <w:rPr>
          <w:rFonts w:hint="eastAsia" w:ascii="宋体" w:hAnsi="宋体" w:eastAsia="宋体" w:cs="宋体"/>
          <w:b/>
          <w:bCs/>
          <w:color w:val="auto"/>
          <w:kern w:val="0"/>
          <w:sz w:val="32"/>
          <w:szCs w:val="32"/>
          <w:lang w:val="en-US" w:eastAsia="zh-CN" w:bidi="ar"/>
        </w:rPr>
        <w:t>实现</w:t>
      </w:r>
      <w:r>
        <w:rPr>
          <w:rFonts w:hint="eastAsia" w:ascii="宋体" w:hAnsi="宋体" w:eastAsia="宋体" w:cs="宋体"/>
          <w:b/>
          <w:bCs/>
          <w:color w:val="auto"/>
          <w:sz w:val="32"/>
          <w:szCs w:val="32"/>
          <w:lang w:val="en-US" w:eastAsia="zh-CN"/>
        </w:rPr>
        <w:t>畜禽养殖清零</w:t>
      </w:r>
      <w:r>
        <w:rPr>
          <w:rFonts w:hint="eastAsia" w:ascii="宋体" w:hAnsi="宋体" w:eastAsia="宋体" w:cs="宋体"/>
          <w:b w:val="0"/>
          <w:bCs w:val="0"/>
          <w:color w:val="auto"/>
          <w:kern w:val="0"/>
          <w:sz w:val="32"/>
          <w:szCs w:val="32"/>
          <w:lang w:val="en-US" w:eastAsia="zh-CN" w:bidi="ar"/>
        </w:rPr>
        <w:t>；加强对污水处理厂、微动力处理设施的常态化管理，整改问题厕所157个，改建、新建厕所225个，</w:t>
      </w:r>
      <w:r>
        <w:rPr>
          <w:rFonts w:hint="eastAsia" w:ascii="宋体" w:hAnsi="宋体" w:eastAsia="宋体" w:cs="宋体"/>
          <w:b/>
          <w:bCs/>
          <w:color w:val="auto"/>
          <w:kern w:val="0"/>
          <w:sz w:val="32"/>
          <w:szCs w:val="32"/>
          <w:lang w:val="en-US" w:eastAsia="zh-CN" w:bidi="ar"/>
        </w:rPr>
        <w:t>实现污水直排清零。</w:t>
      </w:r>
    </w:p>
    <w:p>
      <w:pPr>
        <w:pStyle w:val="1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560" w:lineRule="exact"/>
        <w:ind w:left="0" w:right="0" w:firstLine="622" w:firstLineChars="200"/>
        <w:jc w:val="both"/>
        <w:rPr>
          <w:rFonts w:hint="eastAsia" w:ascii="宋体" w:hAnsi="宋体" w:eastAsia="宋体" w:cs="宋体"/>
          <w:color w:val="auto"/>
          <w:sz w:val="32"/>
          <w:szCs w:val="32"/>
          <w:lang w:eastAsia="zh-CN"/>
        </w:rPr>
      </w:pPr>
      <w:r>
        <w:rPr>
          <w:rStyle w:val="19"/>
          <w:rFonts w:hint="eastAsia" w:ascii="宋体" w:hAnsi="宋体" w:eastAsia="宋体" w:cs="宋体"/>
          <w:color w:val="auto"/>
          <w:spacing w:val="0"/>
          <w:sz w:val="31"/>
          <w:szCs w:val="31"/>
          <w:shd w:val="clear" w:color="auto" w:fill="FFFFFF"/>
          <w:lang w:eastAsia="zh-CN"/>
        </w:rPr>
        <w:t>二是农业面源污染展现新突破</w:t>
      </w:r>
      <w:r>
        <w:rPr>
          <w:rStyle w:val="19"/>
          <w:rFonts w:hint="eastAsia" w:ascii="宋体" w:hAnsi="宋体" w:eastAsia="宋体" w:cs="宋体"/>
          <w:color w:val="auto"/>
          <w:spacing w:val="0"/>
          <w:sz w:val="31"/>
          <w:szCs w:val="31"/>
          <w:shd w:val="clear" w:color="auto" w:fill="FFFFFF"/>
        </w:rPr>
        <w:t>。</w:t>
      </w:r>
      <w:r>
        <w:rPr>
          <w:rStyle w:val="19"/>
          <w:rFonts w:hint="eastAsia" w:ascii="宋体" w:hAnsi="宋体" w:eastAsia="宋体" w:cs="宋体"/>
          <w:b w:val="0"/>
          <w:bCs w:val="0"/>
          <w:color w:val="auto"/>
          <w:spacing w:val="0"/>
          <w:sz w:val="32"/>
          <w:szCs w:val="32"/>
          <w:shd w:val="clear" w:color="auto" w:fill="FFFFFF"/>
          <w:lang w:eastAsia="zh-CN"/>
        </w:rPr>
        <w:t>以“</w:t>
      </w:r>
      <w:r>
        <w:rPr>
          <w:rFonts w:hint="eastAsia" w:ascii="宋体" w:hAnsi="宋体" w:eastAsia="宋体" w:cs="宋体"/>
          <w:b w:val="0"/>
          <w:bCs w:val="0"/>
          <w:color w:val="auto"/>
          <w:sz w:val="32"/>
          <w:szCs w:val="32"/>
          <w:lang w:val="en-US" w:eastAsia="zh-CN"/>
        </w:rPr>
        <w:t>三聚焦</w:t>
      </w:r>
      <w:r>
        <w:rPr>
          <w:rStyle w:val="19"/>
          <w:rFonts w:hint="eastAsia" w:ascii="宋体" w:hAnsi="宋体" w:eastAsia="宋体" w:cs="宋体"/>
          <w:b w:val="0"/>
          <w:bCs w:val="0"/>
          <w:color w:val="auto"/>
          <w:spacing w:val="0"/>
          <w:sz w:val="32"/>
          <w:szCs w:val="32"/>
          <w:shd w:val="clear" w:color="auto" w:fill="FFFFFF"/>
          <w:lang w:eastAsia="zh-CN"/>
        </w:rPr>
        <w:t>”为抓手，深化网格治理体系，着力提升农业农村环境。</w:t>
      </w:r>
      <w:r>
        <w:rPr>
          <w:rFonts w:hint="eastAsia" w:ascii="宋体" w:hAnsi="宋体" w:eastAsia="宋体" w:cs="宋体"/>
          <w:b/>
          <w:bCs/>
          <w:color w:val="auto"/>
          <w:sz w:val="32"/>
          <w:szCs w:val="32"/>
          <w:lang w:val="en-US" w:eastAsia="zh-CN"/>
        </w:rPr>
        <w:t>聚焦垃圾分类处置，</w:t>
      </w:r>
      <w:r>
        <w:rPr>
          <w:rFonts w:hint="eastAsia" w:ascii="宋体" w:hAnsi="宋体" w:eastAsia="宋体" w:cs="宋体"/>
          <w:b w:val="0"/>
          <w:bCs w:val="0"/>
          <w:color w:val="auto"/>
          <w:sz w:val="32"/>
          <w:szCs w:val="32"/>
          <w:lang w:val="en-US" w:eastAsia="zh-CN"/>
        </w:rPr>
        <w:t>完善农村生活垃圾收集、转运、处置模式，增设垃圾裂解气化焚烧试点，垃圾处理运行管理水平不断提高；</w:t>
      </w:r>
      <w:r>
        <w:rPr>
          <w:rFonts w:hint="eastAsia" w:ascii="宋体" w:hAnsi="宋体" w:eastAsia="宋体" w:cs="宋体"/>
          <w:b/>
          <w:bCs/>
          <w:color w:val="auto"/>
          <w:sz w:val="32"/>
          <w:szCs w:val="32"/>
          <w:lang w:val="en-US" w:eastAsia="zh-CN"/>
        </w:rPr>
        <w:t>聚焦绿色有机提升，</w:t>
      </w:r>
      <w:r>
        <w:rPr>
          <w:rFonts w:hint="eastAsia" w:ascii="宋体" w:hAnsi="宋体" w:eastAsia="宋体" w:cs="宋体"/>
          <w:b w:val="0"/>
          <w:bCs w:val="0"/>
          <w:color w:val="auto"/>
          <w:sz w:val="32"/>
          <w:szCs w:val="32"/>
          <w:lang w:val="en-US" w:eastAsia="zh-CN"/>
        </w:rPr>
        <w:t>着力创建</w:t>
      </w:r>
      <w:r>
        <w:rPr>
          <w:rFonts w:hint="eastAsia" w:ascii="宋体" w:hAnsi="宋体" w:eastAsia="宋体" w:cs="宋体"/>
          <w:color w:val="auto"/>
          <w:sz w:val="32"/>
          <w:szCs w:val="32"/>
          <w:lang w:val="en-US" w:eastAsia="zh-CN"/>
        </w:rPr>
        <w:t>千和村</w:t>
      </w:r>
      <w:r>
        <w:rPr>
          <w:rFonts w:hint="eastAsia" w:ascii="宋体" w:hAnsi="宋体" w:eastAsia="宋体" w:cs="宋体"/>
          <w:color w:val="auto"/>
          <w:sz w:val="32"/>
          <w:szCs w:val="32"/>
        </w:rPr>
        <w:t>绿肥示范</w:t>
      </w:r>
      <w:r>
        <w:rPr>
          <w:rFonts w:hint="eastAsia" w:ascii="宋体" w:hAnsi="宋体" w:eastAsia="宋体" w:cs="宋体"/>
          <w:color w:val="auto"/>
          <w:sz w:val="32"/>
          <w:szCs w:val="32"/>
          <w:lang w:eastAsia="zh-CN"/>
        </w:rPr>
        <w:t>片、</w:t>
      </w:r>
      <w:r>
        <w:rPr>
          <w:rFonts w:hint="eastAsia" w:ascii="宋体" w:hAnsi="宋体" w:eastAsia="宋体" w:cs="宋体"/>
          <w:color w:val="auto"/>
          <w:sz w:val="32"/>
          <w:szCs w:val="32"/>
          <w:lang w:val="en-US" w:eastAsia="zh-CN"/>
        </w:rPr>
        <w:t>新联基地</w:t>
      </w:r>
      <w:r>
        <w:rPr>
          <w:rFonts w:hint="eastAsia" w:ascii="宋体" w:hAnsi="宋体" w:eastAsia="宋体" w:cs="宋体"/>
          <w:color w:val="auto"/>
          <w:sz w:val="32"/>
          <w:szCs w:val="32"/>
          <w:lang w:eastAsia="zh-CN"/>
        </w:rPr>
        <w:t>有机肥</w:t>
      </w:r>
      <w:r>
        <w:rPr>
          <w:rFonts w:hint="eastAsia" w:ascii="宋体" w:hAnsi="宋体" w:eastAsia="宋体" w:cs="宋体"/>
          <w:color w:val="auto"/>
          <w:sz w:val="32"/>
          <w:szCs w:val="32"/>
          <w:lang w:val="en-US" w:eastAsia="zh-CN"/>
        </w:rPr>
        <w:t>施用片，有机肥料使用量较上年分别提升10%、25%，</w:t>
      </w:r>
      <w:r>
        <w:rPr>
          <w:rFonts w:hint="eastAsia" w:ascii="宋体" w:hAnsi="宋体" w:eastAsia="宋体" w:cs="宋体"/>
          <w:color w:val="auto"/>
          <w:sz w:val="32"/>
          <w:szCs w:val="32"/>
        </w:rPr>
        <w:t>肥料施打结构</w:t>
      </w:r>
      <w:r>
        <w:rPr>
          <w:rFonts w:hint="eastAsia" w:ascii="宋体" w:hAnsi="宋体" w:eastAsia="宋体" w:cs="宋体"/>
          <w:color w:val="auto"/>
          <w:sz w:val="32"/>
          <w:szCs w:val="32"/>
          <w:lang w:eastAsia="zh-CN"/>
        </w:rPr>
        <w:t>明显改善。</w:t>
      </w:r>
      <w:r>
        <w:rPr>
          <w:rFonts w:hint="eastAsia" w:ascii="宋体" w:hAnsi="宋体" w:eastAsia="宋体" w:cs="宋体"/>
          <w:b/>
          <w:bCs/>
          <w:color w:val="auto"/>
          <w:sz w:val="32"/>
          <w:szCs w:val="32"/>
          <w:lang w:val="en-US" w:eastAsia="zh-CN"/>
        </w:rPr>
        <w:t>聚焦农药化肥减量，</w:t>
      </w:r>
      <w:r>
        <w:rPr>
          <w:rFonts w:hint="eastAsia" w:ascii="宋体" w:hAnsi="宋体" w:eastAsia="宋体" w:cs="宋体"/>
          <w:b w:val="0"/>
          <w:bCs w:val="0"/>
          <w:color w:val="auto"/>
          <w:sz w:val="32"/>
          <w:szCs w:val="32"/>
          <w:lang w:val="en-US" w:eastAsia="zh-CN"/>
        </w:rPr>
        <w:t>科学</w:t>
      </w:r>
      <w:r>
        <w:rPr>
          <w:rFonts w:hint="eastAsia" w:ascii="宋体" w:hAnsi="宋体" w:eastAsia="宋体" w:cs="宋体"/>
          <w:color w:val="auto"/>
          <w:sz w:val="32"/>
          <w:szCs w:val="32"/>
        </w:rPr>
        <w:t>开展测土配方施肥</w:t>
      </w:r>
      <w:r>
        <w:rPr>
          <w:rFonts w:hint="eastAsia" w:ascii="宋体" w:hAnsi="宋体" w:eastAsia="宋体" w:cs="宋体"/>
          <w:color w:val="auto"/>
          <w:sz w:val="32"/>
          <w:szCs w:val="32"/>
          <w:lang w:eastAsia="zh-CN"/>
        </w:rPr>
        <w:t>、</w:t>
      </w:r>
      <w:r>
        <w:rPr>
          <w:rFonts w:hint="eastAsia" w:ascii="宋体" w:hAnsi="宋体" w:eastAsia="宋体" w:cs="宋体"/>
          <w:color w:val="auto"/>
          <w:sz w:val="32"/>
          <w:szCs w:val="32"/>
        </w:rPr>
        <w:t>飞防</w:t>
      </w:r>
      <w:r>
        <w:rPr>
          <w:rFonts w:hint="eastAsia" w:ascii="宋体" w:hAnsi="宋体" w:eastAsia="宋体" w:cs="宋体"/>
          <w:color w:val="auto"/>
          <w:sz w:val="32"/>
          <w:szCs w:val="32"/>
          <w:lang w:val="en-US" w:eastAsia="zh-CN"/>
        </w:rPr>
        <w:t>作业等技术</w:t>
      </w:r>
      <w:r>
        <w:rPr>
          <w:rFonts w:hint="eastAsia" w:ascii="宋体" w:hAnsi="宋体" w:eastAsia="宋体" w:cs="宋体"/>
          <w:color w:val="auto"/>
          <w:sz w:val="32"/>
          <w:szCs w:val="32"/>
          <w:lang w:eastAsia="zh-CN"/>
        </w:rPr>
        <w:t>，</w:t>
      </w:r>
      <w:r>
        <w:rPr>
          <w:rFonts w:hint="eastAsia" w:ascii="宋体" w:hAnsi="宋体" w:eastAsia="宋体" w:cs="宋体"/>
          <w:color w:val="auto"/>
          <w:sz w:val="32"/>
          <w:szCs w:val="32"/>
        </w:rPr>
        <w:t>全面普及高效低毒农药</w:t>
      </w:r>
      <w:r>
        <w:rPr>
          <w:rFonts w:hint="eastAsia" w:ascii="宋体" w:hAnsi="宋体" w:eastAsia="宋体" w:cs="宋体"/>
          <w:color w:val="auto"/>
          <w:sz w:val="32"/>
          <w:szCs w:val="32"/>
          <w:lang w:eastAsia="zh-CN"/>
        </w:rPr>
        <w:t>，</w:t>
      </w:r>
      <w:r>
        <w:rPr>
          <w:rFonts w:hint="eastAsia" w:ascii="宋体" w:hAnsi="宋体" w:eastAsia="宋体" w:cs="宋体"/>
          <w:color w:val="auto"/>
          <w:sz w:val="32"/>
          <w:szCs w:val="32"/>
        </w:rPr>
        <w:t>有效实现化肥减量增效</w:t>
      </w:r>
      <w:r>
        <w:rPr>
          <w:rFonts w:hint="eastAsia" w:ascii="宋体" w:hAnsi="宋体" w:eastAsia="宋体" w:cs="宋体"/>
          <w:color w:val="auto"/>
          <w:sz w:val="32"/>
          <w:szCs w:val="32"/>
          <w:lang w:eastAsia="zh-CN"/>
        </w:rPr>
        <w:t>。</w:t>
      </w:r>
    </w:p>
    <w:p>
      <w:pPr>
        <w:pStyle w:val="26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line="560" w:lineRule="exact"/>
        <w:rPr>
          <w:rFonts w:hint="eastAsia" w:ascii="宋体" w:hAnsi="宋体" w:eastAsia="宋体" w:cs="宋体"/>
          <w:b w:val="0"/>
          <w:bCs w:val="0"/>
          <w:color w:val="auto"/>
          <w:kern w:val="0"/>
          <w:sz w:val="32"/>
          <w:szCs w:val="32"/>
          <w:lang w:val="en-US" w:eastAsia="zh-CN" w:bidi="ar"/>
        </w:rPr>
      </w:pPr>
      <w:r>
        <w:rPr>
          <w:rFonts w:hint="eastAsia" w:ascii="宋体" w:hAnsi="宋体" w:eastAsia="宋体" w:cs="宋体"/>
          <w:b/>
          <w:bCs/>
          <w:color w:val="auto"/>
          <w:kern w:val="2"/>
          <w:sz w:val="32"/>
          <w:szCs w:val="32"/>
          <w:lang w:val="en-US" w:eastAsia="zh-CN" w:bidi="ar"/>
        </w:rPr>
        <w:t>三是秸秆垃圾禁烧形成新常态。</w:t>
      </w:r>
      <w:r>
        <w:rPr>
          <w:rFonts w:hint="eastAsia" w:ascii="宋体" w:hAnsi="宋体" w:eastAsia="宋体" w:cs="宋体"/>
          <w:b w:val="0"/>
          <w:bCs w:val="0"/>
          <w:color w:val="auto"/>
          <w:sz w:val="32"/>
          <w:szCs w:val="32"/>
          <w:lang w:val="en-US" w:eastAsia="zh-CN"/>
        </w:rPr>
        <w:t>强化“四个不漏”宣传和三级网络巡查机制，动员镇村干部全员上马、全力以赴、全天候巡查，燃烧火点即发现即扑灭；加强执法队伍巡查执法，以“从快从严从重”原则对移交</w:t>
      </w:r>
      <w:r>
        <w:rPr>
          <w:rFonts w:hint="eastAsia" w:ascii="宋体" w:hAnsi="宋体" w:eastAsia="宋体" w:cs="宋体"/>
          <w:color w:val="auto"/>
          <w:sz w:val="32"/>
          <w:szCs w:val="32"/>
          <w:lang w:val="en-US" w:eastAsia="zh-CN"/>
        </w:rPr>
        <w:t>案件予以立案，</w:t>
      </w:r>
      <w:r>
        <w:rPr>
          <w:rFonts w:hint="eastAsia" w:ascii="宋体" w:hAnsi="宋体" w:eastAsia="宋体" w:cs="宋体"/>
          <w:b w:val="0"/>
          <w:bCs w:val="0"/>
          <w:color w:val="auto"/>
          <w:kern w:val="0"/>
          <w:sz w:val="32"/>
          <w:szCs w:val="32"/>
          <w:lang w:val="en-US" w:eastAsia="zh-CN" w:bidi="ar"/>
        </w:rPr>
        <w:t>对非法燃烧秸秆、垃圾，屡禁不止的个人和企业进行依法查处；</w:t>
      </w:r>
      <w:r>
        <w:rPr>
          <w:rFonts w:hint="eastAsia" w:ascii="宋体" w:hAnsi="宋体" w:eastAsia="宋体" w:cs="宋体"/>
          <w:color w:val="auto"/>
          <w:sz w:val="32"/>
          <w:szCs w:val="32"/>
          <w:lang w:val="en-US" w:eastAsia="zh-CN"/>
        </w:rPr>
        <w:t>增购秸秆打捆机、低茬收割机，促进</w:t>
      </w:r>
      <w:r>
        <w:rPr>
          <w:rFonts w:hint="eastAsia" w:ascii="宋体" w:hAnsi="宋体" w:eastAsia="宋体" w:cs="宋体"/>
          <w:color w:val="auto"/>
          <w:sz w:val="32"/>
          <w:szCs w:val="32"/>
          <w:lang w:val="zh-CN" w:eastAsia="zh-CN"/>
        </w:rPr>
        <w:t>秸秆肥料化、饲料化、燃料化、原料化和基料化</w:t>
      </w:r>
      <w:r>
        <w:rPr>
          <w:rFonts w:hint="eastAsia" w:ascii="宋体" w:hAnsi="宋体" w:eastAsia="宋体" w:cs="宋体"/>
          <w:color w:val="auto"/>
          <w:sz w:val="32"/>
          <w:szCs w:val="32"/>
          <w:lang w:val="en-US" w:eastAsia="zh-CN"/>
        </w:rPr>
        <w:t>处理，秸秆综合利用水平有效提升。</w:t>
      </w:r>
    </w:p>
    <w:p>
      <w:pPr>
        <w:pStyle w:val="13"/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560" w:lineRule="exact"/>
        <w:ind w:left="0" w:right="0" w:firstLine="643"/>
        <w:jc w:val="both"/>
        <w:textAlignment w:val="auto"/>
        <w:rPr>
          <w:rFonts w:hint="eastAsia" w:ascii="宋体" w:hAnsi="宋体" w:eastAsia="宋体" w:cs="宋体"/>
          <w:b w:val="0"/>
          <w:bCs w:val="0"/>
          <w:color w:val="auto"/>
          <w:sz w:val="32"/>
          <w:szCs w:val="32"/>
        </w:rPr>
      </w:pPr>
      <w:r>
        <w:rPr>
          <w:rFonts w:hint="eastAsia" w:ascii="宋体" w:hAnsi="宋体" w:eastAsia="宋体" w:cs="宋体"/>
          <w:b w:val="0"/>
          <w:bCs w:val="0"/>
          <w:color w:val="auto"/>
          <w:sz w:val="32"/>
          <w:szCs w:val="32"/>
        </w:rPr>
        <w:t>一年来，我们</w:t>
      </w:r>
      <w:r>
        <w:rPr>
          <w:rFonts w:hint="eastAsia" w:ascii="宋体" w:hAnsi="宋体" w:eastAsia="宋体" w:cs="宋体"/>
          <w:b w:val="0"/>
          <w:bCs w:val="0"/>
          <w:color w:val="auto"/>
          <w:sz w:val="32"/>
          <w:szCs w:val="32"/>
          <w:lang w:eastAsia="zh-CN"/>
        </w:rPr>
        <w:t>牵挂</w:t>
      </w:r>
      <w:r>
        <w:rPr>
          <w:rFonts w:hint="eastAsia" w:ascii="宋体" w:hAnsi="宋体" w:eastAsia="宋体" w:cs="宋体"/>
          <w:b w:val="0"/>
          <w:bCs w:val="0"/>
          <w:color w:val="auto"/>
          <w:sz w:val="32"/>
          <w:szCs w:val="32"/>
        </w:rPr>
        <w:t>民</w:t>
      </w:r>
      <w:r>
        <w:rPr>
          <w:rFonts w:hint="eastAsia" w:ascii="宋体" w:hAnsi="宋体" w:eastAsia="宋体" w:cs="宋体"/>
          <w:b w:val="0"/>
          <w:bCs w:val="0"/>
          <w:color w:val="auto"/>
          <w:sz w:val="32"/>
          <w:szCs w:val="32"/>
          <w:lang w:eastAsia="zh-CN"/>
        </w:rPr>
        <w:t>心</w:t>
      </w:r>
      <w:r>
        <w:rPr>
          <w:rFonts w:hint="eastAsia" w:ascii="宋体" w:hAnsi="宋体" w:eastAsia="宋体" w:cs="宋体"/>
          <w:b w:val="0"/>
          <w:bCs w:val="0"/>
          <w:color w:val="auto"/>
          <w:sz w:val="32"/>
          <w:szCs w:val="32"/>
        </w:rPr>
        <w:t>、</w:t>
      </w:r>
      <w:r>
        <w:rPr>
          <w:rFonts w:hint="eastAsia" w:ascii="宋体" w:hAnsi="宋体" w:eastAsia="宋体" w:cs="宋体"/>
          <w:b w:val="0"/>
          <w:bCs/>
          <w:kern w:val="0"/>
          <w:sz w:val="32"/>
          <w:szCs w:val="32"/>
        </w:rPr>
        <w:t>守望相助，</w:t>
      </w:r>
      <w:r>
        <w:rPr>
          <w:rFonts w:hint="eastAsia" w:ascii="宋体" w:hAnsi="宋体" w:eastAsia="宋体" w:cs="宋体"/>
          <w:b w:val="0"/>
          <w:bCs w:val="0"/>
          <w:color w:val="auto"/>
          <w:sz w:val="32"/>
          <w:szCs w:val="32"/>
        </w:rPr>
        <w:t>民生福祉有效改善</w:t>
      </w:r>
    </w:p>
    <w:p>
      <w:pPr>
        <w:pStyle w:val="13"/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560" w:lineRule="exact"/>
        <w:ind w:left="0" w:right="0" w:firstLine="643"/>
        <w:jc w:val="both"/>
        <w:textAlignment w:val="auto"/>
        <w:rPr>
          <w:rFonts w:hint="eastAsia" w:ascii="宋体" w:hAnsi="宋体" w:eastAsia="宋体" w:cs="宋体"/>
          <w:b w:val="0"/>
          <w:bCs w:val="0"/>
          <w:color w:val="auto"/>
          <w:kern w:val="0"/>
          <w:sz w:val="32"/>
          <w:szCs w:val="32"/>
          <w:lang w:val="en-US" w:eastAsia="zh-CN" w:bidi="ar"/>
        </w:rPr>
      </w:pPr>
      <w:r>
        <w:rPr>
          <w:rFonts w:hint="eastAsia" w:ascii="宋体" w:hAnsi="宋体" w:eastAsia="宋体" w:cs="宋体"/>
          <w:b/>
          <w:bCs/>
          <w:color w:val="auto"/>
          <w:kern w:val="0"/>
          <w:sz w:val="32"/>
          <w:szCs w:val="32"/>
          <w:lang w:val="en-US" w:eastAsia="zh-CN" w:bidi="ar"/>
        </w:rPr>
        <w:t>一是兜底保障扎实开展。</w:t>
      </w:r>
      <w:r>
        <w:rPr>
          <w:rFonts w:hint="eastAsia" w:ascii="宋体" w:hAnsi="宋体" w:eastAsia="宋体" w:cs="宋体"/>
          <w:b w:val="0"/>
          <w:bCs w:val="0"/>
          <w:color w:val="auto"/>
          <w:kern w:val="0"/>
          <w:sz w:val="32"/>
          <w:szCs w:val="32"/>
          <w:lang w:val="en-US" w:eastAsia="zh-CN" w:bidi="ar"/>
        </w:rPr>
        <w:t>持续巩固脱贫攻坚成果，加强返贫致贫风险和突发严重困难等群众的监测帮扶，及时消除风险，坚决守住不发生规模性返贫的底线。2023年共纳入产业帮扶257人次、新增公益岗位48人次；完成社保缴费任务6737人次，新增社保扩面213人次，完成医保缴费任务18772人次；落实脱贫户、监测户家庭医生签约服务189人次，“雨露计划”补助40人次，对义务教育阶段的困难学生开展送教上门服务，“两不愁三保障”成果进一步巩固。</w:t>
      </w:r>
    </w:p>
    <w:p>
      <w:pPr>
        <w:pStyle w:val="13"/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560" w:lineRule="exact"/>
        <w:ind w:left="0" w:right="0" w:firstLine="643"/>
        <w:jc w:val="both"/>
        <w:textAlignment w:val="auto"/>
        <w:rPr>
          <w:rFonts w:hint="eastAsia" w:ascii="宋体" w:hAnsi="宋体" w:eastAsia="宋体" w:cs="宋体"/>
          <w:b w:val="0"/>
          <w:bCs w:val="0"/>
          <w:color w:val="auto"/>
          <w:kern w:val="0"/>
          <w:sz w:val="32"/>
          <w:szCs w:val="32"/>
          <w:lang w:val="en-US" w:eastAsia="zh-CN" w:bidi="ar"/>
        </w:rPr>
      </w:pPr>
      <w:r>
        <w:rPr>
          <w:rFonts w:hint="eastAsia" w:ascii="宋体" w:hAnsi="宋体" w:eastAsia="宋体" w:cs="宋体"/>
          <w:b/>
          <w:bCs/>
          <w:kern w:val="0"/>
          <w:sz w:val="32"/>
          <w:szCs w:val="32"/>
          <w:lang w:val="en-US" w:eastAsia="zh-CN" w:bidi="ar"/>
        </w:rPr>
        <w:t>二是教育质量大步跨越。</w:t>
      </w:r>
      <w:r>
        <w:rPr>
          <w:rFonts w:hint="eastAsia" w:ascii="宋体" w:hAnsi="宋体" w:eastAsia="宋体" w:cs="宋体"/>
          <w:b w:val="0"/>
          <w:bCs w:val="0"/>
          <w:color w:val="auto"/>
          <w:kern w:val="0"/>
          <w:sz w:val="32"/>
          <w:szCs w:val="32"/>
          <w:lang w:val="en-US" w:eastAsia="zh-CN" w:bidi="ar"/>
        </w:rPr>
        <w:t>紧盯校园安全和教育质量，争取资金600余万元，完成插旗中学文体设施提质、教学楼加固、校园环境绿化等项目，</w:t>
      </w:r>
      <w:r>
        <w:rPr>
          <w:rFonts w:hint="eastAsia" w:ascii="宋体" w:hAnsi="宋体" w:eastAsia="宋体" w:cs="宋体"/>
          <w:b w:val="0"/>
          <w:bCs w:val="0"/>
          <w:color w:val="auto"/>
          <w:kern w:val="0"/>
          <w:sz w:val="32"/>
          <w:szCs w:val="32"/>
          <w:lang w:val="zh-TW" w:eastAsia="zh-TW" w:bidi="ar"/>
        </w:rPr>
        <w:t>办学条件切实改善</w:t>
      </w:r>
      <w:r>
        <w:rPr>
          <w:rFonts w:hint="eastAsia" w:ascii="宋体" w:hAnsi="宋体" w:eastAsia="宋体" w:cs="宋体"/>
          <w:b w:val="0"/>
          <w:bCs w:val="0"/>
          <w:color w:val="auto"/>
          <w:kern w:val="0"/>
          <w:sz w:val="32"/>
          <w:szCs w:val="32"/>
          <w:lang w:val="zh-TW" w:eastAsia="zh-CN" w:bidi="ar"/>
        </w:rPr>
        <w:t>；大力开展校园禁毒、防溺水、校车安全、食品卫生等“大手牵小手”活动，校园安全意识深入人心。</w:t>
      </w:r>
      <w:r>
        <w:rPr>
          <w:rFonts w:hint="eastAsia" w:ascii="宋体" w:hAnsi="宋体" w:eastAsia="宋体" w:cs="宋体"/>
          <w:b w:val="0"/>
          <w:bCs w:val="0"/>
          <w:color w:val="auto"/>
          <w:kern w:val="0"/>
          <w:sz w:val="32"/>
          <w:szCs w:val="32"/>
          <w:lang w:val="en-US" w:eastAsia="zh-CN" w:bidi="ar"/>
        </w:rPr>
        <w:t>2023年，中学荣获</w:t>
      </w:r>
      <w:r>
        <w:rPr>
          <w:rFonts w:hint="eastAsia" w:ascii="宋体" w:hAnsi="宋体" w:eastAsia="宋体" w:cs="宋体"/>
          <w:b w:val="0"/>
          <w:bCs w:val="0"/>
          <w:color w:val="auto"/>
          <w:kern w:val="0"/>
          <w:sz w:val="32"/>
          <w:szCs w:val="32"/>
          <w:lang w:val="zh-TW" w:eastAsia="zh-TW" w:bidi="ar"/>
        </w:rPr>
        <w:t>市级文明校园，县级德育工作先进单位</w:t>
      </w:r>
      <w:r>
        <w:rPr>
          <w:rFonts w:hint="eastAsia" w:ascii="宋体" w:hAnsi="宋体" w:eastAsia="宋体" w:cs="宋体"/>
          <w:b w:val="0"/>
          <w:bCs w:val="0"/>
          <w:color w:val="auto"/>
          <w:kern w:val="0"/>
          <w:sz w:val="32"/>
          <w:szCs w:val="32"/>
          <w:lang w:val="zh-TW" w:eastAsia="zh-CN" w:bidi="ar"/>
        </w:rPr>
        <w:t>、</w:t>
      </w:r>
      <w:r>
        <w:rPr>
          <w:rFonts w:hint="eastAsia" w:ascii="宋体" w:hAnsi="宋体" w:eastAsia="宋体" w:cs="宋体"/>
          <w:b w:val="0"/>
          <w:bCs w:val="0"/>
          <w:color w:val="auto"/>
          <w:kern w:val="0"/>
          <w:sz w:val="32"/>
          <w:szCs w:val="32"/>
          <w:lang w:val="zh-TW" w:eastAsia="zh-TW" w:bidi="ar"/>
        </w:rPr>
        <w:t>三园建设先进单位、安全工作先进单位等</w:t>
      </w:r>
      <w:r>
        <w:rPr>
          <w:rFonts w:hint="eastAsia" w:ascii="宋体" w:hAnsi="宋体" w:eastAsia="宋体" w:cs="宋体"/>
          <w:b w:val="0"/>
          <w:bCs w:val="0"/>
          <w:color w:val="auto"/>
          <w:kern w:val="0"/>
          <w:sz w:val="32"/>
          <w:szCs w:val="32"/>
          <w:lang w:val="zh-TW" w:eastAsia="zh-CN" w:bidi="ar"/>
        </w:rPr>
        <w:t>荣誉</w:t>
      </w:r>
      <w:r>
        <w:rPr>
          <w:rFonts w:hint="eastAsia" w:ascii="宋体" w:hAnsi="宋体" w:eastAsia="宋体" w:cs="宋体"/>
          <w:b w:val="0"/>
          <w:bCs w:val="0"/>
          <w:color w:val="auto"/>
          <w:kern w:val="0"/>
          <w:sz w:val="32"/>
          <w:szCs w:val="32"/>
          <w:lang w:val="en-US" w:eastAsia="zh-CN" w:bidi="ar"/>
        </w:rPr>
        <w:t>。</w:t>
      </w:r>
    </w:p>
    <w:p>
      <w:pPr>
        <w:keepNext w:val="0"/>
        <w:keepLines w:val="0"/>
        <w:widowControl/>
        <w:suppressLineNumbers w:val="0"/>
        <w:spacing w:before="0" w:beforeAutospacing="0" w:after="0" w:afterAutospacing="0" w:line="560" w:lineRule="exact"/>
        <w:ind w:left="0" w:leftChars="0" w:right="0" w:firstLine="643" w:firstLineChars="200"/>
        <w:jc w:val="left"/>
        <w:rPr>
          <w:rFonts w:hint="eastAsia" w:ascii="宋体" w:hAnsi="宋体" w:eastAsia="宋体" w:cs="宋体"/>
          <w:b w:val="0"/>
          <w:bCs w:val="0"/>
          <w:color w:val="auto"/>
          <w:kern w:val="0"/>
          <w:sz w:val="32"/>
          <w:szCs w:val="32"/>
          <w:lang w:val="en-US" w:eastAsia="zh-CN" w:bidi="ar"/>
        </w:rPr>
      </w:pPr>
      <w:r>
        <w:rPr>
          <w:rFonts w:hint="eastAsia" w:ascii="宋体" w:hAnsi="宋体" w:eastAsia="宋体" w:cs="宋体"/>
          <w:b/>
          <w:bCs/>
          <w:kern w:val="0"/>
          <w:sz w:val="32"/>
          <w:szCs w:val="32"/>
          <w:lang w:val="en-US" w:eastAsia="zh-CN" w:bidi="ar"/>
        </w:rPr>
        <w:t>三是精神文明全面提升。</w:t>
      </w:r>
      <w:r>
        <w:rPr>
          <w:rFonts w:hint="eastAsia" w:ascii="宋体" w:hAnsi="宋体" w:eastAsia="宋体" w:cs="宋体"/>
          <w:kern w:val="0"/>
          <w:sz w:val="32"/>
          <w:szCs w:val="32"/>
          <w:lang w:val="en-US" w:eastAsia="zh-CN" w:bidi="ar"/>
        </w:rPr>
        <w:t>结合重大节日，策划开展各类主题活动。全年开展政策宣讲、环境卫生整治等志愿服务活动100多场次，志愿服务品牌持续擦亮。积极倡导厚养薄葬文明新风,专项治理高价彩礼问题，持续推动移风易俗。通过乡友资助，建设注北村、同福村、大湾村文化健身广场，获得群众一致好评；元旦晚会时隔两年重新举办，创新开展网络直播，观看人数突破15万人次。</w:t>
      </w:r>
    </w:p>
    <w:p>
      <w:pPr>
        <w:pStyle w:val="4"/>
        <w:keepNext w:val="0"/>
        <w:keepLines w:val="0"/>
        <w:widowControl/>
        <w:suppressLineNumbers w:val="0"/>
        <w:spacing w:before="0" w:beforeAutospacing="0" w:after="0" w:afterAutospacing="0" w:line="560" w:lineRule="exact"/>
        <w:ind w:left="0" w:firstLine="640" w:firstLineChars="200"/>
        <w:jc w:val="left"/>
        <w:rPr>
          <w:rFonts w:hint="eastAsia" w:ascii="宋体" w:hAnsi="宋体" w:eastAsia="宋体" w:cs="宋体"/>
          <w:b w:val="0"/>
          <w:bCs/>
          <w:kern w:val="0"/>
          <w:sz w:val="32"/>
          <w:szCs w:val="32"/>
          <w:lang w:val="en-US" w:eastAsia="zh-CN"/>
        </w:rPr>
      </w:pPr>
      <w:r>
        <w:rPr>
          <w:rFonts w:hint="eastAsia" w:ascii="宋体" w:hAnsi="宋体" w:eastAsia="宋体" w:cs="宋体"/>
          <w:b w:val="0"/>
          <w:bCs/>
          <w:kern w:val="0"/>
          <w:sz w:val="32"/>
          <w:szCs w:val="32"/>
        </w:rPr>
        <w:t>一年来，我们群策群力、</w:t>
      </w:r>
      <w:r>
        <w:rPr>
          <w:rFonts w:hint="eastAsia" w:ascii="宋体" w:hAnsi="宋体" w:eastAsia="宋体" w:cs="宋体"/>
          <w:b w:val="0"/>
          <w:bCs w:val="0"/>
          <w:color w:val="auto"/>
          <w:sz w:val="32"/>
          <w:szCs w:val="32"/>
          <w:lang w:eastAsia="zh-CN"/>
        </w:rPr>
        <w:t>严防风险</w:t>
      </w:r>
      <w:r>
        <w:rPr>
          <w:rFonts w:hint="eastAsia" w:ascii="宋体" w:hAnsi="宋体" w:eastAsia="宋体" w:cs="宋体"/>
          <w:b w:val="0"/>
          <w:bCs w:val="0"/>
          <w:color w:val="auto"/>
          <w:sz w:val="32"/>
          <w:szCs w:val="32"/>
        </w:rPr>
        <w:t>，</w:t>
      </w:r>
      <w:r>
        <w:rPr>
          <w:rFonts w:hint="eastAsia" w:ascii="宋体" w:hAnsi="宋体" w:eastAsia="宋体" w:cs="宋体"/>
          <w:b w:val="0"/>
          <w:bCs/>
          <w:kern w:val="0"/>
          <w:sz w:val="32"/>
          <w:szCs w:val="32"/>
        </w:rPr>
        <w:t>社会大局和谐稳定</w:t>
      </w:r>
    </w:p>
    <w:p>
      <w:pPr>
        <w:keepNext w:val="0"/>
        <w:keepLines w:val="0"/>
        <w:widowControl/>
        <w:suppressLineNumbers w:val="0"/>
        <w:spacing w:before="0" w:beforeAutospacing="0" w:after="0" w:afterAutospacing="0" w:line="560" w:lineRule="exact"/>
        <w:ind w:left="0" w:leftChars="0" w:right="0" w:firstLine="643" w:firstLineChars="200"/>
        <w:jc w:val="left"/>
        <w:rPr>
          <w:rFonts w:hint="eastAsia" w:ascii="宋体" w:hAnsi="宋体" w:eastAsia="宋体" w:cs="宋体"/>
          <w:b/>
          <w:bCs/>
          <w:color w:val="auto"/>
          <w:kern w:val="0"/>
          <w:sz w:val="32"/>
          <w:szCs w:val="32"/>
          <w:lang w:val="en-US" w:eastAsia="zh-CN" w:bidi="ar"/>
        </w:rPr>
      </w:pPr>
      <w:r>
        <w:rPr>
          <w:rFonts w:hint="eastAsia" w:ascii="宋体" w:hAnsi="宋体" w:eastAsia="宋体" w:cs="宋体"/>
          <w:b/>
          <w:bCs/>
          <w:color w:val="auto"/>
          <w:kern w:val="0"/>
          <w:sz w:val="32"/>
          <w:szCs w:val="32"/>
          <w:lang w:val="en-US" w:eastAsia="zh-CN" w:bidi="ar"/>
        </w:rPr>
        <w:t>一是平安建设精准发力。</w:t>
      </w:r>
      <w:r>
        <w:rPr>
          <w:rFonts w:hint="eastAsia" w:ascii="宋体" w:hAnsi="宋体" w:eastAsia="宋体" w:cs="宋体"/>
          <w:kern w:val="0"/>
          <w:sz w:val="32"/>
          <w:szCs w:val="32"/>
          <w:lang w:val="en-US" w:eastAsia="zh-CN" w:bidi="ar"/>
        </w:rPr>
        <w:t>常态化开展平安创建、防范电信网络诈骗、扫黑除恶、禁毒清源断流等专项斗争，</w:t>
      </w:r>
      <w:r>
        <w:rPr>
          <w:rFonts w:hint="eastAsia" w:ascii="宋体" w:hAnsi="宋体" w:eastAsia="宋体" w:cs="宋体"/>
          <w:b w:val="0"/>
          <w:bCs w:val="0"/>
          <w:color w:val="auto"/>
          <w:kern w:val="0"/>
          <w:sz w:val="32"/>
          <w:szCs w:val="32"/>
          <w:lang w:val="en-US" w:eastAsia="zh-CN" w:bidi="ar"/>
        </w:rPr>
        <w:t>全年共排查化解各类矛盾纠纷52起，破获各类刑事案件2起，查处行政案件18起，行政拘留、处罚6人；落实禁毒管控责任，推进社区戒毒人员管控和“四项排查”，强化重点场所宣传教育，形成“全面抵制毒品、全民参与禁毒”的良好社会氛围。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560" w:lineRule="exact"/>
        <w:ind w:left="0" w:leftChars="0" w:right="0" w:firstLine="643" w:firstLineChars="200"/>
        <w:jc w:val="left"/>
        <w:textAlignment w:val="auto"/>
        <w:rPr>
          <w:rFonts w:hint="eastAsia" w:ascii="宋体" w:hAnsi="宋体" w:eastAsia="宋体" w:cs="宋体"/>
          <w:b w:val="0"/>
          <w:bCs w:val="0"/>
          <w:color w:val="auto"/>
          <w:kern w:val="0"/>
          <w:sz w:val="32"/>
          <w:szCs w:val="32"/>
          <w:lang w:val="en-US" w:eastAsia="zh-CN" w:bidi="ar"/>
        </w:rPr>
      </w:pPr>
      <w:r>
        <w:rPr>
          <w:rFonts w:hint="eastAsia" w:ascii="宋体" w:hAnsi="宋体" w:eastAsia="宋体" w:cs="宋体"/>
          <w:b/>
          <w:bCs/>
          <w:color w:val="auto"/>
          <w:kern w:val="0"/>
          <w:sz w:val="32"/>
          <w:szCs w:val="32"/>
          <w:lang w:val="en-US" w:eastAsia="zh-CN" w:bidi="ar"/>
        </w:rPr>
        <w:t>二是安全风险有效化解。</w:t>
      </w:r>
      <w:r>
        <w:rPr>
          <w:rFonts w:hint="eastAsia" w:ascii="宋体" w:hAnsi="宋体" w:eastAsia="宋体" w:cs="宋体"/>
          <w:b w:val="0"/>
          <w:bCs w:val="0"/>
          <w:color w:val="auto"/>
          <w:kern w:val="0"/>
          <w:sz w:val="32"/>
          <w:szCs w:val="32"/>
          <w:lang w:val="en-US" w:eastAsia="zh-CN" w:bidi="ar"/>
        </w:rPr>
        <w:t>严格按照“三管三必须”要求，</w:t>
      </w:r>
      <w:r>
        <w:rPr>
          <w:rFonts w:hint="eastAsia" w:ascii="宋体" w:hAnsi="宋体" w:eastAsia="宋体" w:cs="宋体"/>
          <w:kern w:val="0"/>
          <w:sz w:val="32"/>
          <w:szCs w:val="32"/>
          <w:lang w:val="en-US" w:eastAsia="zh-CN" w:bidi="ar"/>
        </w:rPr>
        <w:t>牢固树立安全发展理念，压实安全生产责任。</w:t>
      </w:r>
      <w:r>
        <w:rPr>
          <w:rFonts w:hint="eastAsia" w:ascii="宋体" w:hAnsi="宋体" w:eastAsia="宋体" w:cs="宋体"/>
          <w:b w:val="0"/>
          <w:bCs w:val="0"/>
          <w:color w:val="auto"/>
          <w:kern w:val="0"/>
          <w:sz w:val="32"/>
          <w:szCs w:val="32"/>
          <w:lang w:val="en-US" w:eastAsia="zh-CN" w:bidi="ar"/>
        </w:rPr>
        <w:t>“整治+宣传”两手同抓，强力推进消防安全、道路交通、有限空间作业、结构顶棚、燃气安全、房屋安全、重点场所等领域专项整治。全年开展安全检查12批次，排查评估农村住房138栋，拆除销号D级危房14栋，督促整改一般隐患30余个，整治重大隐患任务30个，镇域安全风险形势总体保持平稳。</w:t>
      </w:r>
    </w:p>
    <w:p>
      <w:pPr>
        <w:pStyle w:val="13"/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560" w:lineRule="exact"/>
        <w:ind w:right="0" w:firstLine="643" w:firstLineChars="200"/>
        <w:jc w:val="left"/>
        <w:textAlignment w:val="auto"/>
        <w:rPr>
          <w:rFonts w:hint="eastAsia" w:ascii="宋体" w:hAnsi="宋体" w:eastAsia="宋体" w:cs="宋体"/>
          <w:b w:val="0"/>
          <w:bCs w:val="0"/>
          <w:color w:val="auto"/>
          <w:kern w:val="0"/>
          <w:sz w:val="32"/>
          <w:szCs w:val="32"/>
          <w:lang w:val="en-US" w:eastAsia="zh-CN" w:bidi="ar"/>
        </w:rPr>
      </w:pPr>
      <w:r>
        <w:rPr>
          <w:rFonts w:hint="eastAsia" w:ascii="宋体" w:hAnsi="宋体" w:eastAsia="宋体" w:cs="宋体"/>
          <w:b/>
          <w:bCs/>
          <w:color w:val="auto"/>
          <w:kern w:val="0"/>
          <w:sz w:val="32"/>
          <w:szCs w:val="32"/>
          <w:lang w:val="en-US" w:eastAsia="zh-CN" w:bidi="ar"/>
        </w:rPr>
        <w:t>三是插旗合力尽数涌现。</w:t>
      </w:r>
      <w:r>
        <w:rPr>
          <w:rFonts w:hint="eastAsia" w:ascii="宋体" w:hAnsi="宋体" w:eastAsia="宋体" w:cs="宋体"/>
          <w:b w:val="0"/>
          <w:bCs w:val="0"/>
          <w:color w:val="auto"/>
          <w:kern w:val="0"/>
          <w:sz w:val="32"/>
          <w:szCs w:val="32"/>
          <w:lang w:val="en-US" w:eastAsia="zh-CN" w:bidi="ar"/>
        </w:rPr>
        <w:t>应对突发冰冻雨雪灾害，全体干部职工全员在线，24小时值班备勤，时刻关注冰雪天气对供水供电、结构顶棚、道路交通等负面影响，落实落细应急物资储备，尽心尽力做好铲雪除冰等各项保障措施，镇机关、交警、农电、市监、派出所等各部门单位累计出动两百余人，特别是农电部门，从冰冻雨雪灾害至今依然始终奋战一线，着力解决全镇居民生产生活用电及遗留问题问题，用汗水提升群众安全指数和幸福指数。</w:t>
      </w:r>
    </w:p>
    <w:p>
      <w:pPr>
        <w:spacing w:before="220" w:line="600" w:lineRule="exact"/>
        <w:ind w:left="641"/>
        <w:rPr>
          <w:rFonts w:hint="eastAsia" w:ascii="宋体" w:hAnsi="宋体" w:eastAsia="宋体" w:cs="宋体"/>
          <w:spacing w:val="9"/>
          <w:position w:val="21"/>
          <w:sz w:val="32"/>
          <w:szCs w:val="32"/>
        </w:rPr>
      </w:pPr>
      <w:r>
        <w:rPr>
          <w:rFonts w:hint="eastAsia" w:ascii="宋体" w:hAnsi="宋体" w:eastAsia="宋体" w:cs="宋体"/>
          <w:spacing w:val="9"/>
          <w:position w:val="21"/>
          <w:sz w:val="32"/>
          <w:szCs w:val="32"/>
        </w:rPr>
        <w:t>七、存在的问题及原因分析</w:t>
      </w:r>
    </w:p>
    <w:p>
      <w:pPr>
        <w:pStyle w:val="13"/>
        <w:keepNext w:val="0"/>
        <w:keepLines w:val="0"/>
        <w:widowControl/>
        <w:suppressLineNumbers w:val="0"/>
        <w:shd w:val="clear" w:fill="FFFFFF"/>
        <w:spacing w:before="0" w:beforeAutospacing="0" w:after="0" w:afterAutospacing="0" w:line="33" w:lineRule="atLeast"/>
        <w:ind w:firstLine="640" w:firstLineChars="200"/>
        <w:jc w:val="both"/>
        <w:rPr>
          <w:rFonts w:hint="eastAsia" w:ascii="宋体" w:hAnsi="宋体" w:eastAsia="宋体" w:cs="宋体"/>
          <w:kern w:val="2"/>
          <w:sz w:val="32"/>
          <w:szCs w:val="32"/>
          <w:lang w:val="en-US" w:eastAsia="zh-CN" w:bidi="ar-SA"/>
        </w:rPr>
      </w:pPr>
      <w:r>
        <w:rPr>
          <w:rFonts w:hint="eastAsia" w:ascii="宋体" w:hAnsi="宋体" w:eastAsia="宋体" w:cs="宋体"/>
          <w:kern w:val="2"/>
          <w:sz w:val="32"/>
          <w:szCs w:val="32"/>
          <w:lang w:val="en-US" w:eastAsia="zh-CN" w:bidi="ar-SA"/>
        </w:rPr>
        <w:t>1.预算绩效指标体系存在进一步完善的空间，我单位现建立的各项预算绩效目标指标仍有不科学、不细致的地方，影响了预算绩效评价的结果。</w:t>
      </w:r>
    </w:p>
    <w:p>
      <w:pPr>
        <w:pStyle w:val="13"/>
        <w:keepNext w:val="0"/>
        <w:keepLines w:val="0"/>
        <w:widowControl/>
        <w:suppressLineNumbers w:val="0"/>
        <w:shd w:val="clear" w:fill="FFFFFF"/>
        <w:spacing w:before="0" w:beforeAutospacing="0" w:after="0" w:afterAutospacing="0" w:line="33" w:lineRule="atLeast"/>
        <w:ind w:firstLine="640" w:firstLineChars="200"/>
        <w:jc w:val="both"/>
        <w:rPr>
          <w:rFonts w:hint="eastAsia" w:ascii="宋体" w:hAnsi="宋体" w:eastAsia="宋体" w:cs="宋体"/>
          <w:spacing w:val="9"/>
          <w:position w:val="21"/>
          <w:sz w:val="32"/>
          <w:szCs w:val="32"/>
        </w:rPr>
      </w:pPr>
      <w:r>
        <w:rPr>
          <w:rFonts w:hint="eastAsia" w:ascii="宋体" w:hAnsi="宋体" w:eastAsia="宋体" w:cs="宋体"/>
          <w:kern w:val="2"/>
          <w:sz w:val="32"/>
          <w:szCs w:val="32"/>
          <w:lang w:val="en-US" w:eastAsia="zh-CN" w:bidi="ar-SA"/>
        </w:rPr>
        <w:t>2.预算绩效管理经验需要进一步积累。因为预算绩效管理工作具有政策性强、专业性强、涉及面广、操作难度大等特点，经验不足，导致工作多走许多弯路，影响工作效果。</w:t>
      </w:r>
    </w:p>
    <w:p>
      <w:pPr>
        <w:spacing w:line="227" w:lineRule="auto"/>
        <w:ind w:left="643"/>
        <w:rPr>
          <w:rFonts w:hint="eastAsia" w:ascii="宋体" w:hAnsi="宋体" w:eastAsia="宋体" w:cs="宋体"/>
          <w:spacing w:val="8"/>
          <w:sz w:val="32"/>
          <w:szCs w:val="32"/>
        </w:rPr>
      </w:pPr>
      <w:r>
        <w:rPr>
          <w:rFonts w:hint="eastAsia" w:ascii="宋体" w:hAnsi="宋体" w:eastAsia="宋体" w:cs="宋体"/>
          <w:spacing w:val="8"/>
          <w:sz w:val="32"/>
          <w:szCs w:val="32"/>
        </w:rPr>
        <w:t>八、下一步改进措施</w:t>
      </w:r>
    </w:p>
    <w:p>
      <w:pPr>
        <w:pStyle w:val="13"/>
        <w:keepNext w:val="0"/>
        <w:keepLines w:val="0"/>
        <w:widowControl/>
        <w:suppressLineNumbers w:val="0"/>
        <w:shd w:val="clear" w:fill="FFFFFF"/>
        <w:spacing w:before="0" w:beforeAutospacing="0" w:after="0" w:afterAutospacing="0" w:line="33" w:lineRule="atLeast"/>
        <w:ind w:firstLine="640" w:firstLineChars="200"/>
        <w:jc w:val="both"/>
        <w:rPr>
          <w:rFonts w:hint="eastAsia"/>
        </w:rPr>
      </w:pPr>
      <w:r>
        <w:rPr>
          <w:rFonts w:hint="eastAsia" w:ascii="宋体" w:hAnsi="宋体" w:eastAsia="宋体" w:cs="宋体"/>
          <w:kern w:val="2"/>
          <w:sz w:val="32"/>
          <w:szCs w:val="32"/>
          <w:lang w:val="en-US" w:eastAsia="zh-CN" w:bidi="ar-SA"/>
        </w:rPr>
        <w:t>我单位应立足实际，坚持推行精细化管理，强化预算绩效目标管理、细化绩效目标，并将绩效目标细化分解为具体工作计划，同时，计划应明确规定在一定时间内完成的目标、任务和和应达到的要求，任务和要求应具体明确任务数量、质量。建立健全财政各项资金管理制度，严格执行财务管理制度，做到了财务处理及时，会计核算规范，严格按照计划进度支付。各项目资金严格实行专款专用，保证更规范严要求使用资金。在下年度的预算编制工作中，我们会时刻跟踪项目的进度，更好地完成预算资金，做好绩效评价工作。</w:t>
      </w:r>
    </w:p>
    <w:p>
      <w:pPr>
        <w:numPr>
          <w:ilvl w:val="0"/>
          <w:numId w:val="0"/>
        </w:numPr>
        <w:spacing w:before="220" w:line="600" w:lineRule="exact"/>
        <w:ind w:left="210" w:leftChars="0" w:firstLine="338" w:firstLineChars="100"/>
        <w:rPr>
          <w:rFonts w:hint="eastAsia" w:ascii="宋体" w:hAnsi="宋体" w:eastAsia="宋体" w:cs="宋体"/>
          <w:kern w:val="2"/>
          <w:sz w:val="32"/>
          <w:szCs w:val="32"/>
          <w:lang w:val="en-US" w:eastAsia="zh-CN" w:bidi="ar-SA"/>
        </w:rPr>
      </w:pPr>
      <w:r>
        <w:rPr>
          <w:rFonts w:hint="eastAsia" w:ascii="宋体" w:hAnsi="宋体" w:cs="宋体"/>
          <w:spacing w:val="9"/>
          <w:position w:val="21"/>
          <w:sz w:val="32"/>
          <w:szCs w:val="32"/>
          <w:lang w:eastAsia="zh-CN"/>
        </w:rPr>
        <w:t>九、</w:t>
      </w:r>
      <w:r>
        <w:rPr>
          <w:rFonts w:hint="eastAsia" w:ascii="宋体" w:hAnsi="宋体" w:eastAsia="宋体" w:cs="宋体"/>
          <w:spacing w:val="9"/>
          <w:position w:val="21"/>
          <w:sz w:val="32"/>
          <w:szCs w:val="32"/>
        </w:rPr>
        <w:t>部门整体支出绩效自评结果拟应用和公开情况</w:t>
      </w:r>
    </w:p>
    <w:p>
      <w:pPr>
        <w:numPr>
          <w:ilvl w:val="0"/>
          <w:numId w:val="0"/>
        </w:numPr>
        <w:spacing w:before="220" w:line="600" w:lineRule="exact"/>
        <w:ind w:left="210" w:leftChars="0" w:firstLine="320" w:firstLineChars="100"/>
        <w:rPr>
          <w:rFonts w:hint="eastAsia" w:ascii="宋体" w:hAnsi="宋体" w:eastAsia="宋体" w:cs="宋体"/>
          <w:kern w:val="2"/>
          <w:sz w:val="32"/>
          <w:szCs w:val="32"/>
          <w:lang w:val="en-US" w:eastAsia="zh-CN" w:bidi="ar-SA"/>
        </w:rPr>
      </w:pPr>
      <w:r>
        <w:rPr>
          <w:rFonts w:hint="eastAsia" w:ascii="宋体" w:hAnsi="宋体" w:eastAsia="宋体" w:cs="宋体"/>
          <w:kern w:val="2"/>
          <w:sz w:val="32"/>
          <w:szCs w:val="32"/>
          <w:lang w:val="en-US" w:eastAsia="zh-CN" w:bidi="ar-SA"/>
        </w:rPr>
        <w:t>1、在下一年度制定绩效目标时，将对往年的工作程序进行反馈，关注最新的发展变化，制定与时俱进的绩效目标，提高绩效目标的可操作性。</w:t>
      </w:r>
    </w:p>
    <w:p>
      <w:pPr>
        <w:pStyle w:val="13"/>
        <w:keepNext w:val="0"/>
        <w:keepLines w:val="0"/>
        <w:widowControl/>
        <w:suppressLineNumbers w:val="0"/>
        <w:shd w:val="clear" w:fill="FFFFFF"/>
        <w:spacing w:before="0" w:beforeAutospacing="0" w:after="0" w:afterAutospacing="0" w:line="33" w:lineRule="atLeast"/>
        <w:ind w:firstLine="640" w:firstLineChars="200"/>
        <w:jc w:val="both"/>
        <w:rPr>
          <w:rFonts w:hint="eastAsia" w:ascii="宋体" w:hAnsi="宋体" w:eastAsia="宋体" w:cs="宋体"/>
          <w:kern w:val="2"/>
          <w:sz w:val="32"/>
          <w:szCs w:val="32"/>
          <w:lang w:val="en-US" w:eastAsia="zh-CN" w:bidi="ar-SA"/>
        </w:rPr>
      </w:pPr>
      <w:r>
        <w:rPr>
          <w:rFonts w:hint="eastAsia" w:ascii="宋体" w:hAnsi="宋体" w:eastAsia="宋体" w:cs="宋体"/>
          <w:kern w:val="2"/>
          <w:sz w:val="32"/>
          <w:szCs w:val="32"/>
          <w:lang w:val="en-US" w:eastAsia="zh-CN" w:bidi="ar-SA"/>
        </w:rPr>
        <w:t>2、</w:t>
      </w:r>
      <w:r>
        <w:rPr>
          <w:rFonts w:hint="default" w:ascii="宋体" w:hAnsi="宋体" w:eastAsia="宋体" w:cs="宋体"/>
          <w:kern w:val="2"/>
          <w:sz w:val="32"/>
          <w:szCs w:val="32"/>
          <w:lang w:val="en-US" w:eastAsia="zh-CN" w:bidi="ar-SA"/>
        </w:rPr>
        <w:t>拟与预算安排相结合的情况</w:t>
      </w:r>
      <w:r>
        <w:rPr>
          <w:rFonts w:hint="eastAsia" w:ascii="宋体" w:hAnsi="宋体" w:eastAsia="宋体" w:cs="宋体"/>
          <w:kern w:val="2"/>
          <w:sz w:val="32"/>
          <w:szCs w:val="32"/>
          <w:lang w:val="en-US" w:eastAsia="zh-CN" w:bidi="ar-SA"/>
        </w:rPr>
        <w:t>在</w:t>
      </w:r>
      <w:r>
        <w:rPr>
          <w:rFonts w:hint="default" w:ascii="宋体" w:hAnsi="宋体" w:eastAsia="宋体" w:cs="宋体"/>
          <w:kern w:val="2"/>
          <w:sz w:val="32"/>
          <w:szCs w:val="32"/>
          <w:lang w:val="en-US" w:eastAsia="zh-CN" w:bidi="ar-SA"/>
        </w:rPr>
        <w:t>制定合理、可操作的</w:t>
      </w:r>
      <w:r>
        <w:rPr>
          <w:rFonts w:hint="eastAsia" w:ascii="宋体" w:hAnsi="宋体" w:eastAsia="宋体" w:cs="宋体"/>
          <w:kern w:val="2"/>
          <w:sz w:val="32"/>
          <w:szCs w:val="32"/>
          <w:lang w:val="en-US" w:eastAsia="zh-CN" w:bidi="ar-SA"/>
        </w:rPr>
        <w:t>绩</w:t>
      </w:r>
      <w:r>
        <w:rPr>
          <w:rFonts w:hint="default" w:ascii="宋体" w:hAnsi="宋体" w:eastAsia="宋体" w:cs="宋体"/>
          <w:kern w:val="2"/>
          <w:sz w:val="32"/>
          <w:szCs w:val="32"/>
          <w:lang w:val="en-US" w:eastAsia="zh-CN" w:bidi="ar-SA"/>
        </w:rPr>
        <w:t>效目标基础上，将根据年度预算情况，加强对预算执行的监控，提高与</w:t>
      </w:r>
      <w:r>
        <w:rPr>
          <w:rFonts w:hint="eastAsia" w:ascii="宋体" w:hAnsi="宋体" w:eastAsia="宋体" w:cs="宋体"/>
          <w:kern w:val="2"/>
          <w:sz w:val="32"/>
          <w:szCs w:val="32"/>
          <w:lang w:val="en-US" w:eastAsia="zh-CN" w:bidi="ar-SA"/>
        </w:rPr>
        <w:t>相关部门</w:t>
      </w:r>
      <w:r>
        <w:rPr>
          <w:rFonts w:hint="default" w:ascii="宋体" w:hAnsi="宋体" w:eastAsia="宋体" w:cs="宋体"/>
          <w:kern w:val="2"/>
          <w:sz w:val="32"/>
          <w:szCs w:val="32"/>
          <w:lang w:val="en-US" w:eastAsia="zh-CN" w:bidi="ar-SA"/>
        </w:rPr>
        <w:t>的协调配合，跟进资金使用情况，保证资金的执行率，提高资金的使用效益。定期</w:t>
      </w:r>
      <w:r>
        <w:rPr>
          <w:rFonts w:hint="eastAsia" w:ascii="宋体" w:hAnsi="宋体" w:eastAsia="宋体" w:cs="宋体"/>
          <w:kern w:val="2"/>
          <w:sz w:val="32"/>
          <w:szCs w:val="32"/>
          <w:lang w:val="en-US" w:eastAsia="zh-CN" w:bidi="ar-SA"/>
        </w:rPr>
        <w:t>找</w:t>
      </w:r>
      <w:r>
        <w:rPr>
          <w:rFonts w:hint="default" w:ascii="宋体" w:hAnsi="宋体" w:eastAsia="宋体" w:cs="宋体"/>
          <w:kern w:val="2"/>
          <w:sz w:val="32"/>
          <w:szCs w:val="32"/>
          <w:lang w:val="en-US" w:eastAsia="zh-CN" w:bidi="ar-SA"/>
        </w:rPr>
        <w:t>准资金使用过程中与绩效存在差异的地方，及时修正，保证年度目标绩效能按时完成。</w:t>
      </w:r>
      <w:r>
        <w:rPr>
          <w:rFonts w:hint="eastAsia" w:ascii="宋体" w:hAnsi="宋体" w:eastAsia="宋体" w:cs="宋体"/>
          <w:kern w:val="2"/>
          <w:sz w:val="32"/>
          <w:szCs w:val="32"/>
          <w:lang w:val="en-US" w:eastAsia="zh-CN" w:bidi="ar-SA"/>
        </w:rPr>
        <w:t xml:space="preserve">          </w:t>
      </w:r>
    </w:p>
    <w:p>
      <w:pPr>
        <w:pStyle w:val="13"/>
        <w:keepNext w:val="0"/>
        <w:keepLines w:val="0"/>
        <w:widowControl/>
        <w:suppressLineNumbers w:val="0"/>
        <w:shd w:val="clear" w:fill="FFFFFF"/>
        <w:spacing w:before="0" w:beforeAutospacing="0" w:after="0" w:afterAutospacing="0" w:line="33" w:lineRule="atLeast"/>
        <w:ind w:firstLine="640" w:firstLineChars="200"/>
        <w:jc w:val="both"/>
        <w:rPr>
          <w:rFonts w:hint="default" w:ascii="宋体" w:hAnsi="宋体" w:eastAsia="宋体" w:cs="宋体"/>
          <w:kern w:val="2"/>
          <w:sz w:val="32"/>
          <w:szCs w:val="32"/>
          <w:lang w:val="en-US" w:eastAsia="zh-CN" w:bidi="ar-SA"/>
        </w:rPr>
      </w:pPr>
      <w:r>
        <w:rPr>
          <w:rFonts w:hint="eastAsia" w:ascii="宋体" w:hAnsi="宋体" w:eastAsia="宋体" w:cs="宋体"/>
          <w:kern w:val="2"/>
          <w:sz w:val="32"/>
          <w:szCs w:val="32"/>
          <w:lang w:val="en-US" w:eastAsia="zh-CN" w:bidi="ar-SA"/>
        </w:rPr>
        <w:t>3、</w:t>
      </w:r>
      <w:r>
        <w:rPr>
          <w:rFonts w:hint="default" w:ascii="宋体" w:hAnsi="宋体" w:eastAsia="宋体" w:cs="宋体"/>
          <w:kern w:val="2"/>
          <w:sz w:val="32"/>
          <w:szCs w:val="32"/>
          <w:lang w:val="en-US" w:eastAsia="zh-CN" w:bidi="ar-SA"/>
        </w:rPr>
        <w:t>拟公开情况按照政府信息公开相关要求，将绩效自评结果在本单位网站上公开。</w:t>
      </w:r>
    </w:p>
    <w:p>
      <w:pPr>
        <w:pStyle w:val="15"/>
        <w:numPr>
          <w:ilvl w:val="0"/>
          <w:numId w:val="0"/>
        </w:numPr>
        <w:ind w:leftChars="400"/>
        <w:rPr>
          <w:rFonts w:hint="eastAsia" w:ascii="宋体" w:hAnsi="宋体" w:eastAsia="宋体" w:cs="宋体"/>
          <w:spacing w:val="9"/>
          <w:position w:val="21"/>
          <w:sz w:val="32"/>
          <w:szCs w:val="32"/>
        </w:rPr>
      </w:pPr>
      <w:r>
        <w:rPr>
          <w:rFonts w:hint="eastAsia" w:ascii="宋体" w:hAnsi="宋体" w:eastAsia="宋体" w:cs="宋体"/>
          <w:spacing w:val="9"/>
          <w:position w:val="21"/>
          <w:sz w:val="32"/>
          <w:szCs w:val="32"/>
        </w:rPr>
        <w:t>十、其他需要说明的情况</w:t>
      </w:r>
    </w:p>
    <w:p>
      <w:pPr>
        <w:spacing w:before="220" w:line="600" w:lineRule="exact"/>
        <w:ind w:left="641"/>
        <w:rPr>
          <w:rFonts w:hint="eastAsia" w:ascii="宋体" w:hAnsi="宋体" w:eastAsia="宋体" w:cs="宋体"/>
          <w:spacing w:val="9"/>
          <w:position w:val="21"/>
          <w:sz w:val="32"/>
          <w:szCs w:val="32"/>
        </w:rPr>
      </w:pPr>
      <w:r>
        <w:rPr>
          <w:rFonts w:hint="eastAsia" w:ascii="宋体" w:hAnsi="宋体" w:eastAsia="宋体" w:cs="宋体"/>
          <w:spacing w:val="9"/>
          <w:position w:val="21"/>
          <w:sz w:val="32"/>
          <w:szCs w:val="32"/>
          <w:lang w:eastAsia="zh-CN"/>
        </w:rPr>
        <w:t>无</w:t>
      </w:r>
      <w:r>
        <w:rPr>
          <w:rFonts w:hint="eastAsia" w:ascii="宋体" w:hAnsi="宋体" w:eastAsia="宋体" w:cs="宋体"/>
          <w:spacing w:val="9"/>
          <w:position w:val="21"/>
          <w:sz w:val="32"/>
          <w:szCs w:val="32"/>
        </w:rPr>
        <w:br w:type="page"/>
      </w:r>
    </w:p>
    <w:p>
      <w:pPr>
        <w:spacing w:before="220" w:line="600" w:lineRule="exact"/>
        <w:ind w:left="641"/>
        <w:rPr>
          <w:rFonts w:hint="eastAsia" w:ascii="宋体" w:hAnsi="宋体" w:eastAsia="宋体" w:cs="宋体"/>
          <w:spacing w:val="9"/>
          <w:position w:val="21"/>
          <w:sz w:val="32"/>
          <w:szCs w:val="32"/>
        </w:rPr>
        <w:sectPr>
          <w:footerReference r:id="rId4" w:type="default"/>
          <w:pgSz w:w="11905" w:h="16838"/>
          <w:pgMar w:top="1984" w:right="1701" w:bottom="1984" w:left="1701" w:header="850" w:footer="992" w:gutter="0"/>
          <w:pgNumType w:fmt="numberInDash"/>
          <w:cols w:space="0" w:num="1"/>
          <w:rtlGutter w:val="0"/>
          <w:docGrid w:type="lines" w:linePitch="314" w:charSpace="0"/>
        </w:sect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80" w:lineRule="exact"/>
        <w:jc w:val="left"/>
        <w:textAlignment w:val="auto"/>
        <w:rPr>
          <w:rFonts w:hint="eastAsia" w:ascii="宋体" w:hAnsi="宋体" w:eastAsia="宋体" w:cs="宋体"/>
          <w:spacing w:val="-4"/>
          <w:sz w:val="32"/>
          <w:szCs w:val="32"/>
          <w:lang w:val="en-US" w:eastAsia="zh-CN"/>
        </w:rPr>
      </w:pPr>
      <w:r>
        <w:rPr>
          <w:rFonts w:hint="eastAsia" w:ascii="宋体" w:hAnsi="宋体" w:eastAsia="宋体" w:cs="宋体"/>
          <w:spacing w:val="-4"/>
          <w:sz w:val="32"/>
          <w:szCs w:val="32"/>
        </w:rPr>
        <w:t>附件</w:t>
      </w:r>
      <w:r>
        <w:rPr>
          <w:rFonts w:hint="eastAsia" w:ascii="宋体" w:hAnsi="宋体" w:eastAsia="宋体" w:cs="宋体"/>
          <w:spacing w:val="-4"/>
          <w:sz w:val="32"/>
          <w:szCs w:val="32"/>
          <w:lang w:val="en-US" w:eastAsia="zh-CN"/>
        </w:rPr>
        <w:t>4</w:t>
      </w:r>
    </w:p>
    <w:p>
      <w:pPr>
        <w:pStyle w:val="1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580" w:lineRule="exact"/>
        <w:textAlignment w:val="auto"/>
        <w:rPr>
          <w:rFonts w:hint="eastAsia" w:ascii="宋体" w:hAnsi="宋体" w:eastAsia="宋体" w:cs="宋体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80" w:lineRule="exact"/>
        <w:ind w:left="0" w:firstLine="0" w:firstLineChars="0"/>
        <w:jc w:val="center"/>
        <w:textAlignment w:val="auto"/>
        <w:rPr>
          <w:rFonts w:hint="eastAsia" w:ascii="宋体" w:hAnsi="宋体" w:eastAsia="宋体" w:cs="宋体"/>
          <w:spacing w:val="6"/>
          <w:sz w:val="44"/>
          <w:szCs w:val="44"/>
        </w:rPr>
      </w:pPr>
      <w:r>
        <w:rPr>
          <w:rFonts w:hint="eastAsia" w:ascii="宋体" w:hAnsi="宋体" w:eastAsia="宋体" w:cs="宋体"/>
          <w:spacing w:val="6"/>
          <w:sz w:val="44"/>
          <w:szCs w:val="44"/>
        </w:rPr>
        <w:t>2023年度部门整体支出绩效自评表</w:t>
      </w:r>
    </w:p>
    <w:p>
      <w:pPr>
        <w:spacing w:line="132" w:lineRule="exact"/>
        <w:rPr>
          <w:rFonts w:hint="eastAsia" w:ascii="宋体" w:hAnsi="宋体" w:eastAsia="宋体" w:cs="宋体"/>
        </w:rPr>
      </w:pPr>
    </w:p>
    <w:tbl>
      <w:tblPr>
        <w:tblStyle w:val="24"/>
        <w:tblW w:w="8609" w:type="dxa"/>
        <w:jc w:val="center"/>
        <w:tblInd w:w="0" w:type="dxa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821"/>
        <w:gridCol w:w="988"/>
        <w:gridCol w:w="961"/>
        <w:gridCol w:w="33"/>
        <w:gridCol w:w="988"/>
        <w:gridCol w:w="2"/>
        <w:gridCol w:w="1054"/>
        <w:gridCol w:w="997"/>
        <w:gridCol w:w="692"/>
        <w:gridCol w:w="718"/>
        <w:gridCol w:w="1355"/>
      </w:tblGrid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029" w:hRule="atLeast"/>
          <w:jc w:val="center"/>
        </w:trPr>
        <w:tc>
          <w:tcPr>
            <w:tcW w:w="2770" w:type="dxa"/>
            <w:gridSpan w:val="3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省级预算部门、单位名称</w:t>
            </w:r>
          </w:p>
        </w:tc>
        <w:tc>
          <w:tcPr>
            <w:tcW w:w="5839" w:type="dxa"/>
            <w:gridSpan w:val="8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  <w:lang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lang w:eastAsia="zh-CN"/>
              </w:rPr>
              <w:t>华容县</w:t>
            </w:r>
            <w:r>
              <w:rPr>
                <w:rFonts w:hint="eastAsia" w:ascii="宋体" w:hAnsi="宋体" w:cs="宋体"/>
                <w:sz w:val="24"/>
                <w:szCs w:val="24"/>
                <w:lang w:eastAsia="zh-CN"/>
              </w:rPr>
              <w:t>插旗</w:t>
            </w:r>
            <w:r>
              <w:rPr>
                <w:rFonts w:hint="eastAsia" w:ascii="宋体" w:hAnsi="宋体" w:eastAsia="宋体" w:cs="宋体"/>
                <w:sz w:val="24"/>
                <w:szCs w:val="24"/>
                <w:lang w:eastAsia="zh-CN"/>
              </w:rPr>
              <w:t>镇人民政府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820" w:hRule="atLeast"/>
          <w:jc w:val="center"/>
        </w:trPr>
        <w:tc>
          <w:tcPr>
            <w:tcW w:w="821" w:type="dxa"/>
            <w:vMerge w:val="restart"/>
            <w:tcBorders>
              <w:bottom w:val="nil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年度预算申请（万元）</w:t>
            </w:r>
          </w:p>
        </w:tc>
        <w:tc>
          <w:tcPr>
            <w:tcW w:w="1949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</w:p>
        </w:tc>
        <w:tc>
          <w:tcPr>
            <w:tcW w:w="1021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年初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预算数</w:t>
            </w:r>
          </w:p>
        </w:tc>
        <w:tc>
          <w:tcPr>
            <w:tcW w:w="1056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全年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预算数</w:t>
            </w:r>
          </w:p>
        </w:tc>
        <w:tc>
          <w:tcPr>
            <w:tcW w:w="997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全年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执行数</w:t>
            </w:r>
          </w:p>
        </w:tc>
        <w:tc>
          <w:tcPr>
            <w:tcW w:w="692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分值</w:t>
            </w:r>
          </w:p>
        </w:tc>
        <w:tc>
          <w:tcPr>
            <w:tcW w:w="718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执行率</w:t>
            </w:r>
          </w:p>
        </w:tc>
        <w:tc>
          <w:tcPr>
            <w:tcW w:w="1355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自评得分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0" w:hRule="atLeast"/>
          <w:jc w:val="center"/>
        </w:trPr>
        <w:tc>
          <w:tcPr>
            <w:tcW w:w="821" w:type="dxa"/>
            <w:vMerge w:val="continue"/>
            <w:tcBorders>
              <w:top w:val="nil"/>
              <w:bottom w:val="nil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</w:p>
        </w:tc>
        <w:tc>
          <w:tcPr>
            <w:tcW w:w="1949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年度资金总额</w:t>
            </w:r>
          </w:p>
        </w:tc>
        <w:tc>
          <w:tcPr>
            <w:tcW w:w="1021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default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sz w:val="21"/>
                <w:szCs w:val="21"/>
                <w:lang w:val="en-US" w:eastAsia="zh-CN"/>
              </w:rPr>
              <w:t>721.59</w:t>
            </w:r>
          </w:p>
        </w:tc>
        <w:tc>
          <w:tcPr>
            <w:tcW w:w="1056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default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sz w:val="21"/>
                <w:szCs w:val="21"/>
                <w:lang w:val="en-US" w:eastAsia="zh-CN"/>
              </w:rPr>
              <w:t>2262.53</w:t>
            </w:r>
          </w:p>
        </w:tc>
        <w:tc>
          <w:tcPr>
            <w:tcW w:w="997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default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sz w:val="21"/>
                <w:szCs w:val="21"/>
                <w:lang w:val="en-US" w:eastAsia="zh-CN"/>
              </w:rPr>
              <w:t>2262.53</w:t>
            </w:r>
          </w:p>
        </w:tc>
        <w:tc>
          <w:tcPr>
            <w:tcW w:w="692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10</w:t>
            </w:r>
          </w:p>
        </w:tc>
        <w:tc>
          <w:tcPr>
            <w:tcW w:w="718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default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100%</w:t>
            </w:r>
          </w:p>
        </w:tc>
        <w:tc>
          <w:tcPr>
            <w:tcW w:w="1355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default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10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0" w:hRule="atLeast"/>
          <w:jc w:val="center"/>
        </w:trPr>
        <w:tc>
          <w:tcPr>
            <w:tcW w:w="821" w:type="dxa"/>
            <w:vMerge w:val="continue"/>
            <w:tcBorders>
              <w:top w:val="nil"/>
              <w:bottom w:val="nil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</w:p>
        </w:tc>
        <w:tc>
          <w:tcPr>
            <w:tcW w:w="4026" w:type="dxa"/>
            <w:gridSpan w:val="6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ind w:left="0" w:leftChars="0" w:firstLine="58" w:firstLineChars="28"/>
              <w:jc w:val="both"/>
              <w:textAlignment w:val="auto"/>
              <w:rPr>
                <w:rFonts w:hint="default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按收入性质分：</w:t>
            </w:r>
            <w:r>
              <w:rPr>
                <w:rFonts w:hint="eastAsia" w:ascii="宋体" w:hAnsi="宋体" w:cs="宋体"/>
                <w:sz w:val="21"/>
                <w:szCs w:val="21"/>
                <w:lang w:val="en-US" w:eastAsia="zh-CN"/>
              </w:rPr>
              <w:t>2262.53</w:t>
            </w:r>
          </w:p>
        </w:tc>
        <w:tc>
          <w:tcPr>
            <w:tcW w:w="3762" w:type="dxa"/>
            <w:gridSpan w:val="4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left"/>
              <w:textAlignment w:val="auto"/>
              <w:rPr>
                <w:rFonts w:hint="default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按支出性质分：</w:t>
            </w:r>
            <w:r>
              <w:rPr>
                <w:rFonts w:hint="eastAsia" w:ascii="宋体" w:hAnsi="宋体" w:cs="宋体"/>
                <w:sz w:val="21"/>
                <w:szCs w:val="21"/>
                <w:lang w:val="en-US" w:eastAsia="zh-CN"/>
              </w:rPr>
              <w:t>2262.53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0" w:hRule="atLeast"/>
          <w:jc w:val="center"/>
        </w:trPr>
        <w:tc>
          <w:tcPr>
            <w:tcW w:w="821" w:type="dxa"/>
            <w:vMerge w:val="continue"/>
            <w:tcBorders>
              <w:top w:val="nil"/>
              <w:bottom w:val="nil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</w:p>
        </w:tc>
        <w:tc>
          <w:tcPr>
            <w:tcW w:w="4026" w:type="dxa"/>
            <w:gridSpan w:val="6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ind w:firstLine="210" w:firstLineChars="100"/>
              <w:jc w:val="both"/>
              <w:textAlignment w:val="auto"/>
              <w:rPr>
                <w:rFonts w:hint="default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其中：一般公共预算：</w:t>
            </w:r>
            <w:r>
              <w:rPr>
                <w:rFonts w:hint="eastAsia" w:ascii="宋体" w:hAnsi="宋体" w:cs="宋体"/>
                <w:sz w:val="21"/>
                <w:szCs w:val="21"/>
                <w:lang w:val="en-US" w:eastAsia="zh-CN"/>
              </w:rPr>
              <w:t>2199.48</w:t>
            </w:r>
          </w:p>
        </w:tc>
        <w:tc>
          <w:tcPr>
            <w:tcW w:w="3762" w:type="dxa"/>
            <w:gridSpan w:val="4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ind w:firstLine="210" w:firstLineChars="100"/>
              <w:jc w:val="left"/>
              <w:textAlignment w:val="auto"/>
              <w:rPr>
                <w:rFonts w:hint="default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其中：基本支出：</w:t>
            </w:r>
            <w:r>
              <w:rPr>
                <w:rFonts w:hint="eastAsia" w:ascii="宋体" w:hAnsi="宋体" w:cs="宋体"/>
                <w:sz w:val="21"/>
                <w:szCs w:val="21"/>
                <w:lang w:val="en-US" w:eastAsia="zh-CN"/>
              </w:rPr>
              <w:t>1218.98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0" w:hRule="atLeast"/>
          <w:jc w:val="center"/>
        </w:trPr>
        <w:tc>
          <w:tcPr>
            <w:tcW w:w="821" w:type="dxa"/>
            <w:vMerge w:val="continue"/>
            <w:tcBorders>
              <w:top w:val="nil"/>
              <w:bottom w:val="nil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</w:p>
        </w:tc>
        <w:tc>
          <w:tcPr>
            <w:tcW w:w="4026" w:type="dxa"/>
            <w:gridSpan w:val="6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ind w:left="0" w:leftChars="0" w:firstLine="840" w:firstLineChars="400"/>
              <w:jc w:val="both"/>
              <w:textAlignment w:val="auto"/>
              <w:rPr>
                <w:rFonts w:hint="default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政府性基金拨款：</w:t>
            </w:r>
            <w:r>
              <w:rPr>
                <w:rFonts w:hint="eastAsia" w:ascii="宋体" w:hAnsi="宋体" w:cs="宋体"/>
                <w:sz w:val="21"/>
                <w:szCs w:val="21"/>
                <w:lang w:val="en-US" w:eastAsia="zh-CN"/>
              </w:rPr>
              <w:t>63.00</w:t>
            </w:r>
          </w:p>
        </w:tc>
        <w:tc>
          <w:tcPr>
            <w:tcW w:w="3762" w:type="dxa"/>
            <w:gridSpan w:val="4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ind w:firstLine="840" w:firstLineChars="400"/>
              <w:jc w:val="left"/>
              <w:textAlignment w:val="auto"/>
              <w:rPr>
                <w:rFonts w:hint="default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项目支出：</w:t>
            </w:r>
            <w:r>
              <w:rPr>
                <w:rFonts w:hint="eastAsia" w:ascii="宋体" w:hAnsi="宋体" w:cs="宋体"/>
                <w:sz w:val="21"/>
                <w:szCs w:val="21"/>
                <w:lang w:val="en-US" w:eastAsia="zh-CN"/>
              </w:rPr>
              <w:t>1043.55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0" w:hRule="atLeast"/>
          <w:jc w:val="center"/>
        </w:trPr>
        <w:tc>
          <w:tcPr>
            <w:tcW w:w="821" w:type="dxa"/>
            <w:vMerge w:val="continue"/>
            <w:tcBorders>
              <w:top w:val="nil"/>
              <w:bottom w:val="nil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</w:p>
        </w:tc>
        <w:tc>
          <w:tcPr>
            <w:tcW w:w="4026" w:type="dxa"/>
            <w:gridSpan w:val="6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left"/>
              <w:textAlignment w:val="auto"/>
              <w:rPr>
                <w:rFonts w:hint="default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纳入专户管理的非税收入拨款：</w:t>
            </w:r>
            <w:r>
              <w:rPr>
                <w:rFonts w:hint="eastAsia" w:ascii="宋体" w:hAnsi="宋体" w:cs="宋体"/>
                <w:sz w:val="21"/>
                <w:szCs w:val="21"/>
                <w:lang w:val="en-US" w:eastAsia="zh-CN"/>
              </w:rPr>
              <w:t>0.05</w:t>
            </w:r>
          </w:p>
        </w:tc>
        <w:tc>
          <w:tcPr>
            <w:tcW w:w="3762" w:type="dxa"/>
            <w:gridSpan w:val="4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left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0" w:hRule="atLeast"/>
          <w:jc w:val="center"/>
        </w:trPr>
        <w:tc>
          <w:tcPr>
            <w:tcW w:w="821" w:type="dxa"/>
            <w:vMerge w:val="continue"/>
            <w:tcBorders>
              <w:top w:val="nil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</w:p>
        </w:tc>
        <w:tc>
          <w:tcPr>
            <w:tcW w:w="4026" w:type="dxa"/>
            <w:gridSpan w:val="6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ind w:left="0" w:leftChars="0" w:firstLine="840" w:firstLineChars="400"/>
              <w:jc w:val="left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其他资金：</w:t>
            </w:r>
          </w:p>
        </w:tc>
        <w:tc>
          <w:tcPr>
            <w:tcW w:w="3762" w:type="dxa"/>
            <w:gridSpan w:val="4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left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0" w:hRule="atLeast"/>
          <w:jc w:val="center"/>
        </w:trPr>
        <w:tc>
          <w:tcPr>
            <w:tcW w:w="821" w:type="dxa"/>
            <w:vMerge w:val="restart"/>
            <w:tcBorders>
              <w:bottom w:val="nil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年度</w:t>
            </w:r>
            <w:r>
              <w:rPr>
                <w:rFonts w:hint="eastAsia" w:ascii="宋体" w:hAnsi="宋体" w:eastAsia="宋体" w:cs="宋体"/>
                <w:sz w:val="21"/>
                <w:szCs w:val="21"/>
                <w:lang w:eastAsia="zh-CN"/>
              </w:rPr>
              <w:t>总</w:t>
            </w:r>
            <w:r>
              <w:rPr>
                <w:rFonts w:hint="eastAsia" w:ascii="宋体" w:hAnsi="宋体" w:eastAsia="宋体" w:cs="宋体"/>
                <w:sz w:val="21"/>
                <w:szCs w:val="21"/>
              </w:rPr>
              <w:t>体目标</w:t>
            </w:r>
          </w:p>
        </w:tc>
        <w:tc>
          <w:tcPr>
            <w:tcW w:w="4026" w:type="dxa"/>
            <w:gridSpan w:val="6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预期目标</w:t>
            </w:r>
          </w:p>
        </w:tc>
        <w:tc>
          <w:tcPr>
            <w:tcW w:w="3762" w:type="dxa"/>
            <w:gridSpan w:val="4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实际完成情况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0" w:hRule="atLeast"/>
          <w:jc w:val="center"/>
        </w:trPr>
        <w:tc>
          <w:tcPr>
            <w:tcW w:w="821" w:type="dxa"/>
            <w:vMerge w:val="continue"/>
            <w:tcBorders>
              <w:top w:val="nil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</w:p>
        </w:tc>
        <w:tc>
          <w:tcPr>
            <w:tcW w:w="4026" w:type="dxa"/>
            <w:gridSpan w:val="6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left"/>
              <w:textAlignment w:val="auto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1.围绕项目建设，突出发展农业经济；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left"/>
              <w:textAlignment w:val="auto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2.全力推动社会各项事业，促进经济社会协调发展；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left"/>
              <w:textAlignment w:val="auto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3.巩固农村环境整治工作成果，建设美丽、宜居新镇;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left"/>
              <w:textAlignment w:val="auto"/>
              <w:rPr>
                <w:rFonts w:hint="default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4.全力推进乡村振兴工作的开展。</w:t>
            </w:r>
          </w:p>
        </w:tc>
        <w:tc>
          <w:tcPr>
            <w:tcW w:w="3762" w:type="dxa"/>
            <w:gridSpan w:val="4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ind w:left="0" w:leftChars="0" w:firstLine="840" w:firstLineChars="400"/>
              <w:jc w:val="left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按要求已完成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860" w:hRule="atLeast"/>
          <w:jc w:val="center"/>
        </w:trPr>
        <w:tc>
          <w:tcPr>
            <w:tcW w:w="821" w:type="dxa"/>
            <w:vMerge w:val="restar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绩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效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指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标</w:t>
            </w:r>
          </w:p>
        </w:tc>
        <w:tc>
          <w:tcPr>
            <w:tcW w:w="988" w:type="dxa"/>
            <w:tcBorders>
              <w:bottom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一级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指标</w:t>
            </w:r>
          </w:p>
        </w:tc>
        <w:tc>
          <w:tcPr>
            <w:tcW w:w="994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二级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指标</w:t>
            </w:r>
          </w:p>
        </w:tc>
        <w:tc>
          <w:tcPr>
            <w:tcW w:w="990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三级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指标</w:t>
            </w:r>
          </w:p>
        </w:tc>
        <w:tc>
          <w:tcPr>
            <w:tcW w:w="1054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年度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指标值</w:t>
            </w:r>
          </w:p>
        </w:tc>
        <w:tc>
          <w:tcPr>
            <w:tcW w:w="997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实际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完成值</w:t>
            </w:r>
          </w:p>
        </w:tc>
        <w:tc>
          <w:tcPr>
            <w:tcW w:w="692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分值</w:t>
            </w:r>
          </w:p>
        </w:tc>
        <w:tc>
          <w:tcPr>
            <w:tcW w:w="718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自评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得分</w:t>
            </w:r>
          </w:p>
        </w:tc>
        <w:tc>
          <w:tcPr>
            <w:tcW w:w="1355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eastAsia="zh-CN"/>
              </w:rPr>
              <w:t>偏差原因分析</w:t>
            </w:r>
            <w:r>
              <w:rPr>
                <w:rFonts w:hint="eastAsia" w:ascii="宋体" w:hAnsi="宋体" w:eastAsia="宋体" w:cs="宋体"/>
                <w:sz w:val="21"/>
                <w:szCs w:val="21"/>
              </w:rPr>
              <w:t>及改进措施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  <w:jc w:val="center"/>
        </w:trPr>
        <w:tc>
          <w:tcPr>
            <w:tcW w:w="821" w:type="dxa"/>
            <w:vMerge w:val="continue"/>
            <w:textDirection w:val="tbRlV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</w:p>
        </w:tc>
        <w:tc>
          <w:tcPr>
            <w:tcW w:w="988" w:type="dxa"/>
            <w:vMerge w:val="restar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产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出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指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标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(</w:t>
            </w: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3</w:t>
            </w:r>
            <w:r>
              <w:rPr>
                <w:rFonts w:hint="eastAsia" w:ascii="宋体" w:hAnsi="宋体" w:eastAsia="宋体" w:cs="宋体"/>
                <w:sz w:val="21"/>
                <w:szCs w:val="21"/>
              </w:rPr>
              <w:t>0分</w:t>
            </w:r>
            <w:r>
              <w:rPr>
                <w:rFonts w:hint="eastAsia" w:ascii="宋体" w:hAnsi="宋体" w:eastAsia="宋体" w:cs="宋体"/>
                <w:sz w:val="21"/>
                <w:szCs w:val="21"/>
                <w:lang w:eastAsia="zh-CN"/>
              </w:rPr>
              <w:t>）</w:t>
            </w:r>
          </w:p>
        </w:tc>
        <w:tc>
          <w:tcPr>
            <w:tcW w:w="994" w:type="dxa"/>
            <w:gridSpan w:val="2"/>
            <w:vMerge w:val="restart"/>
            <w:tcBorders>
              <w:left w:val="single" w:color="auto" w:sz="4" w:space="0"/>
              <w:bottom w:val="nil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数量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指标</w:t>
            </w:r>
          </w:p>
        </w:tc>
        <w:tc>
          <w:tcPr>
            <w:tcW w:w="990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left"/>
              <w:textAlignment w:val="auto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sz w:val="21"/>
                <w:szCs w:val="21"/>
                <w:lang w:val="en-US" w:eastAsia="zh-CN"/>
              </w:rPr>
              <w:t>双季稻种植面积</w:t>
            </w:r>
          </w:p>
        </w:tc>
        <w:tc>
          <w:tcPr>
            <w:tcW w:w="1054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&gt;=</w:t>
            </w:r>
            <w:r>
              <w:rPr>
                <w:rFonts w:hint="eastAsia" w:ascii="宋体" w:hAnsi="宋体" w:cs="宋体"/>
                <w:sz w:val="21"/>
                <w:szCs w:val="21"/>
                <w:lang w:val="en-US" w:eastAsia="zh-CN"/>
              </w:rPr>
              <w:t>3000亩</w:t>
            </w:r>
          </w:p>
        </w:tc>
        <w:tc>
          <w:tcPr>
            <w:tcW w:w="997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sz w:val="21"/>
                <w:szCs w:val="21"/>
                <w:lang w:val="en-US" w:eastAsia="zh-CN"/>
              </w:rPr>
              <w:t>3000亩</w:t>
            </w:r>
          </w:p>
        </w:tc>
        <w:tc>
          <w:tcPr>
            <w:tcW w:w="692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5</w:t>
            </w:r>
          </w:p>
        </w:tc>
        <w:tc>
          <w:tcPr>
            <w:tcW w:w="718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5</w:t>
            </w:r>
          </w:p>
        </w:tc>
        <w:tc>
          <w:tcPr>
            <w:tcW w:w="1355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31" w:hRule="atLeast"/>
          <w:jc w:val="center"/>
        </w:trPr>
        <w:tc>
          <w:tcPr>
            <w:tcW w:w="821" w:type="dxa"/>
            <w:vMerge w:val="continue"/>
            <w:textDirection w:val="tbRlV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</w:p>
        </w:tc>
        <w:tc>
          <w:tcPr>
            <w:tcW w:w="988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</w:p>
        </w:tc>
        <w:tc>
          <w:tcPr>
            <w:tcW w:w="994" w:type="dxa"/>
            <w:gridSpan w:val="2"/>
            <w:vMerge w:val="continue"/>
            <w:tcBorders>
              <w:top w:val="nil"/>
              <w:left w:val="single" w:color="auto" w:sz="4" w:space="0"/>
              <w:bottom w:val="nil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</w:p>
        </w:tc>
        <w:tc>
          <w:tcPr>
            <w:tcW w:w="990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left"/>
              <w:textAlignment w:val="auto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sz w:val="21"/>
                <w:szCs w:val="21"/>
                <w:lang w:val="en-US" w:eastAsia="zh-CN"/>
              </w:rPr>
              <w:t>高标准农田面积</w:t>
            </w:r>
          </w:p>
        </w:tc>
        <w:tc>
          <w:tcPr>
            <w:tcW w:w="1054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default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&gt;=</w:t>
            </w:r>
            <w:r>
              <w:rPr>
                <w:rFonts w:hint="eastAsia" w:ascii="宋体" w:hAnsi="宋体" w:cs="宋体"/>
                <w:sz w:val="21"/>
                <w:szCs w:val="21"/>
                <w:lang w:val="en-US" w:eastAsia="zh-CN"/>
              </w:rPr>
              <w:t>6000亩</w:t>
            </w:r>
          </w:p>
        </w:tc>
        <w:tc>
          <w:tcPr>
            <w:tcW w:w="997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default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sz w:val="21"/>
                <w:szCs w:val="21"/>
                <w:lang w:val="en-US" w:eastAsia="zh-CN"/>
              </w:rPr>
              <w:t>6000亩</w:t>
            </w:r>
          </w:p>
        </w:tc>
        <w:tc>
          <w:tcPr>
            <w:tcW w:w="692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5</w:t>
            </w:r>
          </w:p>
        </w:tc>
        <w:tc>
          <w:tcPr>
            <w:tcW w:w="718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5</w:t>
            </w:r>
          </w:p>
        </w:tc>
        <w:tc>
          <w:tcPr>
            <w:tcW w:w="1355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  <w:jc w:val="center"/>
        </w:trPr>
        <w:tc>
          <w:tcPr>
            <w:tcW w:w="821" w:type="dxa"/>
            <w:vMerge w:val="continue"/>
            <w:textDirection w:val="tbRlV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</w:p>
        </w:tc>
        <w:tc>
          <w:tcPr>
            <w:tcW w:w="988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</w:p>
        </w:tc>
        <w:tc>
          <w:tcPr>
            <w:tcW w:w="994" w:type="dxa"/>
            <w:gridSpan w:val="2"/>
            <w:vMerge w:val="continue"/>
            <w:tcBorders>
              <w:top w:val="nil"/>
              <w:lef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</w:p>
        </w:tc>
        <w:tc>
          <w:tcPr>
            <w:tcW w:w="990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建立“二优四特”绿色无公害农产品基地</w:t>
            </w:r>
          </w:p>
        </w:tc>
        <w:tc>
          <w:tcPr>
            <w:tcW w:w="1054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default" w:ascii="宋体" w:hAnsi="宋体" w:eastAsia="宋体" w:cs="宋体"/>
                <w:sz w:val="21"/>
                <w:szCs w:val="21"/>
                <w:lang w:val="en-US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&gt;=</w:t>
            </w:r>
            <w:r>
              <w:rPr>
                <w:rFonts w:hint="eastAsia" w:ascii="宋体" w:hAnsi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1.2万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亩</w:t>
            </w:r>
          </w:p>
        </w:tc>
        <w:tc>
          <w:tcPr>
            <w:tcW w:w="997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default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1.2万</w:t>
            </w:r>
          </w:p>
        </w:tc>
        <w:tc>
          <w:tcPr>
            <w:tcW w:w="692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5</w:t>
            </w:r>
          </w:p>
        </w:tc>
        <w:tc>
          <w:tcPr>
            <w:tcW w:w="718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5</w:t>
            </w:r>
          </w:p>
        </w:tc>
        <w:tc>
          <w:tcPr>
            <w:tcW w:w="1355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  <w:jc w:val="center"/>
        </w:trPr>
        <w:tc>
          <w:tcPr>
            <w:tcW w:w="821" w:type="dxa"/>
            <w:vMerge w:val="continue"/>
            <w:textDirection w:val="tbRlV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</w:p>
        </w:tc>
        <w:tc>
          <w:tcPr>
            <w:tcW w:w="988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</w:p>
        </w:tc>
        <w:tc>
          <w:tcPr>
            <w:tcW w:w="994" w:type="dxa"/>
            <w:gridSpan w:val="2"/>
            <w:vMerge w:val="restart"/>
            <w:tcBorders>
              <w:left w:val="single" w:color="auto" w:sz="4" w:space="0"/>
              <w:bottom w:val="nil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质量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指标</w:t>
            </w:r>
          </w:p>
        </w:tc>
        <w:tc>
          <w:tcPr>
            <w:tcW w:w="990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办公设备利用率</w:t>
            </w:r>
          </w:p>
        </w:tc>
        <w:tc>
          <w:tcPr>
            <w:tcW w:w="1054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&gt;=90%</w:t>
            </w:r>
          </w:p>
        </w:tc>
        <w:tc>
          <w:tcPr>
            <w:tcW w:w="997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default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100%</w:t>
            </w:r>
          </w:p>
        </w:tc>
        <w:tc>
          <w:tcPr>
            <w:tcW w:w="692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5</w:t>
            </w:r>
          </w:p>
        </w:tc>
        <w:tc>
          <w:tcPr>
            <w:tcW w:w="718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5</w:t>
            </w:r>
          </w:p>
        </w:tc>
        <w:tc>
          <w:tcPr>
            <w:tcW w:w="1355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  <w:jc w:val="center"/>
        </w:trPr>
        <w:tc>
          <w:tcPr>
            <w:tcW w:w="821" w:type="dxa"/>
            <w:vMerge w:val="continue"/>
            <w:textDirection w:val="tbRlV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</w:p>
        </w:tc>
        <w:tc>
          <w:tcPr>
            <w:tcW w:w="988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</w:p>
        </w:tc>
        <w:tc>
          <w:tcPr>
            <w:tcW w:w="994" w:type="dxa"/>
            <w:gridSpan w:val="2"/>
            <w:vMerge w:val="continue"/>
            <w:tcBorders>
              <w:top w:val="nil"/>
              <w:left w:val="single" w:color="auto" w:sz="4" w:space="0"/>
              <w:bottom w:val="nil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</w:p>
        </w:tc>
        <w:tc>
          <w:tcPr>
            <w:tcW w:w="990" w:type="dxa"/>
            <w:gridSpan w:val="2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leftChars="0" w:right="0" w:rightChars="0"/>
              <w:jc w:val="left"/>
              <w:textAlignment w:val="center"/>
              <w:rPr>
                <w:rFonts w:hint="eastAsia" w:ascii="新宋体" w:hAnsi="新宋体" w:eastAsia="新宋体" w:cs="新宋体"/>
                <w:color w:val="000000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考核指标对标对表率</w:t>
            </w:r>
          </w:p>
        </w:tc>
        <w:tc>
          <w:tcPr>
            <w:tcW w:w="1054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&gt;=90%</w:t>
            </w:r>
          </w:p>
        </w:tc>
        <w:tc>
          <w:tcPr>
            <w:tcW w:w="997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default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100%</w:t>
            </w:r>
          </w:p>
        </w:tc>
        <w:tc>
          <w:tcPr>
            <w:tcW w:w="692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5</w:t>
            </w:r>
          </w:p>
        </w:tc>
        <w:tc>
          <w:tcPr>
            <w:tcW w:w="718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5</w:t>
            </w:r>
          </w:p>
        </w:tc>
        <w:tc>
          <w:tcPr>
            <w:tcW w:w="1355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  <w:jc w:val="center"/>
        </w:trPr>
        <w:tc>
          <w:tcPr>
            <w:tcW w:w="821" w:type="dxa"/>
            <w:vMerge w:val="continue"/>
            <w:textDirection w:val="tbRlV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</w:p>
        </w:tc>
        <w:tc>
          <w:tcPr>
            <w:tcW w:w="988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</w:p>
        </w:tc>
        <w:tc>
          <w:tcPr>
            <w:tcW w:w="994" w:type="dxa"/>
            <w:gridSpan w:val="2"/>
            <w:vMerge w:val="continue"/>
            <w:tcBorders>
              <w:top w:val="nil"/>
              <w:left w:val="single" w:color="auto" w:sz="4" w:space="0"/>
              <w:bottom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</w:p>
        </w:tc>
        <w:tc>
          <w:tcPr>
            <w:tcW w:w="990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完成工作及时率</w:t>
            </w:r>
          </w:p>
        </w:tc>
        <w:tc>
          <w:tcPr>
            <w:tcW w:w="105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leftChars="0" w:right="0" w:rightChars="0"/>
              <w:jc w:val="center"/>
              <w:textAlignment w:val="center"/>
              <w:rPr>
                <w:rFonts w:hint="eastAsia" w:ascii="新宋体" w:hAnsi="新宋体" w:eastAsia="新宋体" w:cs="新宋体"/>
                <w:color w:val="000000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&gt;=98%</w:t>
            </w:r>
          </w:p>
        </w:tc>
        <w:tc>
          <w:tcPr>
            <w:tcW w:w="997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default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100%</w:t>
            </w:r>
          </w:p>
        </w:tc>
        <w:tc>
          <w:tcPr>
            <w:tcW w:w="692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5</w:t>
            </w:r>
          </w:p>
        </w:tc>
        <w:tc>
          <w:tcPr>
            <w:tcW w:w="718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5</w:t>
            </w:r>
          </w:p>
        </w:tc>
        <w:tc>
          <w:tcPr>
            <w:tcW w:w="1355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  <w:jc w:val="center"/>
        </w:trPr>
        <w:tc>
          <w:tcPr>
            <w:tcW w:w="821" w:type="dxa"/>
            <w:vMerge w:val="continue"/>
            <w:textDirection w:val="tbRlV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</w:p>
        </w:tc>
        <w:tc>
          <w:tcPr>
            <w:tcW w:w="988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</w:p>
        </w:tc>
        <w:tc>
          <w:tcPr>
            <w:tcW w:w="9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时效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指标</w:t>
            </w:r>
          </w:p>
        </w:tc>
        <w:tc>
          <w:tcPr>
            <w:tcW w:w="990" w:type="dxa"/>
            <w:gridSpan w:val="2"/>
            <w:tcBorders>
              <w:left w:val="single" w:color="auto" w:sz="4" w:space="0"/>
            </w:tcBorders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leftChars="0" w:right="0" w:rightChars="0"/>
              <w:jc w:val="left"/>
              <w:textAlignment w:val="center"/>
              <w:rPr>
                <w:rFonts w:hint="eastAsia" w:ascii="新宋体" w:hAnsi="新宋体" w:eastAsia="新宋体" w:cs="新宋体"/>
                <w:i w:val="0"/>
                <w:iCs w:val="0"/>
                <w:color w:val="000000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12月30日前预算执行支出率</w:t>
            </w:r>
          </w:p>
        </w:tc>
        <w:tc>
          <w:tcPr>
            <w:tcW w:w="1054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&gt;=95%</w:t>
            </w:r>
          </w:p>
        </w:tc>
        <w:tc>
          <w:tcPr>
            <w:tcW w:w="997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default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100%</w:t>
            </w:r>
          </w:p>
        </w:tc>
        <w:tc>
          <w:tcPr>
            <w:tcW w:w="692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5</w:t>
            </w:r>
          </w:p>
        </w:tc>
        <w:tc>
          <w:tcPr>
            <w:tcW w:w="718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5</w:t>
            </w:r>
          </w:p>
        </w:tc>
        <w:tc>
          <w:tcPr>
            <w:tcW w:w="1355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10" w:hRule="atLeast"/>
          <w:jc w:val="center"/>
        </w:trPr>
        <w:tc>
          <w:tcPr>
            <w:tcW w:w="821" w:type="dxa"/>
            <w:vMerge w:val="restar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绩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效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指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标</w:t>
            </w:r>
          </w:p>
        </w:tc>
        <w:tc>
          <w:tcPr>
            <w:tcW w:w="988" w:type="dxa"/>
            <w:vMerge w:val="restar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效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益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指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标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（30分）</w:t>
            </w:r>
          </w:p>
        </w:tc>
        <w:tc>
          <w:tcPr>
            <w:tcW w:w="9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经济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效益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指标</w:t>
            </w:r>
          </w:p>
        </w:tc>
        <w:tc>
          <w:tcPr>
            <w:tcW w:w="990" w:type="dxa"/>
            <w:gridSpan w:val="2"/>
            <w:tcBorders>
              <w:lef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集体经济平均收入</w:t>
            </w:r>
          </w:p>
        </w:tc>
        <w:tc>
          <w:tcPr>
            <w:tcW w:w="1054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&gt;=</w:t>
            </w:r>
            <w:r>
              <w:rPr>
                <w:rFonts w:hint="eastAsia" w:ascii="宋体" w:hAnsi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25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万元</w:t>
            </w:r>
          </w:p>
        </w:tc>
        <w:tc>
          <w:tcPr>
            <w:tcW w:w="997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default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sz w:val="21"/>
                <w:szCs w:val="21"/>
                <w:lang w:val="en-US" w:eastAsia="zh-CN"/>
              </w:rPr>
              <w:t>25</w:t>
            </w: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万元</w:t>
            </w:r>
          </w:p>
        </w:tc>
        <w:tc>
          <w:tcPr>
            <w:tcW w:w="692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5</w:t>
            </w:r>
          </w:p>
        </w:tc>
        <w:tc>
          <w:tcPr>
            <w:tcW w:w="718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5</w:t>
            </w:r>
          </w:p>
        </w:tc>
        <w:tc>
          <w:tcPr>
            <w:tcW w:w="1355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10" w:hRule="atLeast"/>
          <w:jc w:val="center"/>
        </w:trPr>
        <w:tc>
          <w:tcPr>
            <w:tcW w:w="821" w:type="dxa"/>
            <w:vMerge w:val="continue"/>
            <w:textDirection w:val="tbRlV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</w:p>
        </w:tc>
        <w:tc>
          <w:tcPr>
            <w:tcW w:w="988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</w:p>
        </w:tc>
        <w:tc>
          <w:tcPr>
            <w:tcW w:w="9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社会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效益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指标</w:t>
            </w:r>
          </w:p>
        </w:tc>
        <w:tc>
          <w:tcPr>
            <w:tcW w:w="990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新宋体" w:hAnsi="新宋体" w:eastAsia="新宋体" w:cs="新宋体"/>
                <w:i w:val="0"/>
                <w:iCs w:val="0"/>
                <w:color w:val="000000"/>
                <w:sz w:val="21"/>
                <w:szCs w:val="21"/>
                <w:lang w:val="en-US" w:eastAsia="zh-CN"/>
              </w:rPr>
              <w:t>城乡居民养老保险参保率</w:t>
            </w:r>
          </w:p>
        </w:tc>
        <w:tc>
          <w:tcPr>
            <w:tcW w:w="1054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default" w:ascii="宋体" w:hAnsi="宋体" w:eastAsia="宋体" w:cs="宋体"/>
                <w:sz w:val="21"/>
                <w:szCs w:val="21"/>
                <w:lang w:val="en-US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&gt;=</w:t>
            </w:r>
            <w:r>
              <w:rPr>
                <w:rFonts w:hint="eastAsia" w:ascii="新宋体" w:hAnsi="新宋体" w:eastAsia="新宋体" w:cs="新宋体"/>
                <w:i w:val="0"/>
                <w:iCs w:val="0"/>
                <w:color w:val="000000"/>
                <w:sz w:val="21"/>
                <w:szCs w:val="21"/>
                <w:lang w:val="en-US" w:eastAsia="zh-CN"/>
              </w:rPr>
              <w:t>95%</w:t>
            </w:r>
          </w:p>
        </w:tc>
        <w:tc>
          <w:tcPr>
            <w:tcW w:w="997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新宋体" w:hAnsi="新宋体" w:eastAsia="新宋体" w:cs="新宋体"/>
                <w:i w:val="0"/>
                <w:iCs w:val="0"/>
                <w:color w:val="000000"/>
                <w:sz w:val="21"/>
                <w:szCs w:val="21"/>
                <w:lang w:val="en-US" w:eastAsia="zh-CN"/>
              </w:rPr>
              <w:t>98%</w:t>
            </w:r>
          </w:p>
        </w:tc>
        <w:tc>
          <w:tcPr>
            <w:tcW w:w="692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5</w:t>
            </w:r>
          </w:p>
        </w:tc>
        <w:tc>
          <w:tcPr>
            <w:tcW w:w="718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default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5</w:t>
            </w:r>
          </w:p>
        </w:tc>
        <w:tc>
          <w:tcPr>
            <w:tcW w:w="1355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10" w:hRule="atLeast"/>
          <w:jc w:val="center"/>
        </w:trPr>
        <w:tc>
          <w:tcPr>
            <w:tcW w:w="821" w:type="dxa"/>
            <w:vMerge w:val="continue"/>
            <w:textDirection w:val="tbRlV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</w:p>
        </w:tc>
        <w:tc>
          <w:tcPr>
            <w:tcW w:w="988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</w:p>
        </w:tc>
        <w:tc>
          <w:tcPr>
            <w:tcW w:w="9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生态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效益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指标</w:t>
            </w:r>
          </w:p>
        </w:tc>
        <w:tc>
          <w:tcPr>
            <w:tcW w:w="990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新宋体" w:hAnsi="新宋体" w:eastAsia="新宋体" w:cs="新宋体"/>
                <w:i w:val="0"/>
                <w:iCs w:val="0"/>
                <w:color w:val="000000"/>
                <w:sz w:val="21"/>
                <w:szCs w:val="21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i w:val="0"/>
                <w:iCs w:val="0"/>
                <w:color w:val="000000"/>
                <w:sz w:val="21"/>
                <w:szCs w:val="21"/>
                <w:lang w:val="en-US" w:eastAsia="zh-CN"/>
              </w:rPr>
              <w:t>加大东湖水系水环境综合治理</w:t>
            </w:r>
          </w:p>
        </w:tc>
        <w:tc>
          <w:tcPr>
            <w:tcW w:w="1054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新宋体" w:hAnsi="新宋体" w:eastAsia="新宋体" w:cs="新宋体"/>
                <w:i w:val="0"/>
                <w:iCs w:val="0"/>
                <w:color w:val="000000"/>
                <w:sz w:val="21"/>
                <w:szCs w:val="21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i w:val="0"/>
                <w:iCs w:val="0"/>
                <w:color w:val="000000"/>
                <w:sz w:val="21"/>
                <w:szCs w:val="21"/>
                <w:lang w:val="en-US" w:eastAsia="zh-CN"/>
              </w:rPr>
              <w:t>=人居环境得到改善%</w:t>
            </w:r>
          </w:p>
        </w:tc>
        <w:tc>
          <w:tcPr>
            <w:tcW w:w="997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default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100%</w:t>
            </w:r>
          </w:p>
        </w:tc>
        <w:tc>
          <w:tcPr>
            <w:tcW w:w="692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5</w:t>
            </w:r>
          </w:p>
        </w:tc>
        <w:tc>
          <w:tcPr>
            <w:tcW w:w="718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5</w:t>
            </w:r>
          </w:p>
        </w:tc>
        <w:tc>
          <w:tcPr>
            <w:tcW w:w="1355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10" w:hRule="atLeast"/>
          <w:jc w:val="center"/>
        </w:trPr>
        <w:tc>
          <w:tcPr>
            <w:tcW w:w="821" w:type="dxa"/>
            <w:vMerge w:val="continue"/>
            <w:textDirection w:val="tbRlV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</w:p>
        </w:tc>
        <w:tc>
          <w:tcPr>
            <w:tcW w:w="988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</w:p>
        </w:tc>
        <w:tc>
          <w:tcPr>
            <w:tcW w:w="9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可持续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影响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指标</w:t>
            </w:r>
          </w:p>
        </w:tc>
        <w:tc>
          <w:tcPr>
            <w:tcW w:w="990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新宋体" w:hAnsi="新宋体" w:eastAsia="新宋体" w:cs="新宋体"/>
                <w:i w:val="0"/>
                <w:iCs w:val="0"/>
                <w:color w:val="000000"/>
                <w:sz w:val="21"/>
                <w:szCs w:val="21"/>
                <w:lang w:val="en-US" w:eastAsia="zh-CN"/>
              </w:rPr>
              <w:t>全镇经济发展</w:t>
            </w:r>
          </w:p>
        </w:tc>
        <w:tc>
          <w:tcPr>
            <w:tcW w:w="1054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新宋体" w:hAnsi="新宋体" w:eastAsia="新宋体" w:cs="新宋体"/>
                <w:i w:val="0"/>
                <w:iCs w:val="0"/>
                <w:color w:val="000000"/>
                <w:sz w:val="21"/>
                <w:szCs w:val="21"/>
                <w:lang w:val="en-US" w:eastAsia="zh-CN"/>
              </w:rPr>
              <w:t>=促进全镇经济发展%</w:t>
            </w:r>
          </w:p>
        </w:tc>
        <w:tc>
          <w:tcPr>
            <w:tcW w:w="997" w:type="dxa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0" w:lineRule="atLeast"/>
              <w:ind w:left="0" w:leftChars="0" w:right="0" w:rightChars="0"/>
              <w:jc w:val="center"/>
              <w:textAlignment w:val="auto"/>
              <w:rPr>
                <w:rFonts w:hint="default" w:ascii="新宋体" w:hAnsi="新宋体" w:eastAsia="新宋体" w:cs="新宋体"/>
                <w:i w:val="0"/>
                <w:iCs w:val="0"/>
                <w:color w:val="000000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新宋体" w:hAnsi="新宋体" w:eastAsia="新宋体" w:cs="新宋体"/>
                <w:i w:val="0"/>
                <w:iCs w:val="0"/>
                <w:color w:val="000000"/>
                <w:sz w:val="21"/>
                <w:szCs w:val="21"/>
                <w:lang w:val="en-US" w:eastAsia="zh-CN"/>
              </w:rPr>
              <w:t>100%</w:t>
            </w:r>
          </w:p>
        </w:tc>
        <w:tc>
          <w:tcPr>
            <w:tcW w:w="692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5</w:t>
            </w:r>
          </w:p>
        </w:tc>
        <w:tc>
          <w:tcPr>
            <w:tcW w:w="718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5</w:t>
            </w:r>
          </w:p>
        </w:tc>
        <w:tc>
          <w:tcPr>
            <w:tcW w:w="1355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10" w:hRule="atLeast"/>
          <w:jc w:val="center"/>
        </w:trPr>
        <w:tc>
          <w:tcPr>
            <w:tcW w:w="821" w:type="dxa"/>
            <w:vMerge w:val="continue"/>
            <w:textDirection w:val="tbRlV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</w:p>
        </w:tc>
        <w:tc>
          <w:tcPr>
            <w:tcW w:w="98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满意度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指标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（10分）</w:t>
            </w:r>
          </w:p>
        </w:tc>
        <w:tc>
          <w:tcPr>
            <w:tcW w:w="994" w:type="dxa"/>
            <w:gridSpan w:val="2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服务对象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满意度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指标</w:t>
            </w:r>
          </w:p>
        </w:tc>
        <w:tc>
          <w:tcPr>
            <w:tcW w:w="990" w:type="dxa"/>
            <w:gridSpan w:val="2"/>
            <w:tcBorders>
              <w:lef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社会公众满意度</w:t>
            </w:r>
          </w:p>
        </w:tc>
        <w:tc>
          <w:tcPr>
            <w:tcW w:w="1054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&gt;=9</w:t>
            </w:r>
            <w:r>
              <w:rPr>
                <w:rFonts w:hint="eastAsia" w:ascii="宋体" w:hAnsi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8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%</w:t>
            </w:r>
          </w:p>
        </w:tc>
        <w:tc>
          <w:tcPr>
            <w:tcW w:w="997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default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9</w:t>
            </w:r>
            <w:r>
              <w:rPr>
                <w:rFonts w:hint="eastAsia" w:ascii="宋体" w:hAnsi="宋体" w:cs="宋体"/>
                <w:sz w:val="21"/>
                <w:szCs w:val="21"/>
                <w:lang w:val="en-US" w:eastAsia="zh-CN"/>
              </w:rPr>
              <w:t>6</w:t>
            </w: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%</w:t>
            </w:r>
          </w:p>
        </w:tc>
        <w:tc>
          <w:tcPr>
            <w:tcW w:w="692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default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10</w:t>
            </w:r>
          </w:p>
        </w:tc>
        <w:tc>
          <w:tcPr>
            <w:tcW w:w="718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sz w:val="21"/>
                <w:szCs w:val="21"/>
                <w:lang w:val="en-US" w:eastAsia="zh-CN"/>
              </w:rPr>
              <w:t>9</w:t>
            </w:r>
          </w:p>
        </w:tc>
        <w:tc>
          <w:tcPr>
            <w:tcW w:w="1355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10" w:hRule="atLeast"/>
          <w:jc w:val="center"/>
        </w:trPr>
        <w:tc>
          <w:tcPr>
            <w:tcW w:w="821" w:type="dxa"/>
            <w:vMerge w:val="continue"/>
            <w:textDirection w:val="tbRlV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</w:p>
        </w:tc>
        <w:tc>
          <w:tcPr>
            <w:tcW w:w="988" w:type="dxa"/>
            <w:vMerge w:val="restart"/>
            <w:tcBorders>
              <w:top w:val="single" w:color="auto" w:sz="4" w:space="0"/>
              <w:lef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成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本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指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标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（2</w:t>
            </w:r>
            <w:r>
              <w:rPr>
                <w:rFonts w:hint="eastAsia" w:ascii="宋体" w:hAnsi="宋体" w:eastAsia="宋体" w:cs="宋体"/>
                <w:sz w:val="21"/>
                <w:szCs w:val="21"/>
              </w:rPr>
              <w:t>0分</w:t>
            </w: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）</w:t>
            </w:r>
          </w:p>
        </w:tc>
        <w:tc>
          <w:tcPr>
            <w:tcW w:w="994" w:type="dxa"/>
            <w:gridSpan w:val="2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  <w:lang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eastAsia="zh-CN"/>
              </w:rPr>
              <w:t>经济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  <w:lang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eastAsia="zh-CN"/>
              </w:rPr>
              <w:t>成本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  <w:lang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eastAsia="zh-CN"/>
              </w:rPr>
              <w:t>指标</w:t>
            </w:r>
          </w:p>
        </w:tc>
        <w:tc>
          <w:tcPr>
            <w:tcW w:w="990" w:type="dxa"/>
            <w:gridSpan w:val="2"/>
            <w:tcBorders>
              <w:lef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预算内成本</w:t>
            </w:r>
          </w:p>
        </w:tc>
        <w:tc>
          <w:tcPr>
            <w:tcW w:w="1054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default" w:ascii="宋体" w:hAnsi="宋体" w:eastAsia="宋体" w:cs="宋体"/>
                <w:sz w:val="21"/>
                <w:szCs w:val="21"/>
                <w:lang w:val="en-US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&gt;=</w:t>
            </w:r>
            <w:r>
              <w:rPr>
                <w:rFonts w:hint="eastAsia" w:ascii="宋体" w:hAnsi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721.59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万元</w:t>
            </w:r>
          </w:p>
        </w:tc>
        <w:tc>
          <w:tcPr>
            <w:tcW w:w="997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default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sz w:val="21"/>
                <w:szCs w:val="21"/>
                <w:lang w:val="en-US" w:eastAsia="zh-CN"/>
              </w:rPr>
              <w:t>2262.53</w:t>
            </w: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万元</w:t>
            </w:r>
          </w:p>
        </w:tc>
        <w:tc>
          <w:tcPr>
            <w:tcW w:w="692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default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10</w:t>
            </w:r>
          </w:p>
        </w:tc>
        <w:tc>
          <w:tcPr>
            <w:tcW w:w="718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8</w:t>
            </w:r>
          </w:p>
        </w:tc>
        <w:tc>
          <w:tcPr>
            <w:tcW w:w="1355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10" w:hRule="atLeast"/>
          <w:jc w:val="center"/>
        </w:trPr>
        <w:tc>
          <w:tcPr>
            <w:tcW w:w="821" w:type="dxa"/>
            <w:vMerge w:val="continue"/>
            <w:textDirection w:val="tbRlV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</w:p>
        </w:tc>
        <w:tc>
          <w:tcPr>
            <w:tcW w:w="988" w:type="dxa"/>
            <w:vMerge w:val="continue"/>
            <w:tcBorders>
              <w:lef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</w:p>
        </w:tc>
        <w:tc>
          <w:tcPr>
            <w:tcW w:w="994" w:type="dxa"/>
            <w:gridSpan w:val="2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  <w:lang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eastAsia="zh-CN"/>
              </w:rPr>
              <w:t>社会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  <w:lang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eastAsia="zh-CN"/>
              </w:rPr>
              <w:t>成本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  <w:lang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eastAsia="zh-CN"/>
              </w:rPr>
              <w:t>指标</w:t>
            </w:r>
          </w:p>
        </w:tc>
        <w:tc>
          <w:tcPr>
            <w:tcW w:w="990" w:type="dxa"/>
            <w:gridSpan w:val="2"/>
            <w:tcBorders>
              <w:lef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  <w:lang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eastAsia="zh-CN"/>
              </w:rPr>
              <w:t>财政拨款</w:t>
            </w:r>
          </w:p>
        </w:tc>
        <w:tc>
          <w:tcPr>
            <w:tcW w:w="1054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default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=</w:t>
            </w:r>
            <w:r>
              <w:rPr>
                <w:rFonts w:hint="eastAsia" w:ascii="宋体" w:hAnsi="宋体" w:cs="宋体"/>
                <w:sz w:val="21"/>
                <w:szCs w:val="21"/>
                <w:lang w:val="en-US" w:eastAsia="zh-CN"/>
              </w:rPr>
              <w:t>2262.53</w:t>
            </w: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万元</w:t>
            </w:r>
          </w:p>
        </w:tc>
        <w:tc>
          <w:tcPr>
            <w:tcW w:w="997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default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sz w:val="21"/>
                <w:szCs w:val="21"/>
                <w:lang w:val="en-US" w:eastAsia="zh-CN"/>
              </w:rPr>
              <w:t>2262.53</w:t>
            </w: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万元</w:t>
            </w:r>
          </w:p>
        </w:tc>
        <w:tc>
          <w:tcPr>
            <w:tcW w:w="692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default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10</w:t>
            </w:r>
          </w:p>
        </w:tc>
        <w:tc>
          <w:tcPr>
            <w:tcW w:w="718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default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10</w:t>
            </w:r>
          </w:p>
        </w:tc>
        <w:tc>
          <w:tcPr>
            <w:tcW w:w="1355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10" w:hRule="atLeast"/>
          <w:jc w:val="center"/>
        </w:trPr>
        <w:tc>
          <w:tcPr>
            <w:tcW w:w="821" w:type="dxa"/>
            <w:vMerge w:val="continue"/>
            <w:textDirection w:val="tbRlV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</w:p>
        </w:tc>
        <w:tc>
          <w:tcPr>
            <w:tcW w:w="988" w:type="dxa"/>
            <w:vMerge w:val="continue"/>
            <w:tcBorders>
              <w:lef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</w:p>
        </w:tc>
        <w:tc>
          <w:tcPr>
            <w:tcW w:w="994" w:type="dxa"/>
            <w:gridSpan w:val="2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  <w:lang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eastAsia="zh-CN"/>
              </w:rPr>
              <w:t>生态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  <w:lang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eastAsia="zh-CN"/>
              </w:rPr>
              <w:t>环境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  <w:lang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eastAsia="zh-CN"/>
              </w:rPr>
              <w:t>成本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  <w:lang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eastAsia="zh-CN"/>
              </w:rPr>
              <w:t>指标</w:t>
            </w:r>
          </w:p>
        </w:tc>
        <w:tc>
          <w:tcPr>
            <w:tcW w:w="990" w:type="dxa"/>
            <w:gridSpan w:val="2"/>
            <w:tcBorders>
              <w:lef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i w:val="0"/>
                <w:iCs w:val="0"/>
                <w:color w:val="000000"/>
                <w:sz w:val="21"/>
                <w:szCs w:val="21"/>
                <w:lang w:val="en-US" w:eastAsia="zh-CN"/>
              </w:rPr>
              <w:t>上级补助收入</w:t>
            </w:r>
          </w:p>
        </w:tc>
        <w:tc>
          <w:tcPr>
            <w:tcW w:w="1054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&gt;=9</w:t>
            </w:r>
            <w:r>
              <w:rPr>
                <w:rFonts w:hint="eastAsia" w:ascii="宋体" w:hAnsi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8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%</w:t>
            </w:r>
          </w:p>
        </w:tc>
        <w:tc>
          <w:tcPr>
            <w:tcW w:w="997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default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100%</w:t>
            </w:r>
          </w:p>
        </w:tc>
        <w:tc>
          <w:tcPr>
            <w:tcW w:w="692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5</w:t>
            </w:r>
          </w:p>
        </w:tc>
        <w:tc>
          <w:tcPr>
            <w:tcW w:w="718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5</w:t>
            </w:r>
          </w:p>
        </w:tc>
        <w:tc>
          <w:tcPr>
            <w:tcW w:w="1355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10" w:hRule="atLeast"/>
          <w:jc w:val="center"/>
        </w:trPr>
        <w:tc>
          <w:tcPr>
            <w:tcW w:w="5844" w:type="dxa"/>
            <w:gridSpan w:val="8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总分</w:t>
            </w:r>
          </w:p>
        </w:tc>
        <w:tc>
          <w:tcPr>
            <w:tcW w:w="692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100</w:t>
            </w:r>
          </w:p>
        </w:tc>
        <w:tc>
          <w:tcPr>
            <w:tcW w:w="718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default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9</w:t>
            </w:r>
            <w:r>
              <w:rPr>
                <w:rFonts w:hint="eastAsia" w:ascii="宋体" w:hAnsi="宋体" w:cs="宋体"/>
                <w:sz w:val="21"/>
                <w:szCs w:val="21"/>
                <w:lang w:val="en-US" w:eastAsia="zh-CN"/>
              </w:rPr>
              <w:t>7</w:t>
            </w:r>
          </w:p>
        </w:tc>
        <w:tc>
          <w:tcPr>
            <w:tcW w:w="1355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</w:p>
        </w:tc>
      </w:tr>
    </w:tbl>
    <w:p>
      <w:pPr>
        <w:rPr>
          <w:rFonts w:hint="eastAsia" w:ascii="宋体" w:hAnsi="宋体" w:eastAsia="宋体" w:cs="宋体"/>
        </w:rPr>
      </w:pPr>
    </w:p>
    <w:p>
      <w:pPr>
        <w:rPr>
          <w:rFonts w:hint="eastAsia"/>
          <w:lang w:val="en-US" w:eastAsia="zh-CN"/>
        </w:rPr>
      </w:pPr>
      <w:r>
        <w:rPr>
          <w:rFonts w:hint="eastAsia"/>
        </w:rPr>
        <w:t>填表人：     填报日期：         联系电话：           单位负责人签字：</w:t>
      </w:r>
    </w:p>
    <w:sectPr>
      <w:footerReference r:id="rId5" w:type="default"/>
      <w:pgSz w:w="11905" w:h="16838"/>
      <w:pgMar w:top="1984" w:right="1701" w:bottom="1984" w:left="1701" w:header="850" w:footer="1587" w:gutter="0"/>
      <w:pgBorders>
        <w:top w:val="none" w:sz="0" w:space="0"/>
        <w:left w:val="none" w:sz="0" w:space="0"/>
        <w:bottom w:val="none" w:sz="0" w:space="0"/>
        <w:right w:val="none" w:sz="0" w:space="0"/>
      </w:pgBorders>
      <w:pgNumType w:fmt="numberInDash"/>
      <w:cols w:space="0" w:num="1"/>
      <w:rtlGutter w:val="0"/>
      <w:docGrid w:type="lines" w:linePitch="314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4D"/>
    <w:family w:val="auto"/>
    <w:pitch w:val="default"/>
    <w:sig w:usb0="E0002AFF" w:usb1="C0007841" w:usb2="00000009" w:usb3="00000000" w:csb0="400001FF" w:csb1="FFFF0000"/>
  </w:font>
  <w:font w:name="宋体">
    <w:panose1 w:val="02010600030101010101"/>
    <w:charset w:val="7A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1" w:fontKey="{F25860BD-7D30-4012-A65F-FDC684F393CB}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  <w:embedRegular r:id="rId2" w:fontKey="{255CCF1E-C330-43CC-84B9-C7229D6C8761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3" w:fontKey="{035FD8AC-C170-4E74-8E93-E57B47B2EDB1}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  <w:embedRegular r:id="rId4" w:fontKey="{E4E47E83-EC7F-44B7-8348-E41CA94AC4A4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5" w:fontKey="{900060D6-BAAC-48E5-9D90-8E14EEB21809}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  <w:embedRegular r:id="rId6" w:fontKey="{619483F9-99A9-4834-8C26-426EC4B4656C}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仿宋_GB2312">
    <w:panose1 w:val="02010609030101010101"/>
    <w:charset w:val="86"/>
    <w:family w:val="auto"/>
    <w:pitch w:val="default"/>
    <w:sig w:usb0="00000000" w:usb1="00000000" w:usb2="00000000" w:usb3="00000000" w:csb0="00000000" w:csb1="00000000"/>
    <w:embedRegular r:id="rId7" w:fontKey="{BB6D7267-3C80-4283-882B-A53A71A6C91B}"/>
  </w:font>
  <w:font w:name="???-18030">
    <w:altName w:val="Segoe Print"/>
    <w:panose1 w:val="00000000000000000000"/>
    <w:charset w:val="00"/>
    <w:family w:val="auto"/>
    <w:pitch w:val="default"/>
    <w:sig w:usb0="00000000" w:usb1="00000000" w:usb2="00000000" w:usb3="00000000" w:csb0="00000001" w:csb1="00000000"/>
  </w:font>
  <w:font w:name="方正小标宋简体">
    <w:panose1 w:val="03000509000000000000"/>
    <w:charset w:val="86"/>
    <w:family w:val="auto"/>
    <w:pitch w:val="default"/>
    <w:sig w:usb0="00000000" w:usb1="00000000" w:usb2="00000000" w:usb3="00000000" w:csb0="00000000" w:csb1="00000000"/>
    <w:embedRegular r:id="rId8" w:fontKey="{BADDBAE4-76CE-4F4B-B1D1-E700D077767D}"/>
  </w:font>
  <w:font w:name="新宋体">
    <w:panose1 w:val="02010609030101010101"/>
    <w:charset w:val="86"/>
    <w:family w:val="auto"/>
    <w:pitch w:val="default"/>
    <w:sig w:usb0="00000003" w:usb1="288F0000" w:usb2="00000006" w:usb3="00000000" w:csb0="00040001" w:csb1="00000000"/>
    <w:embedRegular r:id="rId9" w:fontKey="{891A9F0E-3FF2-4D55-A176-A42B25778056}"/>
  </w:font>
  <w:font w:name="华文仿宋">
    <w:panose1 w:val="02010600040101010101"/>
    <w:charset w:val="86"/>
    <w:family w:val="auto"/>
    <w:pitch w:val="default"/>
    <w:sig w:usb0="00000000" w:usb1="00000000" w:usb2="00000000" w:usb3="00000000" w:csb0="00000000" w:csb1="00000000"/>
    <w:embedRegular r:id="rId10" w:fontKey="{3E236E2D-62EB-411E-9EDF-04ED75905F93}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  <w:embedRegular r:id="rId11" w:fontKey="{7E05BD5D-1197-4550-9DBA-85F1DBBC10D6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  <w:spacing w:before="1" w:line="174" w:lineRule="auto"/>
      <w:jc w:val="center"/>
      <w:rPr>
        <w:sz w:val="28"/>
        <w:szCs w:val="28"/>
      </w:rPr>
    </w:pPr>
    <w:r>
      <w:rPr>
        <w:sz w:val="2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outside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0" name="文本框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9"/>
                            <w:keepNext w:val="0"/>
                            <w:keepLines w:val="0"/>
                            <w:pageBreakBefore w:val="0"/>
                            <w:widowControl w:val="0"/>
                            <w:kinsoku/>
                            <w:wordWrap/>
                            <w:overflowPunct/>
                            <w:topLinePunct w:val="0"/>
                            <w:bidi w:val="0"/>
                            <w:adjustRightInd/>
                            <w:snapToGrid w:val="0"/>
                            <w:ind w:left="525" w:leftChars="250" w:right="525" w:rightChars="250"/>
                            <w:textAlignment w:val="auto"/>
                            <w:rPr>
                              <w:rFonts w:hint="default" w:ascii="Times New Roman" w:hAnsi="Times New Roman" w:eastAsia="华文仿宋" w:cs="Times New Roman"/>
                              <w:sz w:val="32"/>
                              <w:szCs w:val="32"/>
                            </w:rPr>
                          </w:pPr>
                          <w:r>
                            <w:rPr>
                              <w:rFonts w:hint="default" w:ascii="Times New Roman" w:hAnsi="Times New Roman" w:eastAsia="华文仿宋" w:cs="Times New Roman"/>
                              <w:sz w:val="32"/>
                              <w:szCs w:val="32"/>
                            </w:rPr>
                            <w:fldChar w:fldCharType="begin"/>
                          </w:r>
                          <w:r>
                            <w:rPr>
                              <w:rFonts w:hint="default" w:ascii="Times New Roman" w:hAnsi="Times New Roman" w:eastAsia="华文仿宋" w:cs="Times New Roman"/>
                              <w:sz w:val="32"/>
                              <w:szCs w:val="32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default" w:ascii="Times New Roman" w:hAnsi="Times New Roman" w:eastAsia="华文仿宋" w:cs="Times New Roman"/>
                              <w:sz w:val="32"/>
                              <w:szCs w:val="32"/>
                            </w:rPr>
                            <w:fldChar w:fldCharType="separate"/>
                          </w:r>
                          <w:r>
                            <w:rPr>
                              <w:rFonts w:hint="default" w:ascii="Times New Roman" w:hAnsi="Times New Roman" w:eastAsia="华文仿宋" w:cs="Times New Roman"/>
                              <w:sz w:val="32"/>
                              <w:szCs w:val="32"/>
                            </w:rPr>
                            <w:t>7</w:t>
                          </w:r>
                          <w:r>
                            <w:rPr>
                              <w:rFonts w:hint="default" w:ascii="Times New Roman" w:hAnsi="Times New Roman" w:eastAsia="华文仿宋" w:cs="Times New Roman"/>
                              <w:sz w:val="32"/>
                              <w:szCs w:val="32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outside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9"/>
                      <w:keepNext w:val="0"/>
                      <w:keepLines w:val="0"/>
                      <w:pageBreakBefore w:val="0"/>
                      <w:widowControl w:val="0"/>
                      <w:kinsoku/>
                      <w:wordWrap/>
                      <w:overflowPunct/>
                      <w:topLinePunct w:val="0"/>
                      <w:bidi w:val="0"/>
                      <w:adjustRightInd/>
                      <w:snapToGrid w:val="0"/>
                      <w:ind w:left="525" w:leftChars="250" w:right="525" w:rightChars="250"/>
                      <w:textAlignment w:val="auto"/>
                      <w:rPr>
                        <w:rFonts w:hint="default" w:ascii="Times New Roman" w:hAnsi="Times New Roman" w:eastAsia="华文仿宋" w:cs="Times New Roman"/>
                        <w:sz w:val="32"/>
                        <w:szCs w:val="32"/>
                      </w:rPr>
                    </w:pPr>
                    <w:r>
                      <w:rPr>
                        <w:rFonts w:hint="default" w:ascii="Times New Roman" w:hAnsi="Times New Roman" w:eastAsia="华文仿宋" w:cs="Times New Roman"/>
                        <w:sz w:val="32"/>
                        <w:szCs w:val="32"/>
                      </w:rPr>
                      <w:fldChar w:fldCharType="begin"/>
                    </w:r>
                    <w:r>
                      <w:rPr>
                        <w:rFonts w:hint="default" w:ascii="Times New Roman" w:hAnsi="Times New Roman" w:eastAsia="华文仿宋" w:cs="Times New Roman"/>
                        <w:sz w:val="32"/>
                        <w:szCs w:val="32"/>
                      </w:rPr>
                      <w:instrText xml:space="preserve"> PAGE  \* MERGEFORMAT </w:instrText>
                    </w:r>
                    <w:r>
                      <w:rPr>
                        <w:rFonts w:hint="default" w:ascii="Times New Roman" w:hAnsi="Times New Roman" w:eastAsia="华文仿宋" w:cs="Times New Roman"/>
                        <w:sz w:val="32"/>
                        <w:szCs w:val="32"/>
                      </w:rPr>
                      <w:fldChar w:fldCharType="separate"/>
                    </w:r>
                    <w:r>
                      <w:rPr>
                        <w:rFonts w:hint="default" w:ascii="Times New Roman" w:hAnsi="Times New Roman" w:eastAsia="华文仿宋" w:cs="Times New Roman"/>
                        <w:sz w:val="32"/>
                        <w:szCs w:val="32"/>
                      </w:rPr>
                      <w:t>7</w:t>
                    </w:r>
                    <w:r>
                      <w:rPr>
                        <w:rFonts w:hint="default" w:ascii="Times New Roman" w:hAnsi="Times New Roman" w:eastAsia="华文仿宋" w:cs="Times New Roman"/>
                        <w:sz w:val="32"/>
                        <w:szCs w:val="32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  <w:spacing w:before="1" w:line="174" w:lineRule="auto"/>
      <w:ind w:left="8576"/>
      <w:rPr>
        <w:sz w:val="28"/>
        <w:szCs w:val="28"/>
      </w:rPr>
    </w:pPr>
    <w:r>
      <w:rPr>
        <w:sz w:val="28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outside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1" name="文本框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9"/>
                            <w:rPr>
                              <w:rFonts w:hint="eastAsia" w:ascii="华文仿宋" w:hAnsi="华文仿宋" w:eastAsia="华文仿宋" w:cs="华文仿宋"/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hint="eastAsia" w:ascii="华文仿宋" w:hAnsi="华文仿宋" w:eastAsia="华文仿宋" w:cs="华文仿宋"/>
                              <w:sz w:val="28"/>
                              <w:szCs w:val="28"/>
                            </w:rPr>
                            <w:fldChar w:fldCharType="begin"/>
                          </w:r>
                          <w:r>
                            <w:rPr>
                              <w:rFonts w:hint="eastAsia" w:ascii="华文仿宋" w:hAnsi="华文仿宋" w:eastAsia="华文仿宋" w:cs="华文仿宋"/>
                              <w:sz w:val="28"/>
                              <w:szCs w:val="28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 w:ascii="华文仿宋" w:hAnsi="华文仿宋" w:eastAsia="华文仿宋" w:cs="华文仿宋"/>
                              <w:sz w:val="28"/>
                              <w:szCs w:val="28"/>
                            </w:rPr>
                            <w:fldChar w:fldCharType="separate"/>
                          </w:r>
                          <w:r>
                            <w:rPr>
                              <w:rFonts w:hint="eastAsia" w:ascii="华文仿宋" w:hAnsi="华文仿宋" w:eastAsia="华文仿宋" w:cs="华文仿宋"/>
                              <w:sz w:val="28"/>
                              <w:szCs w:val="28"/>
                            </w:rPr>
                            <w:t>10</w:t>
                          </w:r>
                          <w:r>
                            <w:rPr>
                              <w:rFonts w:hint="eastAsia" w:ascii="华文仿宋" w:hAnsi="华文仿宋" w:eastAsia="华文仿宋" w:cs="华文仿宋"/>
                              <w:sz w:val="28"/>
                              <w:szCs w:val="28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outside;mso-position-horizontal-relative:margin;mso-wrap-style:none;z-index:251660288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9"/>
                      <w:rPr>
                        <w:rFonts w:hint="eastAsia" w:ascii="华文仿宋" w:hAnsi="华文仿宋" w:eastAsia="华文仿宋" w:cs="华文仿宋"/>
                        <w:sz w:val="28"/>
                        <w:szCs w:val="28"/>
                      </w:rPr>
                    </w:pPr>
                    <w:r>
                      <w:rPr>
                        <w:rFonts w:hint="eastAsia" w:ascii="华文仿宋" w:hAnsi="华文仿宋" w:eastAsia="华文仿宋" w:cs="华文仿宋"/>
                        <w:sz w:val="28"/>
                        <w:szCs w:val="28"/>
                      </w:rPr>
                      <w:fldChar w:fldCharType="begin"/>
                    </w:r>
                    <w:r>
                      <w:rPr>
                        <w:rFonts w:hint="eastAsia" w:ascii="华文仿宋" w:hAnsi="华文仿宋" w:eastAsia="华文仿宋" w:cs="华文仿宋"/>
                        <w:sz w:val="28"/>
                        <w:szCs w:val="28"/>
                      </w:rPr>
                      <w:instrText xml:space="preserve"> PAGE  \* MERGEFORMAT </w:instrText>
                    </w:r>
                    <w:r>
                      <w:rPr>
                        <w:rFonts w:hint="eastAsia" w:ascii="华文仿宋" w:hAnsi="华文仿宋" w:eastAsia="华文仿宋" w:cs="华文仿宋"/>
                        <w:sz w:val="28"/>
                        <w:szCs w:val="28"/>
                      </w:rPr>
                      <w:fldChar w:fldCharType="separate"/>
                    </w:r>
                    <w:r>
                      <w:rPr>
                        <w:rFonts w:hint="eastAsia" w:ascii="华文仿宋" w:hAnsi="华文仿宋" w:eastAsia="华文仿宋" w:cs="华文仿宋"/>
                        <w:sz w:val="28"/>
                        <w:szCs w:val="28"/>
                      </w:rPr>
                      <w:t>10</w:t>
                    </w:r>
                    <w:r>
                      <w:rPr>
                        <w:rFonts w:hint="eastAsia" w:ascii="华文仿宋" w:hAnsi="华文仿宋" w:eastAsia="华文仿宋" w:cs="华文仿宋"/>
                        <w:sz w:val="28"/>
                        <w:szCs w:val="28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  <w:spacing w:before="1" w:line="174" w:lineRule="auto"/>
      <w:ind w:left="574"/>
      <w:rPr>
        <w:sz w:val="28"/>
        <w:szCs w:val="28"/>
      </w:rPr>
    </w:pPr>
    <w:r>
      <w:rPr>
        <w:sz w:val="28"/>
      </w:rPr>
      <mc:AlternateContent>
        <mc:Choice Requires="wps">
          <w:drawing>
            <wp:anchor distT="0" distB="0" distL="114300" distR="114300" simplePos="0" relativeHeight="251661312" behindDoc="0" locked="0" layoutInCell="1" allowOverlap="1">
              <wp:simplePos x="0" y="0"/>
              <wp:positionH relativeFrom="margin">
                <wp:align>outside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4" name="文本框 1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9"/>
                            <w:keepNext w:val="0"/>
                            <w:keepLines w:val="0"/>
                            <w:pageBreakBefore w:val="0"/>
                            <w:widowControl w:val="0"/>
                            <w:kinsoku/>
                            <w:wordWrap/>
                            <w:overflowPunct/>
                            <w:topLinePunct w:val="0"/>
                            <w:bidi w:val="0"/>
                            <w:adjustRightInd/>
                            <w:snapToGrid w:val="0"/>
                            <w:ind w:left="525" w:leftChars="250" w:right="525" w:rightChars="250"/>
                            <w:textAlignment w:val="auto"/>
                            <w:rPr>
                              <w:rFonts w:hint="eastAsia" w:ascii="华文仿宋" w:hAnsi="华文仿宋" w:eastAsia="华文仿宋" w:cs="华文仿宋"/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hint="eastAsia" w:ascii="华文仿宋" w:hAnsi="华文仿宋" w:eastAsia="华文仿宋" w:cs="华文仿宋"/>
                              <w:sz w:val="28"/>
                              <w:szCs w:val="28"/>
                            </w:rPr>
                            <w:fldChar w:fldCharType="begin"/>
                          </w:r>
                          <w:r>
                            <w:rPr>
                              <w:rFonts w:hint="eastAsia" w:ascii="华文仿宋" w:hAnsi="华文仿宋" w:eastAsia="华文仿宋" w:cs="华文仿宋"/>
                              <w:sz w:val="28"/>
                              <w:szCs w:val="28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 w:ascii="华文仿宋" w:hAnsi="华文仿宋" w:eastAsia="华文仿宋" w:cs="华文仿宋"/>
                              <w:sz w:val="28"/>
                              <w:szCs w:val="28"/>
                            </w:rPr>
                            <w:fldChar w:fldCharType="separate"/>
                          </w:r>
                          <w:r>
                            <w:rPr>
                              <w:rFonts w:hint="eastAsia" w:ascii="华文仿宋" w:hAnsi="华文仿宋" w:eastAsia="华文仿宋" w:cs="华文仿宋"/>
                              <w:sz w:val="28"/>
                              <w:szCs w:val="28"/>
                            </w:rPr>
                            <w:t>15</w:t>
                          </w:r>
                          <w:r>
                            <w:rPr>
                              <w:rFonts w:hint="eastAsia" w:ascii="华文仿宋" w:hAnsi="华文仿宋" w:eastAsia="华文仿宋" w:cs="华文仿宋"/>
                              <w:sz w:val="28"/>
                              <w:szCs w:val="28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outside;mso-position-horizontal-relative:margin;mso-wrap-style:none;z-index:251661312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9"/>
                      <w:keepNext w:val="0"/>
                      <w:keepLines w:val="0"/>
                      <w:pageBreakBefore w:val="0"/>
                      <w:widowControl w:val="0"/>
                      <w:kinsoku/>
                      <w:wordWrap/>
                      <w:overflowPunct/>
                      <w:topLinePunct w:val="0"/>
                      <w:bidi w:val="0"/>
                      <w:adjustRightInd/>
                      <w:snapToGrid w:val="0"/>
                      <w:ind w:left="525" w:leftChars="250" w:right="525" w:rightChars="250"/>
                      <w:textAlignment w:val="auto"/>
                      <w:rPr>
                        <w:rFonts w:hint="eastAsia" w:ascii="华文仿宋" w:hAnsi="华文仿宋" w:eastAsia="华文仿宋" w:cs="华文仿宋"/>
                        <w:sz w:val="28"/>
                        <w:szCs w:val="28"/>
                      </w:rPr>
                    </w:pPr>
                    <w:r>
                      <w:rPr>
                        <w:rFonts w:hint="eastAsia" w:ascii="华文仿宋" w:hAnsi="华文仿宋" w:eastAsia="华文仿宋" w:cs="华文仿宋"/>
                        <w:sz w:val="28"/>
                        <w:szCs w:val="28"/>
                      </w:rPr>
                      <w:fldChar w:fldCharType="begin"/>
                    </w:r>
                    <w:r>
                      <w:rPr>
                        <w:rFonts w:hint="eastAsia" w:ascii="华文仿宋" w:hAnsi="华文仿宋" w:eastAsia="华文仿宋" w:cs="华文仿宋"/>
                        <w:sz w:val="28"/>
                        <w:szCs w:val="28"/>
                      </w:rPr>
                      <w:instrText xml:space="preserve"> PAGE  \* MERGEFORMAT </w:instrText>
                    </w:r>
                    <w:r>
                      <w:rPr>
                        <w:rFonts w:hint="eastAsia" w:ascii="华文仿宋" w:hAnsi="华文仿宋" w:eastAsia="华文仿宋" w:cs="华文仿宋"/>
                        <w:sz w:val="28"/>
                        <w:szCs w:val="28"/>
                      </w:rPr>
                      <w:fldChar w:fldCharType="separate"/>
                    </w:r>
                    <w:r>
                      <w:rPr>
                        <w:rFonts w:hint="eastAsia" w:ascii="华文仿宋" w:hAnsi="华文仿宋" w:eastAsia="华文仿宋" w:cs="华文仿宋"/>
                        <w:sz w:val="28"/>
                        <w:szCs w:val="28"/>
                      </w:rPr>
                      <w:t>15</w:t>
                    </w:r>
                    <w:r>
                      <w:rPr>
                        <w:rFonts w:hint="eastAsia" w:ascii="华文仿宋" w:hAnsi="华文仿宋" w:eastAsia="华文仿宋" w:cs="华文仿宋"/>
                        <w:sz w:val="28"/>
                        <w:szCs w:val="28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C59DE3BD"/>
    <w:multiLevelType w:val="singleLevel"/>
    <w:tmpl w:val="C59DE3BD"/>
    <w:lvl w:ilvl="0" w:tentative="0">
      <w:start w:val="2"/>
      <w:numFmt w:val="chineseCounting"/>
      <w:suff w:val="nothing"/>
      <w:lvlText w:val="（%1）"/>
      <w:lvlJc w:val="left"/>
      <w:rPr>
        <w:rFonts w:hint="eastAsia"/>
      </w:rPr>
    </w:lvl>
  </w:abstractNum>
  <w:abstractNum w:abstractNumId="1">
    <w:nsid w:val="E9320B48"/>
    <w:multiLevelType w:val="singleLevel"/>
    <w:tmpl w:val="E9320B48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TrueTypeFonts/>
  <w:bordersDoNotSurroundHeader w:val="0"/>
  <w:bordersDoNotSurroundFooter w:val="0"/>
  <w:documentProtection w:enforcement="0"/>
  <w:defaultTabStop w:val="420"/>
  <w:drawingGridHorizontalSpacing w:val="210"/>
  <w:drawingGridVerticalSpacing w:val="157"/>
  <w:displayHorizontalDrawingGridEvery w:val="1"/>
  <w:displayVerticalDrawingGridEvery w:val="2"/>
  <w:noPunctuationKerning w:val="1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3,4"/>
    </o:shapelayout>
  </w:hdrShapeDefaults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nderlineTabInNumLis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2EzMTc3YjllNTI5Y2UyNTk5ZWVjZGQyYjJmYTkwZjcifQ=="/>
    <w:docVar w:name="KSO_WPS_MARK_KEY" w:val="55841f92-a021-4380-99ac-9bd8fcfd3d41"/>
  </w:docVars>
  <w:rsids>
    <w:rsidRoot w:val="0CCB7736"/>
    <w:rsid w:val="00047FEF"/>
    <w:rsid w:val="000A3906"/>
    <w:rsid w:val="001776F1"/>
    <w:rsid w:val="006F0A16"/>
    <w:rsid w:val="00773328"/>
    <w:rsid w:val="00821883"/>
    <w:rsid w:val="00917857"/>
    <w:rsid w:val="00951882"/>
    <w:rsid w:val="00A755C2"/>
    <w:rsid w:val="00D06DD6"/>
    <w:rsid w:val="011D2710"/>
    <w:rsid w:val="016A347B"/>
    <w:rsid w:val="01B42948"/>
    <w:rsid w:val="01BF20E7"/>
    <w:rsid w:val="01E4322D"/>
    <w:rsid w:val="021138F7"/>
    <w:rsid w:val="02B50488"/>
    <w:rsid w:val="0338470A"/>
    <w:rsid w:val="034822A9"/>
    <w:rsid w:val="03D86621"/>
    <w:rsid w:val="04153D40"/>
    <w:rsid w:val="04EE6171"/>
    <w:rsid w:val="05315F6B"/>
    <w:rsid w:val="05395EA9"/>
    <w:rsid w:val="0616597F"/>
    <w:rsid w:val="06426ACC"/>
    <w:rsid w:val="07A62D33"/>
    <w:rsid w:val="086B5F82"/>
    <w:rsid w:val="09E6794E"/>
    <w:rsid w:val="0A067AB9"/>
    <w:rsid w:val="0A465AEA"/>
    <w:rsid w:val="0ABD557B"/>
    <w:rsid w:val="0BB15C15"/>
    <w:rsid w:val="0BBB5A8D"/>
    <w:rsid w:val="0C104906"/>
    <w:rsid w:val="0C607C21"/>
    <w:rsid w:val="0CCB7736"/>
    <w:rsid w:val="0D9E0E8D"/>
    <w:rsid w:val="0E1F65D3"/>
    <w:rsid w:val="0E3E5716"/>
    <w:rsid w:val="0E6B257C"/>
    <w:rsid w:val="0EAB7397"/>
    <w:rsid w:val="0EF755B3"/>
    <w:rsid w:val="0F17035E"/>
    <w:rsid w:val="0F4E168D"/>
    <w:rsid w:val="0F7A0392"/>
    <w:rsid w:val="0FAF3959"/>
    <w:rsid w:val="0FD26E31"/>
    <w:rsid w:val="0FE80902"/>
    <w:rsid w:val="1020625B"/>
    <w:rsid w:val="11404466"/>
    <w:rsid w:val="11837AA9"/>
    <w:rsid w:val="11963ADD"/>
    <w:rsid w:val="11EB0F5C"/>
    <w:rsid w:val="11F14D61"/>
    <w:rsid w:val="11F20483"/>
    <w:rsid w:val="12123C76"/>
    <w:rsid w:val="12831010"/>
    <w:rsid w:val="129038DB"/>
    <w:rsid w:val="13441D7E"/>
    <w:rsid w:val="135C1CDB"/>
    <w:rsid w:val="136F31F8"/>
    <w:rsid w:val="138750E0"/>
    <w:rsid w:val="1396506E"/>
    <w:rsid w:val="13D82A59"/>
    <w:rsid w:val="140E6961"/>
    <w:rsid w:val="15604228"/>
    <w:rsid w:val="15A620D3"/>
    <w:rsid w:val="16A3369E"/>
    <w:rsid w:val="16F5004B"/>
    <w:rsid w:val="17114A8B"/>
    <w:rsid w:val="176B77A7"/>
    <w:rsid w:val="178536BD"/>
    <w:rsid w:val="17DF24C4"/>
    <w:rsid w:val="18952734"/>
    <w:rsid w:val="19516372"/>
    <w:rsid w:val="19575CC2"/>
    <w:rsid w:val="19A80228"/>
    <w:rsid w:val="19AF68C7"/>
    <w:rsid w:val="19D905F7"/>
    <w:rsid w:val="19E85A53"/>
    <w:rsid w:val="1A101464"/>
    <w:rsid w:val="1A4C1518"/>
    <w:rsid w:val="1AB71087"/>
    <w:rsid w:val="1AB74849"/>
    <w:rsid w:val="1AC52FF2"/>
    <w:rsid w:val="1AE6175D"/>
    <w:rsid w:val="1B742AA7"/>
    <w:rsid w:val="1BD5498B"/>
    <w:rsid w:val="1BF15B4E"/>
    <w:rsid w:val="1CA34935"/>
    <w:rsid w:val="1D5A640E"/>
    <w:rsid w:val="1E9351E5"/>
    <w:rsid w:val="1F7640EC"/>
    <w:rsid w:val="20176B8B"/>
    <w:rsid w:val="20D30097"/>
    <w:rsid w:val="20D76C5F"/>
    <w:rsid w:val="20E55C2B"/>
    <w:rsid w:val="21057490"/>
    <w:rsid w:val="214A230E"/>
    <w:rsid w:val="21B052C4"/>
    <w:rsid w:val="226C6BA7"/>
    <w:rsid w:val="22B43877"/>
    <w:rsid w:val="22CA430C"/>
    <w:rsid w:val="22DF2F05"/>
    <w:rsid w:val="22FF5445"/>
    <w:rsid w:val="23201E3D"/>
    <w:rsid w:val="2342170A"/>
    <w:rsid w:val="238D0428"/>
    <w:rsid w:val="238D0E57"/>
    <w:rsid w:val="24256710"/>
    <w:rsid w:val="251E7983"/>
    <w:rsid w:val="25FE2B31"/>
    <w:rsid w:val="260D5D83"/>
    <w:rsid w:val="260E1D77"/>
    <w:rsid w:val="277A77CA"/>
    <w:rsid w:val="28043432"/>
    <w:rsid w:val="284A2254"/>
    <w:rsid w:val="28E30DCE"/>
    <w:rsid w:val="29165294"/>
    <w:rsid w:val="292F1467"/>
    <w:rsid w:val="29786927"/>
    <w:rsid w:val="297B51B4"/>
    <w:rsid w:val="29E40467"/>
    <w:rsid w:val="29F527E2"/>
    <w:rsid w:val="2A9A1E2C"/>
    <w:rsid w:val="2BF35971"/>
    <w:rsid w:val="2C487650"/>
    <w:rsid w:val="2C5A7AC4"/>
    <w:rsid w:val="2E4F43C0"/>
    <w:rsid w:val="2EC7368E"/>
    <w:rsid w:val="2EDC05D9"/>
    <w:rsid w:val="2F240CAA"/>
    <w:rsid w:val="2F5137B6"/>
    <w:rsid w:val="2FF62815"/>
    <w:rsid w:val="30FB4B41"/>
    <w:rsid w:val="312E12C1"/>
    <w:rsid w:val="31621165"/>
    <w:rsid w:val="31BE4652"/>
    <w:rsid w:val="31D50CD0"/>
    <w:rsid w:val="322E1E8E"/>
    <w:rsid w:val="323C5548"/>
    <w:rsid w:val="33235CE2"/>
    <w:rsid w:val="33A4019B"/>
    <w:rsid w:val="33F22F3B"/>
    <w:rsid w:val="342370BD"/>
    <w:rsid w:val="34281B05"/>
    <w:rsid w:val="359F2200"/>
    <w:rsid w:val="35A42962"/>
    <w:rsid w:val="36AD0EA9"/>
    <w:rsid w:val="36FF783F"/>
    <w:rsid w:val="37450F88"/>
    <w:rsid w:val="375F1A7E"/>
    <w:rsid w:val="378B026E"/>
    <w:rsid w:val="37B47BE4"/>
    <w:rsid w:val="37D6106F"/>
    <w:rsid w:val="37F52D97"/>
    <w:rsid w:val="38241593"/>
    <w:rsid w:val="38856E40"/>
    <w:rsid w:val="38BE1DF3"/>
    <w:rsid w:val="38D61E41"/>
    <w:rsid w:val="38F862EB"/>
    <w:rsid w:val="39343807"/>
    <w:rsid w:val="39887BBC"/>
    <w:rsid w:val="3A0F7AD4"/>
    <w:rsid w:val="3A53023B"/>
    <w:rsid w:val="3AF42D2D"/>
    <w:rsid w:val="3B062751"/>
    <w:rsid w:val="3B3A041F"/>
    <w:rsid w:val="3BAE6BF9"/>
    <w:rsid w:val="3BEE0229"/>
    <w:rsid w:val="3C3568D7"/>
    <w:rsid w:val="3CCA47F2"/>
    <w:rsid w:val="3CDE0708"/>
    <w:rsid w:val="3D33006A"/>
    <w:rsid w:val="3D3954D4"/>
    <w:rsid w:val="3D5877DF"/>
    <w:rsid w:val="3D5C4FEC"/>
    <w:rsid w:val="3DAE53BC"/>
    <w:rsid w:val="3DC55CAA"/>
    <w:rsid w:val="3DD556CA"/>
    <w:rsid w:val="3DFE271A"/>
    <w:rsid w:val="3E5F4AE1"/>
    <w:rsid w:val="3F450429"/>
    <w:rsid w:val="3FB6105E"/>
    <w:rsid w:val="3FBF3F86"/>
    <w:rsid w:val="3FF70715"/>
    <w:rsid w:val="3FFD550C"/>
    <w:rsid w:val="4021030A"/>
    <w:rsid w:val="40226C80"/>
    <w:rsid w:val="40C451A5"/>
    <w:rsid w:val="40C671E5"/>
    <w:rsid w:val="40E331D5"/>
    <w:rsid w:val="41051ABE"/>
    <w:rsid w:val="4156470B"/>
    <w:rsid w:val="41943ACE"/>
    <w:rsid w:val="42521D88"/>
    <w:rsid w:val="425D4066"/>
    <w:rsid w:val="42605E1E"/>
    <w:rsid w:val="42CE6719"/>
    <w:rsid w:val="430118BA"/>
    <w:rsid w:val="43173FD4"/>
    <w:rsid w:val="43B27D8E"/>
    <w:rsid w:val="43D00200"/>
    <w:rsid w:val="44143822"/>
    <w:rsid w:val="44654A12"/>
    <w:rsid w:val="44E421C9"/>
    <w:rsid w:val="45320384"/>
    <w:rsid w:val="457C5F26"/>
    <w:rsid w:val="4716830A"/>
    <w:rsid w:val="47BF53CA"/>
    <w:rsid w:val="47D94207"/>
    <w:rsid w:val="48B126BB"/>
    <w:rsid w:val="49CF255F"/>
    <w:rsid w:val="4A3239D7"/>
    <w:rsid w:val="4B2C5DCD"/>
    <w:rsid w:val="4B46D032"/>
    <w:rsid w:val="4B7D1173"/>
    <w:rsid w:val="4BBDFBDE"/>
    <w:rsid w:val="4BCF5C41"/>
    <w:rsid w:val="4C150E22"/>
    <w:rsid w:val="4C6A38FC"/>
    <w:rsid w:val="4CD520DA"/>
    <w:rsid w:val="4CE74BC3"/>
    <w:rsid w:val="4CEEB85C"/>
    <w:rsid w:val="4CF5000E"/>
    <w:rsid w:val="4CF74D38"/>
    <w:rsid w:val="4D6D6EEB"/>
    <w:rsid w:val="4DB17672"/>
    <w:rsid w:val="4DB27F04"/>
    <w:rsid w:val="4F5D15A2"/>
    <w:rsid w:val="4FCB46B2"/>
    <w:rsid w:val="4FFE57BD"/>
    <w:rsid w:val="50AC44C4"/>
    <w:rsid w:val="50EA6DB9"/>
    <w:rsid w:val="50FC089B"/>
    <w:rsid w:val="51453FF0"/>
    <w:rsid w:val="515661FD"/>
    <w:rsid w:val="51714DE5"/>
    <w:rsid w:val="51CA7471"/>
    <w:rsid w:val="521C2FA3"/>
    <w:rsid w:val="522529B2"/>
    <w:rsid w:val="524806C4"/>
    <w:rsid w:val="5301082D"/>
    <w:rsid w:val="5387476B"/>
    <w:rsid w:val="53910AF4"/>
    <w:rsid w:val="53FBDA3F"/>
    <w:rsid w:val="54F63F7F"/>
    <w:rsid w:val="555952B3"/>
    <w:rsid w:val="555E65E4"/>
    <w:rsid w:val="556B5A36"/>
    <w:rsid w:val="5599697B"/>
    <w:rsid w:val="55AF40BB"/>
    <w:rsid w:val="55E65FDC"/>
    <w:rsid w:val="5613734A"/>
    <w:rsid w:val="562D7E5B"/>
    <w:rsid w:val="564F3D12"/>
    <w:rsid w:val="56F72F7C"/>
    <w:rsid w:val="5717642E"/>
    <w:rsid w:val="57946554"/>
    <w:rsid w:val="57D80A00"/>
    <w:rsid w:val="586243BF"/>
    <w:rsid w:val="58FD3402"/>
    <w:rsid w:val="5968027A"/>
    <w:rsid w:val="5AAF7799"/>
    <w:rsid w:val="5AB04BD0"/>
    <w:rsid w:val="5B5C1753"/>
    <w:rsid w:val="5BAE68E2"/>
    <w:rsid w:val="5BE211F7"/>
    <w:rsid w:val="5BF510BE"/>
    <w:rsid w:val="5C6C4B26"/>
    <w:rsid w:val="5D03DFF6"/>
    <w:rsid w:val="5D9C3D56"/>
    <w:rsid w:val="5DD775C7"/>
    <w:rsid w:val="5E134100"/>
    <w:rsid w:val="5F7A1C50"/>
    <w:rsid w:val="5FC69000"/>
    <w:rsid w:val="601C4AB5"/>
    <w:rsid w:val="604F2F3E"/>
    <w:rsid w:val="60624663"/>
    <w:rsid w:val="60BE691E"/>
    <w:rsid w:val="60F838FC"/>
    <w:rsid w:val="61444403"/>
    <w:rsid w:val="62265BDF"/>
    <w:rsid w:val="62E1699A"/>
    <w:rsid w:val="62FBC294"/>
    <w:rsid w:val="63123C13"/>
    <w:rsid w:val="637D5875"/>
    <w:rsid w:val="64147F0D"/>
    <w:rsid w:val="64B713E7"/>
    <w:rsid w:val="64D66362"/>
    <w:rsid w:val="65860217"/>
    <w:rsid w:val="659D5052"/>
    <w:rsid w:val="667E0AA1"/>
    <w:rsid w:val="66AE5CE5"/>
    <w:rsid w:val="66D4191C"/>
    <w:rsid w:val="677027A4"/>
    <w:rsid w:val="67B37C7A"/>
    <w:rsid w:val="67F20A94"/>
    <w:rsid w:val="68FB17C3"/>
    <w:rsid w:val="695F12F9"/>
    <w:rsid w:val="69636C3A"/>
    <w:rsid w:val="696D83E8"/>
    <w:rsid w:val="69C60A20"/>
    <w:rsid w:val="69CF7B2C"/>
    <w:rsid w:val="69EE4FDB"/>
    <w:rsid w:val="69FEC155"/>
    <w:rsid w:val="6A0B0004"/>
    <w:rsid w:val="6A3273AF"/>
    <w:rsid w:val="6AC56475"/>
    <w:rsid w:val="6AD35263"/>
    <w:rsid w:val="6B8D38AE"/>
    <w:rsid w:val="6BA1010E"/>
    <w:rsid w:val="6BC80F42"/>
    <w:rsid w:val="6C955CB1"/>
    <w:rsid w:val="6CE47E41"/>
    <w:rsid w:val="6CED5810"/>
    <w:rsid w:val="6CF92413"/>
    <w:rsid w:val="6DFE5E04"/>
    <w:rsid w:val="6E0D1F7B"/>
    <w:rsid w:val="6E796921"/>
    <w:rsid w:val="6E87203D"/>
    <w:rsid w:val="6F9278BB"/>
    <w:rsid w:val="6FB7D4E3"/>
    <w:rsid w:val="6FBE0EF0"/>
    <w:rsid w:val="6FFF1C22"/>
    <w:rsid w:val="70EC5DDE"/>
    <w:rsid w:val="71572F19"/>
    <w:rsid w:val="719B7427"/>
    <w:rsid w:val="71E33685"/>
    <w:rsid w:val="71F326B3"/>
    <w:rsid w:val="724A6793"/>
    <w:rsid w:val="72647B59"/>
    <w:rsid w:val="7372FC32"/>
    <w:rsid w:val="73A56E44"/>
    <w:rsid w:val="73B12A87"/>
    <w:rsid w:val="741F26FA"/>
    <w:rsid w:val="74470DF8"/>
    <w:rsid w:val="744E1D52"/>
    <w:rsid w:val="74BD60BB"/>
    <w:rsid w:val="74CF0052"/>
    <w:rsid w:val="74FA3C0D"/>
    <w:rsid w:val="751D6EAE"/>
    <w:rsid w:val="75FD1676"/>
    <w:rsid w:val="7687113B"/>
    <w:rsid w:val="76C3247D"/>
    <w:rsid w:val="76EFC8B0"/>
    <w:rsid w:val="776ACBF9"/>
    <w:rsid w:val="77FF7A21"/>
    <w:rsid w:val="7951325E"/>
    <w:rsid w:val="799536BA"/>
    <w:rsid w:val="7B170752"/>
    <w:rsid w:val="7B382425"/>
    <w:rsid w:val="7B8F681B"/>
    <w:rsid w:val="7BC55225"/>
    <w:rsid w:val="7BFF9B5C"/>
    <w:rsid w:val="7C3B673F"/>
    <w:rsid w:val="7CC202A1"/>
    <w:rsid w:val="7CED5089"/>
    <w:rsid w:val="7D8636B9"/>
    <w:rsid w:val="7DD96C0E"/>
    <w:rsid w:val="7E352599"/>
    <w:rsid w:val="7E474F7B"/>
    <w:rsid w:val="7E7F4A49"/>
    <w:rsid w:val="7E8F7AC1"/>
    <w:rsid w:val="7F2BE2DA"/>
    <w:rsid w:val="7F7F87CE"/>
    <w:rsid w:val="7FB79B09"/>
    <w:rsid w:val="7FE97AB9"/>
    <w:rsid w:val="7FF13FB3"/>
    <w:rsid w:val="7FF31D0E"/>
    <w:rsid w:val="7FFDD6B3"/>
    <w:rsid w:val="7FFFB476"/>
    <w:rsid w:val="8BDF47C4"/>
    <w:rsid w:val="97BCC380"/>
    <w:rsid w:val="9FFF52D8"/>
    <w:rsid w:val="AEB56B76"/>
    <w:rsid w:val="AF9DF110"/>
    <w:rsid w:val="AFABB544"/>
    <w:rsid w:val="B8EB831F"/>
    <w:rsid w:val="B97CA8A2"/>
    <w:rsid w:val="BDEC0853"/>
    <w:rsid w:val="BEDF2C93"/>
    <w:rsid w:val="BFCF8B12"/>
    <w:rsid w:val="BFDE3C5E"/>
    <w:rsid w:val="BFF98747"/>
    <w:rsid w:val="BFFBFE8B"/>
    <w:rsid w:val="CD1D59DB"/>
    <w:rsid w:val="D8BFEB7A"/>
    <w:rsid w:val="DA7C7C00"/>
    <w:rsid w:val="DBBAFFF2"/>
    <w:rsid w:val="DCEDDEBC"/>
    <w:rsid w:val="DD7F0B52"/>
    <w:rsid w:val="DF2D0D8F"/>
    <w:rsid w:val="DF5FFD2E"/>
    <w:rsid w:val="DF7CB467"/>
    <w:rsid w:val="DFD16BC5"/>
    <w:rsid w:val="E7C7ECFD"/>
    <w:rsid w:val="E993F613"/>
    <w:rsid w:val="EAF02C80"/>
    <w:rsid w:val="EAFDC676"/>
    <w:rsid w:val="EC7CC44F"/>
    <w:rsid w:val="EDFFCE85"/>
    <w:rsid w:val="EFFEB24D"/>
    <w:rsid w:val="EFFFEA89"/>
    <w:rsid w:val="F67CDAB7"/>
    <w:rsid w:val="F7FFE2AA"/>
    <w:rsid w:val="FA96002D"/>
    <w:rsid w:val="FAFB27C0"/>
    <w:rsid w:val="FAFD7633"/>
    <w:rsid w:val="FB1719BC"/>
    <w:rsid w:val="FB2CBFEE"/>
    <w:rsid w:val="FBF58250"/>
    <w:rsid w:val="FCABCEC9"/>
    <w:rsid w:val="FD2B24D7"/>
    <w:rsid w:val="FDB340CE"/>
    <w:rsid w:val="FDFF90A7"/>
    <w:rsid w:val="FECB43AA"/>
    <w:rsid w:val="FEF02C5D"/>
    <w:rsid w:val="FEF9D4A3"/>
    <w:rsid w:val="FF5F60DE"/>
    <w:rsid w:val="FF5FC66C"/>
    <w:rsid w:val="FF9F4BB4"/>
    <w:rsid w:val="FFBB7CF0"/>
    <w:rsid w:val="FFDD4AC6"/>
    <w:rsid w:val="FFDEE716"/>
    <w:rsid w:val="FFF927C6"/>
    <w:rsid w:val="FFFB44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doNotAutoCompressPictures/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 w:locked="1"/>
    <w:lsdException w:qFormat="1" w:uiPriority="0" w:semiHidden="0" w:name="heading 2" w:locked="1"/>
    <w:lsdException w:qFormat="1" w:uiPriority="0" w:name="heading 3" w:locked="1"/>
    <w:lsdException w:qFormat="1" w:uiPriority="0" w:name="heading 4" w:locked="1"/>
    <w:lsdException w:qFormat="1" w:uiPriority="0" w:name="heading 5" w:locked="1"/>
    <w:lsdException w:qFormat="1" w:uiPriority="0" w:name="heading 6" w:locked="1"/>
    <w:lsdException w:qFormat="1" w:uiPriority="0" w:name="heading 7" w:locked="1"/>
    <w:lsdException w:qFormat="1" w:uiPriority="0" w:name="heading 8" w:locked="1"/>
    <w:lsdException w:qFormat="1" w:uiPriority="0" w:name="heading 9" w:locked="1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qFormat="1" w:unhideWhenUsed="0" w:uiPriority="0" w:semiHidden="0" w:name="toc 1"/>
    <w:lsdException w:uiPriority="39" w:name="toc 2"/>
    <w:lsdException w:uiPriority="39" w:name="toc 3"/>
    <w:lsdException w:uiPriority="39" w:name="toc 4"/>
    <w:lsdException w:qFormat="1" w:unhideWhenUsed="0" w:uiPriority="0" w:semiHidden="0" w:name="toc 5"/>
    <w:lsdException w:uiPriority="39" w:name="toc 6"/>
    <w:lsdException w:uiPriority="39" w:name="toc 7"/>
    <w:lsdException w:uiPriority="39" w:name="toc 8"/>
    <w:lsdException w:uiPriority="39" w:name="toc 9"/>
    <w:lsdException w:qFormat="1" w:unhideWhenUsed="0" w:uiPriority="0" w:semiHidden="0" w:name="Normal Indent"/>
    <w:lsdException w:qFormat="1" w:unhideWhenUsed="0" w:uiPriority="0" w:semiHidden="0" w:name="footnote text"/>
    <w:lsdException w:uiPriority="99" w:name="annotation text"/>
    <w:lsdException w:qFormat="1" w:unhideWhenUsed="0" w:uiPriority="99" w:semiHidden="0" w:name="header"/>
    <w:lsdException w:qFormat="1" w:unhideWhenUsed="0" w:uiPriority="99" w:semiHidden="0" w:name="footer"/>
    <w:lsdException w:uiPriority="99" w:name="index heading"/>
    <w:lsdException w:qFormat="1" w:uiPriority="0" w:name="caption" w:locked="1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qFormat="1" w:unhideWhenUsed="0" w:uiPriority="99" w:semiHidden="0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0" w:semiHidden="0" w:name="Title" w:locked="1"/>
    <w:lsdException w:uiPriority="99" w:name="Closing"/>
    <w:lsdException w:uiPriority="99" w:name="Signature"/>
    <w:lsdException w:qFormat="1" w:unhideWhenUsed="0" w:uiPriority="99" w:name="Default Paragraph Font"/>
    <w:lsdException w:qFormat="1" w:unhideWhenUsed="0" w:uiPriority="0" w:name="Body Text"/>
    <w:lsdException w:qFormat="1" w:unhideWhenUsed="0" w:uiPriority="0" w:semiHidden="0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0" w:semiHidden="0" w:name="Subtitle" w:locked="1"/>
    <w:lsdException w:uiPriority="99" w:name="Salutation"/>
    <w:lsdException w:uiPriority="99" w:name="Date"/>
    <w:lsdException w:qFormat="1" w:unhideWhenUsed="0" w:uiPriority="0" w:semiHidden="0" w:name="Body Text First Indent"/>
    <w:lsdException w:qFormat="1" w:unhideWhenUsed="0" w:uiPriority="0" w:semiHidden="0" w:name="Body Text First Indent 2"/>
    <w:lsdException w:uiPriority="99" w:name="Note Heading"/>
    <w:lsdException w:uiPriority="99" w:name="Body Text 2"/>
    <w:lsdException w:uiPriority="99" w:name="Body Text 3"/>
    <w:lsdException w:qFormat="1" w:unhideWhenUsed="0" w:uiPriority="0" w:semiHidden="0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0" w:semiHidden="0" w:name="Strong" w:locked="1"/>
    <w:lsdException w:qFormat="1" w:unhideWhenUsed="0" w:uiPriority="0" w:semiHidden="0" w:name="Emphasis" w:locked="1"/>
    <w:lsdException w:uiPriority="99" w:name="Document Map"/>
    <w:lsdException w:uiPriority="99" w:name="Plain Text"/>
    <w:lsdException w:uiPriority="99" w:name="E-mail Signature"/>
    <w:lsdException w:qFormat="1"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qFormat="1" w:unhideWhenUsed="0" w:uiPriority="9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styleId="3">
    <w:name w:val="heading 1"/>
    <w:basedOn w:val="1"/>
    <w:next w:val="1"/>
    <w:qFormat/>
    <w:locked/>
    <w:uiPriority w:val="0"/>
    <w:pPr>
      <w:keepNext/>
      <w:keepLines/>
      <w:outlineLvl w:val="0"/>
    </w:pPr>
    <w:rPr>
      <w:rFonts w:eastAsia="黑体"/>
      <w:bCs/>
      <w:kern w:val="44"/>
      <w:szCs w:val="44"/>
    </w:rPr>
  </w:style>
  <w:style w:type="paragraph" w:styleId="4">
    <w:name w:val="heading 2"/>
    <w:basedOn w:val="1"/>
    <w:next w:val="1"/>
    <w:unhideWhenUsed/>
    <w:qFormat/>
    <w:locked/>
    <w:uiPriority w:val="0"/>
    <w:pPr>
      <w:spacing w:before="100" w:beforeAutospacing="1" w:after="100" w:afterAutospacing="1"/>
      <w:jc w:val="left"/>
      <w:outlineLvl w:val="1"/>
    </w:pPr>
    <w:rPr>
      <w:rFonts w:hint="eastAsia" w:ascii="宋体" w:hAnsi="宋体" w:eastAsia="宋体" w:cs="宋体"/>
      <w:b/>
      <w:bCs/>
      <w:kern w:val="0"/>
      <w:sz w:val="36"/>
      <w:szCs w:val="36"/>
      <w:lang w:val="en-US" w:eastAsia="zh-CN" w:bidi="ar"/>
    </w:rPr>
  </w:style>
  <w:style w:type="character" w:default="1" w:styleId="18">
    <w:name w:val="Default Paragraph Font"/>
    <w:semiHidden/>
    <w:qFormat/>
    <w:uiPriority w:val="99"/>
  </w:style>
  <w:style w:type="table" w:default="1" w:styleId="16">
    <w:name w:val="Normal Table"/>
    <w:semiHidden/>
    <w:unhideWhenUsed/>
    <w:qFormat/>
    <w:uiPriority w:val="99"/>
    <w:pPr>
      <w:keepNext w:val="0"/>
      <w:keepLines w:val="0"/>
      <w:widowControl/>
      <w:suppressLineNumbers w:val="0"/>
      <w:spacing w:before="0" w:beforeAutospacing="0" w:after="0" w:afterAutospacing="0"/>
      <w:ind w:left="0" w:right="0"/>
    </w:pPr>
    <w:rPr>
      <w:rFonts w:hint="default" w:ascii="Times New Roman" w:hAnsi="Times New Roman" w:eastAsia="Times New Roman" w:cs="Times New Roman"/>
      <w:sz w:val="20"/>
      <w:szCs w:val="20"/>
    </w:rPr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Indent"/>
    <w:basedOn w:val="1"/>
    <w:qFormat/>
    <w:uiPriority w:val="0"/>
    <w:pPr>
      <w:widowControl/>
      <w:overflowPunct w:val="0"/>
      <w:autoSpaceDE w:val="0"/>
      <w:autoSpaceDN w:val="0"/>
      <w:adjustRightInd w:val="0"/>
      <w:ind w:firstLine="420" w:firstLineChars="200"/>
      <w:textAlignment w:val="baseline"/>
    </w:pPr>
    <w:rPr>
      <w:rFonts w:ascii="Calibri" w:hAnsi="Calibri"/>
      <w:kern w:val="0"/>
      <w:szCs w:val="22"/>
    </w:rPr>
  </w:style>
  <w:style w:type="paragraph" w:styleId="5">
    <w:name w:val="Body Text"/>
    <w:basedOn w:val="1"/>
    <w:next w:val="6"/>
    <w:semiHidden/>
    <w:qFormat/>
    <w:uiPriority w:val="0"/>
    <w:rPr>
      <w:rFonts w:ascii="仿宋" w:hAnsi="仿宋" w:eastAsia="仿宋" w:cs="仿宋"/>
      <w:sz w:val="31"/>
      <w:szCs w:val="31"/>
      <w:lang w:val="en-US" w:eastAsia="en-US" w:bidi="ar-SA"/>
    </w:rPr>
  </w:style>
  <w:style w:type="paragraph" w:styleId="6">
    <w:name w:val="toc 5"/>
    <w:basedOn w:val="1"/>
    <w:next w:val="1"/>
    <w:qFormat/>
    <w:uiPriority w:val="0"/>
    <w:pPr>
      <w:widowControl w:val="0"/>
      <w:ind w:left="1680" w:leftChars="800"/>
      <w:jc w:val="both"/>
    </w:pPr>
    <w:rPr>
      <w:kern w:val="2"/>
      <w:sz w:val="21"/>
      <w:szCs w:val="21"/>
      <w:lang w:val="en-US" w:eastAsia="zh-CN" w:bidi="ar-SA"/>
    </w:rPr>
  </w:style>
  <w:style w:type="paragraph" w:styleId="7">
    <w:name w:val="Body Text Indent"/>
    <w:basedOn w:val="1"/>
    <w:qFormat/>
    <w:uiPriority w:val="0"/>
    <w:pPr>
      <w:spacing w:after="120"/>
      <w:ind w:left="420" w:leftChars="200"/>
    </w:pPr>
    <w:rPr>
      <w:rFonts w:ascii="Times New Roman" w:hAnsi="Times New Roman" w:eastAsia="宋体" w:cs="Times New Roman"/>
    </w:rPr>
  </w:style>
  <w:style w:type="paragraph" w:styleId="8">
    <w:name w:val="Body Text Indent 2"/>
    <w:basedOn w:val="1"/>
    <w:qFormat/>
    <w:uiPriority w:val="0"/>
    <w:pPr>
      <w:spacing w:after="120" w:afterAutospacing="0" w:line="480" w:lineRule="auto"/>
      <w:ind w:left="420" w:leftChars="200"/>
    </w:pPr>
  </w:style>
  <w:style w:type="paragraph" w:styleId="9">
    <w:name w:val="footer"/>
    <w:basedOn w:val="1"/>
    <w:link w:val="21"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10">
    <w:name w:val="header"/>
    <w:basedOn w:val="1"/>
    <w:link w:val="22"/>
    <w:qFormat/>
    <w:uiPriority w:val="99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11">
    <w:name w:val="toc 1"/>
    <w:basedOn w:val="1"/>
    <w:next w:val="1"/>
    <w:qFormat/>
    <w:uiPriority w:val="0"/>
    <w:pPr>
      <w:widowControl w:val="0"/>
      <w:spacing w:after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styleId="12">
    <w:name w:val="footnote text"/>
    <w:basedOn w:val="1"/>
    <w:next w:val="1"/>
    <w:qFormat/>
    <w:uiPriority w:val="0"/>
    <w:pPr>
      <w:snapToGrid w:val="0"/>
      <w:jc w:val="left"/>
    </w:pPr>
    <w:rPr>
      <w:sz w:val="18"/>
      <w:szCs w:val="18"/>
    </w:rPr>
  </w:style>
  <w:style w:type="paragraph" w:styleId="13">
    <w:name w:val="Normal (Web)"/>
    <w:basedOn w:val="1"/>
    <w:semiHidden/>
    <w:unhideWhenUsed/>
    <w:qFormat/>
    <w:uiPriority w:val="99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  <w:style w:type="paragraph" w:styleId="14">
    <w:name w:val="Body Text First Indent"/>
    <w:basedOn w:val="5"/>
    <w:qFormat/>
    <w:uiPriority w:val="0"/>
    <w:pPr>
      <w:ind w:firstLine="100" w:firstLineChars="100"/>
    </w:pPr>
  </w:style>
  <w:style w:type="paragraph" w:styleId="15">
    <w:name w:val="Body Text First Indent 2"/>
    <w:basedOn w:val="7"/>
    <w:qFormat/>
    <w:uiPriority w:val="0"/>
    <w:pPr>
      <w:spacing w:before="100" w:beforeAutospacing="1" w:after="0"/>
      <w:ind w:left="0" w:firstLine="420" w:firstLineChars="200"/>
    </w:pPr>
    <w:rPr>
      <w:rFonts w:ascii="Calibri" w:hAnsi="Calibri" w:eastAsia="宋体" w:cs="Times New Roman"/>
    </w:rPr>
  </w:style>
  <w:style w:type="table" w:styleId="17">
    <w:name w:val="Table Grid"/>
    <w:basedOn w:val="16"/>
    <w:qFormat/>
    <w:uiPriority w:val="99"/>
    <w:pPr>
      <w:widowControl w:val="0"/>
      <w:jc w:val="both"/>
    </w:pPr>
    <w:rPr>
      <w:kern w:val="0"/>
      <w:sz w:val="20"/>
      <w:szCs w:val="20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character" w:styleId="19">
    <w:name w:val="Strong"/>
    <w:basedOn w:val="18"/>
    <w:qFormat/>
    <w:locked/>
    <w:uiPriority w:val="0"/>
    <w:rPr>
      <w:b/>
      <w:bCs/>
    </w:rPr>
  </w:style>
  <w:style w:type="character" w:styleId="20">
    <w:name w:val="page number"/>
    <w:basedOn w:val="18"/>
    <w:qFormat/>
    <w:uiPriority w:val="99"/>
    <w:rPr>
      <w:rFonts w:cs="Times New Roman"/>
    </w:rPr>
  </w:style>
  <w:style w:type="character" w:customStyle="1" w:styleId="21">
    <w:name w:val="Footer Char"/>
    <w:basedOn w:val="18"/>
    <w:link w:val="9"/>
    <w:semiHidden/>
    <w:qFormat/>
    <w:uiPriority w:val="99"/>
    <w:rPr>
      <w:sz w:val="18"/>
      <w:szCs w:val="18"/>
    </w:rPr>
  </w:style>
  <w:style w:type="character" w:customStyle="1" w:styleId="22">
    <w:name w:val="Header Char"/>
    <w:basedOn w:val="18"/>
    <w:link w:val="10"/>
    <w:semiHidden/>
    <w:qFormat/>
    <w:uiPriority w:val="99"/>
    <w:rPr>
      <w:sz w:val="18"/>
      <w:szCs w:val="18"/>
    </w:rPr>
  </w:style>
  <w:style w:type="paragraph" w:styleId="23">
    <w:name w:val="List Paragraph"/>
    <w:basedOn w:val="1"/>
    <w:qFormat/>
    <w:uiPriority w:val="99"/>
    <w:pPr>
      <w:ind w:firstLine="420" w:firstLineChars="200"/>
    </w:pPr>
    <w:rPr>
      <w:rFonts w:ascii="Calibri" w:hAnsi="Calibri"/>
      <w:szCs w:val="22"/>
    </w:rPr>
  </w:style>
  <w:style w:type="table" w:customStyle="1" w:styleId="24">
    <w:name w:val="Table Normal"/>
    <w:semiHidden/>
    <w:unhideWhenUsed/>
    <w:qFormat/>
    <w:uiPriority w:val="0"/>
    <w:tblPr>
      <w:tblLayout w:type="fixed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25">
    <w:name w:val="Table Text"/>
    <w:basedOn w:val="1"/>
    <w:semiHidden/>
    <w:qFormat/>
    <w:uiPriority w:val="0"/>
    <w:rPr>
      <w:rFonts w:ascii="Arial" w:hAnsi="Arial" w:eastAsia="Arial" w:cs="Arial"/>
      <w:sz w:val="21"/>
      <w:szCs w:val="21"/>
      <w:lang w:val="en-US" w:eastAsia="en-US" w:bidi="ar-SA"/>
    </w:rPr>
  </w:style>
  <w:style w:type="paragraph" w:customStyle="1" w:styleId="26">
    <w:name w:val="BodyText"/>
    <w:basedOn w:val="1"/>
    <w:next w:val="27"/>
    <w:qFormat/>
    <w:uiPriority w:val="0"/>
    <w:pPr>
      <w:widowControl/>
      <w:spacing w:before="100" w:beforeAutospacing="1" w:after="120" w:line="560" w:lineRule="exact"/>
      <w:ind w:firstLine="640" w:firstLineChars="200"/>
      <w:textAlignment w:val="baseline"/>
    </w:pPr>
    <w:rPr>
      <w:rFonts w:eastAsia="仿宋_GB2312"/>
      <w:sz w:val="32"/>
      <w:szCs w:val="32"/>
    </w:rPr>
  </w:style>
  <w:style w:type="paragraph" w:customStyle="1" w:styleId="27">
    <w:name w:val="UserStyle_3"/>
    <w:basedOn w:val="1"/>
    <w:qFormat/>
    <w:uiPriority w:val="0"/>
    <w:pPr>
      <w:widowControl/>
      <w:pBdr>
        <w:top w:val="single" w:color="000000" w:sz="4" w:space="0"/>
        <w:left w:val="single" w:color="000000" w:sz="8" w:space="0"/>
        <w:bottom w:val="single" w:color="000000" w:sz="4" w:space="0"/>
        <w:right w:val="single" w:color="000000" w:sz="4" w:space="0"/>
      </w:pBdr>
      <w:spacing w:before="100" w:beforeAutospacing="1" w:after="100" w:afterAutospacing="1" w:line="560" w:lineRule="exact"/>
      <w:ind w:firstLine="640" w:firstLineChars="200"/>
      <w:jc w:val="center"/>
      <w:textAlignment w:val="baseline"/>
    </w:pPr>
    <w:rPr>
      <w:rFonts w:ascii="???-18030" w:hAnsi="???-18030" w:eastAsia="仿宋_GB2312"/>
      <w:kern w:val="0"/>
      <w:sz w:val="32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numbering" Target="numbering.xml"/><Relationship Id="rId7" Type="http://schemas.openxmlformats.org/officeDocument/2006/relationships/customXml" Target="../customXml/item1.xml"/><Relationship Id="rId6" Type="http://schemas.openxmlformats.org/officeDocument/2006/relationships/theme" Target="theme/theme1.xml"/><Relationship Id="rId5" Type="http://schemas.openxmlformats.org/officeDocument/2006/relationships/footer" Target="footer3.xml"/><Relationship Id="rId4" Type="http://schemas.openxmlformats.org/officeDocument/2006/relationships/footer" Target="footer2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9" Type="http://schemas.openxmlformats.org/officeDocument/2006/relationships/font" Target="fonts/font9.odttf"/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1" Type="http://schemas.openxmlformats.org/officeDocument/2006/relationships/font" Target="fonts/font11.odttf"/><Relationship Id="rId10" Type="http://schemas.openxmlformats.org/officeDocument/2006/relationships/font" Target="fonts/font10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</Template>
  <Pages>14</Pages>
  <Words>4148</Words>
  <Characters>4703</Characters>
  <Lines>0</Lines>
  <Paragraphs>0</Paragraphs>
  <TotalTime>15</TotalTime>
  <ScaleCrop>false</ScaleCrop>
  <LinksUpToDate>false</LinksUpToDate>
  <CharactersWithSpaces>4784</CharactersWithSpaces>
  <Application>WPS Office_11.1.0.9021_F1E327BC-269C-435d-A152-05C5408002CA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2020-06-06T01:07:00Z</dcterms:created>
  <dc:creator>Administrator</dc:creator>
  <cp:lastModifiedBy>Administrator</cp:lastModifiedBy>
  <cp:lastPrinted>2024-05-20T07:59:00Z</cp:lastPrinted>
  <dcterms:modified xsi:type="dcterms:W3CDTF">2024-05-23T17:46:51Z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2052-11.1.0.9021</vt:lpwstr>
  </property>
  <property fmtid="{D5CDD505-2E9C-101B-9397-08002B2CF9AE}" pid="3" name="KSOSaveFontToCloudKey">
    <vt:lpwstr>386772509_embed</vt:lpwstr>
  </property>
  <property fmtid="{D5CDD505-2E9C-101B-9397-08002B2CF9AE}" pid="4" name="ICV">
    <vt:lpwstr>9CC01C7BD4944ED0AB76D6B45FFD8790_13</vt:lpwstr>
  </property>
</Properties>
</file>