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5EE35">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46861C50">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华容县鲇鱼须镇人民政府</w:t>
      </w:r>
      <w:r>
        <w:rPr>
          <w:rFonts w:hint="eastAsia" w:ascii="方正小标宋_GBK" w:hAnsi="方正小标宋_GBK" w:eastAsia="方正小标宋_GBK" w:cs="方正小标宋_GBK"/>
          <w:color w:val="auto"/>
          <w:sz w:val="84"/>
          <w:szCs w:val="84"/>
        </w:rPr>
        <w:t>部门决算</w:t>
      </w:r>
    </w:p>
    <w:p w14:paraId="0DC03D44">
      <w:pPr>
        <w:pStyle w:val="14"/>
        <w:spacing w:line="500" w:lineRule="exact"/>
        <w:jc w:val="both"/>
        <w:rPr>
          <w:b/>
          <w:color w:val="auto"/>
          <w:sz w:val="36"/>
          <w:szCs w:val="28"/>
        </w:rPr>
      </w:pPr>
    </w:p>
    <w:p w14:paraId="3891039E">
      <w:pPr>
        <w:pStyle w:val="14"/>
        <w:spacing w:line="500" w:lineRule="exact"/>
        <w:jc w:val="center"/>
        <w:rPr>
          <w:b/>
          <w:color w:val="auto"/>
          <w:sz w:val="36"/>
          <w:szCs w:val="28"/>
        </w:rPr>
      </w:pPr>
      <w:r>
        <w:rPr>
          <w:rFonts w:hint="eastAsia"/>
          <w:b/>
          <w:color w:val="auto"/>
          <w:sz w:val="36"/>
          <w:szCs w:val="28"/>
        </w:rPr>
        <w:t>目录</w:t>
      </w:r>
    </w:p>
    <w:p w14:paraId="1D3679BA">
      <w:pPr>
        <w:pStyle w:val="14"/>
        <w:spacing w:line="500" w:lineRule="exact"/>
        <w:rPr>
          <w:rFonts w:hAnsi="黑体"/>
          <w:bCs/>
          <w:color w:val="auto"/>
          <w:sz w:val="28"/>
          <w:szCs w:val="28"/>
        </w:rPr>
      </w:pPr>
      <w:r>
        <w:rPr>
          <w:rFonts w:hint="eastAsia" w:hAnsi="黑体"/>
          <w:bCs/>
          <w:color w:val="auto"/>
          <w:sz w:val="28"/>
          <w:szCs w:val="28"/>
        </w:rPr>
        <w:t>第一部分华容县鲇鱼须镇人民政府概况</w:t>
      </w:r>
    </w:p>
    <w:p w14:paraId="31C930A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5DB58E3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7F7D1CFF">
      <w:pPr>
        <w:pStyle w:val="14"/>
        <w:spacing w:line="500" w:lineRule="exact"/>
        <w:rPr>
          <w:rFonts w:hAnsi="黑体"/>
          <w:bCs/>
          <w:color w:val="auto"/>
          <w:sz w:val="28"/>
          <w:szCs w:val="28"/>
        </w:rPr>
      </w:pPr>
      <w:r>
        <w:rPr>
          <w:rFonts w:hint="eastAsia" w:hAnsi="黑体"/>
          <w:bCs/>
          <w:color w:val="auto"/>
          <w:sz w:val="28"/>
          <w:szCs w:val="28"/>
        </w:rPr>
        <w:t>第二部分 部门决算表</w:t>
      </w:r>
    </w:p>
    <w:p w14:paraId="5C84AE3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74FC693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3D83F93F">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61C7478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360E936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3487766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0AEBDF7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28FC279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2C76894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18FB55E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27DC30E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6D003DB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340A3F9C">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7C216DC4">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07A8F784">
      <w:pPr>
        <w:pStyle w:val="14"/>
        <w:spacing w:line="500" w:lineRule="exact"/>
        <w:rPr>
          <w:rFonts w:hAnsi="黑体"/>
          <w:bCs/>
          <w:color w:val="auto"/>
          <w:sz w:val="28"/>
          <w:szCs w:val="28"/>
        </w:rPr>
      </w:pPr>
      <w:r>
        <w:rPr>
          <w:rFonts w:hint="eastAsia" w:hAnsi="黑体"/>
          <w:bCs/>
          <w:color w:val="auto"/>
          <w:sz w:val="28"/>
          <w:szCs w:val="28"/>
        </w:rPr>
        <w:t>第四部分 名词解释</w:t>
      </w:r>
    </w:p>
    <w:p w14:paraId="0E9F8A19">
      <w:pPr>
        <w:pStyle w:val="14"/>
        <w:spacing w:line="500" w:lineRule="exact"/>
        <w:rPr>
          <w:rFonts w:hAnsi="黑体"/>
          <w:bCs/>
          <w:color w:val="auto"/>
          <w:sz w:val="28"/>
          <w:szCs w:val="28"/>
        </w:rPr>
      </w:pPr>
      <w:r>
        <w:rPr>
          <w:rFonts w:hint="eastAsia" w:hAnsi="黑体"/>
          <w:bCs/>
          <w:color w:val="auto"/>
          <w:sz w:val="28"/>
          <w:szCs w:val="28"/>
        </w:rPr>
        <w:t>第五部分 附件</w:t>
      </w:r>
    </w:p>
    <w:p w14:paraId="7345D8E6">
      <w:pPr>
        <w:pStyle w:val="14"/>
        <w:spacing w:line="500" w:lineRule="exact"/>
        <w:rPr>
          <w:rFonts w:hAnsi="黑体"/>
          <w:bCs/>
          <w:color w:val="auto"/>
          <w:sz w:val="28"/>
          <w:szCs w:val="28"/>
        </w:rPr>
      </w:pPr>
    </w:p>
    <w:p w14:paraId="3A00A2BB">
      <w:pPr>
        <w:pStyle w:val="14"/>
        <w:jc w:val="center"/>
        <w:rPr>
          <w:rFonts w:ascii="方正小标宋_GBK" w:hAnsi="方正小标宋_GBK" w:eastAsia="方正小标宋_GBK" w:cs="方正小标宋_GBK"/>
          <w:color w:val="auto"/>
          <w:sz w:val="48"/>
          <w:szCs w:val="48"/>
        </w:rPr>
      </w:pPr>
    </w:p>
    <w:p w14:paraId="23F5DAF4">
      <w:pPr>
        <w:pStyle w:val="14"/>
        <w:jc w:val="center"/>
        <w:rPr>
          <w:rFonts w:ascii="方正小标宋_GBK" w:hAnsi="方正小标宋_GBK" w:eastAsia="方正小标宋_GBK" w:cs="方正小标宋_GBK"/>
          <w:color w:val="auto"/>
          <w:sz w:val="48"/>
          <w:szCs w:val="48"/>
        </w:rPr>
      </w:pPr>
    </w:p>
    <w:p w14:paraId="6B6C5A30">
      <w:pPr>
        <w:pStyle w:val="14"/>
        <w:jc w:val="center"/>
        <w:rPr>
          <w:rFonts w:ascii="方正小标宋_GBK" w:hAnsi="方正小标宋_GBK" w:eastAsia="方正小标宋_GBK" w:cs="方正小标宋_GBK"/>
          <w:color w:val="auto"/>
          <w:sz w:val="48"/>
          <w:szCs w:val="48"/>
        </w:rPr>
      </w:pPr>
    </w:p>
    <w:p w14:paraId="2B5B2D19">
      <w:pPr>
        <w:pStyle w:val="14"/>
        <w:jc w:val="center"/>
        <w:rPr>
          <w:rFonts w:ascii="方正小标宋_GBK" w:hAnsi="方正小标宋_GBK" w:eastAsia="方正小标宋_GBK" w:cs="方正小标宋_GBK"/>
          <w:color w:val="auto"/>
          <w:sz w:val="48"/>
          <w:szCs w:val="48"/>
        </w:rPr>
      </w:pPr>
    </w:p>
    <w:p w14:paraId="484723FE">
      <w:pPr>
        <w:pStyle w:val="14"/>
        <w:jc w:val="center"/>
        <w:rPr>
          <w:rFonts w:ascii="方正小标宋_GBK" w:hAnsi="方正小标宋_GBK" w:eastAsia="方正小标宋_GBK" w:cs="方正小标宋_GBK"/>
          <w:color w:val="auto"/>
          <w:sz w:val="48"/>
          <w:szCs w:val="48"/>
        </w:rPr>
      </w:pPr>
    </w:p>
    <w:p w14:paraId="37183DBF">
      <w:pPr>
        <w:pStyle w:val="14"/>
        <w:jc w:val="center"/>
        <w:rPr>
          <w:rFonts w:ascii="方正小标宋_GBK" w:hAnsi="方正小标宋_GBK" w:eastAsia="方正小标宋_GBK" w:cs="方正小标宋_GBK"/>
          <w:color w:val="auto"/>
          <w:sz w:val="48"/>
          <w:szCs w:val="48"/>
        </w:rPr>
      </w:pPr>
    </w:p>
    <w:p w14:paraId="577DA74D">
      <w:pPr>
        <w:pStyle w:val="14"/>
        <w:jc w:val="center"/>
        <w:rPr>
          <w:rFonts w:ascii="方正小标宋_GBK" w:hAnsi="方正小标宋_GBK" w:eastAsia="方正小标宋_GBK" w:cs="方正小标宋_GBK"/>
          <w:color w:val="auto"/>
          <w:sz w:val="48"/>
          <w:szCs w:val="48"/>
        </w:rPr>
      </w:pPr>
    </w:p>
    <w:p w14:paraId="541EA70A">
      <w:pPr>
        <w:pStyle w:val="14"/>
        <w:jc w:val="center"/>
        <w:rPr>
          <w:rFonts w:ascii="方正小标宋_GBK" w:hAnsi="方正小标宋_GBK" w:eastAsia="方正小标宋_GBK" w:cs="方正小标宋_GBK"/>
          <w:color w:val="auto"/>
          <w:sz w:val="48"/>
          <w:szCs w:val="48"/>
        </w:rPr>
      </w:pPr>
    </w:p>
    <w:p w14:paraId="23B6670C">
      <w:pPr>
        <w:pStyle w:val="14"/>
        <w:jc w:val="center"/>
        <w:rPr>
          <w:rFonts w:ascii="方正小标宋_GBK" w:hAnsi="方正小标宋_GBK" w:eastAsia="方正小标宋_GBK" w:cs="方正小标宋_GBK"/>
          <w:color w:val="auto"/>
          <w:sz w:val="48"/>
          <w:szCs w:val="48"/>
        </w:rPr>
      </w:pPr>
    </w:p>
    <w:p w14:paraId="62F17090">
      <w:pPr>
        <w:pStyle w:val="14"/>
        <w:jc w:val="center"/>
        <w:rPr>
          <w:rFonts w:ascii="方正小标宋_GBK" w:hAnsi="方正小标宋_GBK" w:eastAsia="方正小标宋_GBK" w:cs="方正小标宋_GBK"/>
          <w:color w:val="auto"/>
          <w:sz w:val="48"/>
          <w:szCs w:val="48"/>
        </w:rPr>
      </w:pPr>
    </w:p>
    <w:p w14:paraId="027B0D5F">
      <w:pPr>
        <w:pStyle w:val="14"/>
        <w:jc w:val="center"/>
        <w:rPr>
          <w:rFonts w:ascii="方正小标宋_GBK" w:hAnsi="方正小标宋_GBK" w:eastAsia="方正小标宋_GBK" w:cs="方正小标宋_GBK"/>
          <w:color w:val="auto"/>
          <w:sz w:val="48"/>
          <w:szCs w:val="48"/>
        </w:rPr>
      </w:pPr>
    </w:p>
    <w:p w14:paraId="2BCA873F">
      <w:pPr>
        <w:pStyle w:val="14"/>
        <w:jc w:val="center"/>
        <w:rPr>
          <w:rFonts w:ascii="方正小标宋_GBK" w:hAnsi="方正小标宋_GBK" w:eastAsia="方正小标宋_GBK" w:cs="方正小标宋_GBK"/>
          <w:color w:val="auto"/>
          <w:sz w:val="48"/>
          <w:szCs w:val="48"/>
        </w:rPr>
      </w:pPr>
    </w:p>
    <w:p w14:paraId="4726C14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430B7E7C">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华容县鲇鱼须镇人民政府概况</w:t>
      </w:r>
    </w:p>
    <w:p w14:paraId="69D90003">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0A2AA7C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5E8E372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5183EB2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7D97F02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39AE97D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镇退役军人服务站：负责退役军人就业创业、优抚帮扶、权益保障、数据信息采集、走访慰问等事务性工作。</w:t>
      </w:r>
    </w:p>
    <w:p w14:paraId="7CEA2F6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5BFF355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3E0E174D">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4C88FC7">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70AFBEA0">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华容县鲇鱼须镇人民政府单位内设机构包括：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018516B7">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3E469755">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华容县鲇鱼须镇人民政府单位2023年部门决算汇总公开单位构成包括：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7820EB1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0DB9662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3A6E1BC0">
      <w:pPr>
        <w:pStyle w:val="14"/>
        <w:jc w:val="center"/>
        <w:rPr>
          <w:rFonts w:hAnsi="黑体"/>
          <w:bCs/>
          <w:color w:val="auto"/>
          <w:kern w:val="2"/>
          <w:sz w:val="32"/>
          <w:szCs w:val="32"/>
        </w:rPr>
      </w:pPr>
      <w:r>
        <w:rPr>
          <w:rFonts w:hint="eastAsia" w:hAnsi="黑体"/>
          <w:bCs/>
          <w:color w:val="auto"/>
          <w:kern w:val="2"/>
          <w:sz w:val="32"/>
          <w:szCs w:val="32"/>
        </w:rPr>
        <w:t>详见附件表格</w:t>
      </w:r>
    </w:p>
    <w:p w14:paraId="4E5B2945">
      <w:pPr>
        <w:pStyle w:val="14"/>
        <w:jc w:val="center"/>
        <w:rPr>
          <w:rFonts w:ascii="方正小标宋_GBK" w:hAnsi="方正小标宋_GBK" w:eastAsia="方正小标宋_GBK" w:cs="方正小标宋_GBK"/>
          <w:color w:val="auto"/>
          <w:sz w:val="48"/>
          <w:szCs w:val="48"/>
        </w:rPr>
      </w:pPr>
    </w:p>
    <w:p w14:paraId="385B308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3B8D052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3026C0BB">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155020BD">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3681.07</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年相比，收、支总计各增加</w:t>
      </w:r>
      <w:r>
        <w:rPr>
          <w:rFonts w:ascii="宋体" w:hAnsi="Times New Roman" w:eastAsia="宋体" w:cs="宋体"/>
          <w:sz w:val="32"/>
          <w:szCs w:val="32"/>
          <w:highlight w:val="white"/>
          <w:lang w:val="zh-CN"/>
        </w:rPr>
        <w:t>1765.05</w:t>
      </w:r>
      <w:r>
        <w:rPr>
          <w:rFonts w:hint="eastAsia" w:ascii="宋体" w:hAnsi="Times New Roman" w:eastAsia="宋体" w:cs="宋体"/>
          <w:sz w:val="32"/>
          <w:szCs w:val="32"/>
          <w:highlight w:val="white"/>
          <w:lang w:val="zh-CN"/>
        </w:rPr>
        <w:t>万元，增长</w:t>
      </w:r>
      <w:r>
        <w:rPr>
          <w:rFonts w:ascii="宋体" w:hAnsi="Times New Roman" w:eastAsia="宋体" w:cs="宋体"/>
          <w:sz w:val="32"/>
          <w:szCs w:val="32"/>
          <w:highlight w:val="white"/>
          <w:lang w:val="zh-CN"/>
        </w:rPr>
        <w:t>92.12%</w:t>
      </w:r>
      <w:r>
        <w:rPr>
          <w:rFonts w:hint="eastAsia" w:ascii="宋体" w:hAnsi="Times New Roman" w:eastAsia="宋体" w:cs="宋体"/>
          <w:sz w:val="32"/>
          <w:szCs w:val="32"/>
          <w:highlight w:val="white"/>
          <w:lang w:val="zh-CN"/>
        </w:rPr>
        <w:t>。主要原因是业务工作任务增加，基本支出增加</w:t>
      </w:r>
      <w:r>
        <w:rPr>
          <w:rFonts w:ascii="宋体" w:hAnsi="Times New Roman" w:eastAsia="宋体" w:cs="宋体"/>
          <w:sz w:val="32"/>
          <w:szCs w:val="32"/>
          <w:highlight w:val="white"/>
          <w:lang w:val="zh-CN"/>
        </w:rPr>
        <w:t>1343.16</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421.89</w:t>
      </w:r>
      <w:r>
        <w:rPr>
          <w:rFonts w:hint="eastAsia" w:ascii="宋体" w:hAnsi="Times New Roman" w:eastAsia="宋体" w:cs="宋体"/>
          <w:sz w:val="32"/>
          <w:szCs w:val="32"/>
          <w:highlight w:val="white"/>
          <w:lang w:val="zh-CN"/>
        </w:rPr>
        <w:t>万元，收入增加</w:t>
      </w:r>
      <w:r>
        <w:rPr>
          <w:rFonts w:ascii="宋体" w:hAnsi="Times New Roman" w:eastAsia="宋体" w:cs="宋体"/>
          <w:sz w:val="32"/>
          <w:szCs w:val="32"/>
          <w:highlight w:val="white"/>
          <w:lang w:val="zh-CN"/>
        </w:rPr>
        <w:t>1765.05</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0AD12E72">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705D9B3A">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3681.07</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3681.07</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06527BB5">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77C366C4">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3681.07</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1384.56</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37.61%</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2296.51</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62.39%</w:t>
      </w:r>
      <w:r>
        <w:rPr>
          <w:rFonts w:hint="eastAsia" w:ascii="宋体" w:hAnsi="Times New Roman" w:eastAsia="宋体" w:cs="宋体"/>
          <w:sz w:val="32"/>
          <w:szCs w:val="32"/>
          <w:highlight w:val="white"/>
        </w:rPr>
        <w:t>。</w:t>
      </w:r>
    </w:p>
    <w:p w14:paraId="2980083B">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0AF1E03F">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3681.07</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财政拨款收、支总计各增加</w:t>
      </w:r>
      <w:r>
        <w:rPr>
          <w:rFonts w:ascii="宋体" w:hAnsi="Times New Roman" w:eastAsia="宋体" w:cs="宋体"/>
          <w:sz w:val="32"/>
          <w:szCs w:val="32"/>
          <w:highlight w:val="white"/>
        </w:rPr>
        <w:t>1765.05</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92.12%</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主要原因是业务工作任务增加，基本支出增加</w:t>
      </w:r>
      <w:r>
        <w:rPr>
          <w:rFonts w:ascii="宋体" w:hAnsi="Times New Roman" w:eastAsia="宋体" w:cs="宋体"/>
          <w:sz w:val="32"/>
          <w:szCs w:val="32"/>
          <w:highlight w:val="white"/>
          <w:lang w:val="zh-CN"/>
        </w:rPr>
        <w:t>1343.16</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421.89</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财政拨款</w:t>
      </w:r>
      <w:r>
        <w:rPr>
          <w:rFonts w:hint="eastAsia" w:ascii="宋体" w:hAnsi="Times New Roman" w:eastAsia="宋体" w:cs="宋体"/>
          <w:sz w:val="32"/>
          <w:szCs w:val="32"/>
          <w:highlight w:val="white"/>
          <w:lang w:val="zh-CN"/>
        </w:rPr>
        <w:t>增加</w:t>
      </w:r>
      <w:r>
        <w:rPr>
          <w:rFonts w:ascii="宋体" w:hAnsi="Times New Roman" w:eastAsia="宋体" w:cs="宋体"/>
          <w:sz w:val="32"/>
          <w:szCs w:val="32"/>
          <w:highlight w:val="white"/>
          <w:lang w:val="zh-CN"/>
        </w:rPr>
        <w:t>1765.05</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71AE9FEC">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09D5201E">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24BE78CB">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3515.07</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95.49%</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年度相比，财政拨款支出增加</w:t>
      </w:r>
      <w:r>
        <w:rPr>
          <w:rFonts w:ascii="宋体" w:hAnsi="Times New Roman" w:eastAsia="宋体" w:cs="宋体"/>
          <w:sz w:val="32"/>
          <w:szCs w:val="32"/>
          <w:highlight w:val="white"/>
        </w:rPr>
        <w:t>1652.55</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88.73%,</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业务工作任务增加，基本支出增加</w:t>
      </w:r>
      <w:r>
        <w:rPr>
          <w:rFonts w:ascii="宋体" w:hAnsi="Times New Roman" w:eastAsia="宋体" w:cs="宋体"/>
          <w:sz w:val="32"/>
          <w:szCs w:val="32"/>
          <w:highlight w:val="white"/>
          <w:lang w:val="zh-CN"/>
        </w:rPr>
        <w:t>1343.16</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309.39</w:t>
      </w:r>
      <w:r>
        <w:rPr>
          <w:rFonts w:hint="eastAsia" w:ascii="宋体" w:hAnsi="Times New Roman" w:eastAsia="宋体" w:cs="宋体"/>
          <w:sz w:val="32"/>
          <w:szCs w:val="32"/>
          <w:highlight w:val="white"/>
          <w:lang w:val="zh-CN"/>
        </w:rPr>
        <w:t>万元。</w:t>
      </w:r>
    </w:p>
    <w:p w14:paraId="22D8FF9C">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716EDB7F">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3515.07</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1321.28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37.59%</w:t>
      </w:r>
      <w:r>
        <w:rPr>
          <w:rFonts w:hint="eastAsia" w:ascii="宋体" w:hAnsi="Times New Roman" w:eastAsia="宋体" w:cs="宋体"/>
          <w:kern w:val="0"/>
          <w:sz w:val="32"/>
          <w:szCs w:val="32"/>
          <w:highlight w:val="white"/>
        </w:rPr>
        <w:t>；国防（类）支出</w:t>
      </w:r>
      <w:r>
        <w:rPr>
          <w:rFonts w:ascii="宋体" w:hAnsi="Times New Roman" w:eastAsia="宋体" w:cs="宋体"/>
          <w:kern w:val="0"/>
          <w:sz w:val="32"/>
          <w:szCs w:val="32"/>
          <w:highlight w:val="white"/>
        </w:rPr>
        <w:t>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0.23%</w:t>
      </w:r>
      <w:r>
        <w:rPr>
          <w:rFonts w:hint="eastAsia" w:ascii="宋体" w:hAnsi="Times New Roman" w:eastAsia="宋体" w:cs="宋体"/>
          <w:kern w:val="0"/>
          <w:sz w:val="32"/>
          <w:szCs w:val="32"/>
          <w:highlight w:val="white"/>
        </w:rPr>
        <w:t>；公共安全（类）支出</w:t>
      </w:r>
      <w:r>
        <w:rPr>
          <w:rFonts w:ascii="宋体" w:hAnsi="Times New Roman" w:eastAsia="宋体" w:cs="宋体"/>
          <w:kern w:val="0"/>
          <w:sz w:val="32"/>
          <w:szCs w:val="32"/>
          <w:highlight w:val="white"/>
        </w:rPr>
        <w:t>1.98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0.06%</w:t>
      </w:r>
      <w:r>
        <w:rPr>
          <w:rFonts w:hint="eastAsia" w:ascii="宋体" w:hAnsi="Times New Roman" w:eastAsia="宋体" w:cs="宋体"/>
          <w:kern w:val="0"/>
          <w:sz w:val="32"/>
          <w:szCs w:val="32"/>
          <w:highlight w:val="white"/>
        </w:rPr>
        <w:t>；文化旅游体育与传媒（类）支出</w:t>
      </w:r>
      <w:r>
        <w:rPr>
          <w:rFonts w:ascii="宋体" w:hAnsi="Times New Roman" w:eastAsia="宋体" w:cs="宋体"/>
          <w:kern w:val="0"/>
          <w:sz w:val="32"/>
          <w:szCs w:val="32"/>
          <w:highlight w:val="white"/>
        </w:rPr>
        <w:t>21.4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0.61%</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453.12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12.89%</w:t>
      </w:r>
      <w:r>
        <w:rPr>
          <w:rFonts w:hint="eastAsia" w:ascii="宋体" w:hAnsi="Times New Roman" w:eastAsia="宋体" w:cs="宋体"/>
          <w:kern w:val="0"/>
          <w:sz w:val="32"/>
          <w:szCs w:val="32"/>
          <w:highlight w:val="white"/>
        </w:rPr>
        <w:t>；节能环保（类）支出</w:t>
      </w:r>
      <w:r>
        <w:rPr>
          <w:rFonts w:ascii="宋体" w:hAnsi="Times New Roman" w:eastAsia="宋体" w:cs="宋体"/>
          <w:kern w:val="0"/>
          <w:sz w:val="32"/>
          <w:szCs w:val="32"/>
          <w:highlight w:val="white"/>
        </w:rPr>
        <w:t>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0.14%</w:t>
      </w:r>
      <w:r>
        <w:rPr>
          <w:rFonts w:hint="eastAsia" w:ascii="宋体" w:hAnsi="Times New Roman" w:eastAsia="宋体" w:cs="宋体"/>
          <w:kern w:val="0"/>
          <w:sz w:val="32"/>
          <w:szCs w:val="32"/>
          <w:highlight w:val="white"/>
        </w:rPr>
        <w:t>；城乡社区（类）支出</w:t>
      </w:r>
      <w:r>
        <w:rPr>
          <w:rFonts w:ascii="宋体" w:hAnsi="Times New Roman" w:eastAsia="宋体" w:cs="宋体"/>
          <w:kern w:val="0"/>
          <w:sz w:val="32"/>
          <w:szCs w:val="32"/>
          <w:highlight w:val="white"/>
        </w:rPr>
        <w:t>101.44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2.89%</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1380.03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39.26%</w:t>
      </w:r>
      <w:r>
        <w:rPr>
          <w:rFonts w:hint="eastAsia" w:ascii="宋体" w:hAnsi="Times New Roman" w:eastAsia="宋体" w:cs="宋体"/>
          <w:kern w:val="0"/>
          <w:sz w:val="32"/>
          <w:szCs w:val="32"/>
          <w:highlight w:val="white"/>
        </w:rPr>
        <w:t>；交通运输（类）支出</w:t>
      </w:r>
      <w:r>
        <w:rPr>
          <w:rFonts w:ascii="宋体" w:hAnsi="Times New Roman" w:eastAsia="宋体" w:cs="宋体"/>
          <w:kern w:val="0"/>
          <w:sz w:val="32"/>
          <w:szCs w:val="32"/>
          <w:highlight w:val="white"/>
        </w:rPr>
        <w:t>20.82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0.59%</w:t>
      </w:r>
      <w:r>
        <w:rPr>
          <w:rFonts w:hint="eastAsia" w:ascii="宋体" w:hAnsi="Times New Roman" w:eastAsia="宋体" w:cs="宋体"/>
          <w:kern w:val="0"/>
          <w:sz w:val="32"/>
          <w:szCs w:val="32"/>
          <w:highlight w:val="white"/>
        </w:rPr>
        <w:t>；商业服务业等（类）支出</w:t>
      </w:r>
      <w:r>
        <w:rPr>
          <w:rFonts w:ascii="宋体" w:hAnsi="Times New Roman" w:eastAsia="宋体" w:cs="宋体"/>
          <w:kern w:val="0"/>
          <w:sz w:val="32"/>
          <w:szCs w:val="32"/>
          <w:highlight w:val="white"/>
        </w:rPr>
        <w:t>15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0.43%</w:t>
      </w:r>
      <w:r>
        <w:rPr>
          <w:rFonts w:hint="eastAsia" w:ascii="宋体" w:hAnsi="Times New Roman" w:eastAsia="宋体" w:cs="宋体"/>
          <w:kern w:val="0"/>
          <w:sz w:val="32"/>
          <w:szCs w:val="32"/>
          <w:highlight w:val="white"/>
        </w:rPr>
        <w:t>；然资源海洋气象等（类）支出</w:t>
      </w:r>
      <w:r>
        <w:rPr>
          <w:rFonts w:ascii="宋体" w:hAnsi="Times New Roman" w:eastAsia="宋体" w:cs="宋体"/>
          <w:kern w:val="0"/>
          <w:sz w:val="32"/>
          <w:szCs w:val="32"/>
          <w:highlight w:val="white"/>
        </w:rPr>
        <w:t>21</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0.6%</w:t>
      </w:r>
      <w:r>
        <w:rPr>
          <w:rFonts w:hint="eastAsia" w:ascii="宋体" w:hAnsi="Times New Roman" w:eastAsia="宋体" w:cs="宋体"/>
          <w:kern w:val="0"/>
          <w:sz w:val="32"/>
          <w:szCs w:val="32"/>
          <w:highlight w:val="white"/>
        </w:rPr>
        <w:t>；粮油物资储备（类）支出</w:t>
      </w:r>
      <w:r>
        <w:rPr>
          <w:rFonts w:ascii="宋体" w:hAnsi="Times New Roman" w:eastAsia="宋体" w:cs="宋体"/>
          <w:kern w:val="0"/>
          <w:sz w:val="32"/>
          <w:szCs w:val="32"/>
          <w:highlight w:val="white"/>
        </w:rPr>
        <w:t>122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3.47%</w:t>
      </w:r>
      <w:r>
        <w:rPr>
          <w:rFonts w:hint="eastAsia" w:ascii="宋体" w:hAnsi="Times New Roman" w:eastAsia="宋体" w:cs="宋体"/>
          <w:kern w:val="0"/>
          <w:sz w:val="32"/>
          <w:szCs w:val="32"/>
          <w:highlight w:val="white"/>
        </w:rPr>
        <w:t>；灾害防治及应急管理（类）支出</w:t>
      </w:r>
      <w:r>
        <w:rPr>
          <w:rFonts w:ascii="宋体" w:hAnsi="Times New Roman" w:eastAsia="宋体" w:cs="宋体"/>
          <w:kern w:val="0"/>
          <w:sz w:val="32"/>
          <w:szCs w:val="32"/>
          <w:highlight w:val="white"/>
        </w:rPr>
        <w:t>20</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0.57%</w:t>
      </w:r>
      <w:r>
        <w:rPr>
          <w:rFonts w:hint="eastAsia" w:ascii="宋体" w:hAnsi="Times New Roman" w:eastAsia="宋体" w:cs="宋体"/>
          <w:kern w:val="0"/>
          <w:sz w:val="32"/>
          <w:szCs w:val="32"/>
          <w:highlight w:val="white"/>
        </w:rPr>
        <w:t>。其他（类）支出</w:t>
      </w:r>
      <w:r>
        <w:rPr>
          <w:rFonts w:ascii="宋体" w:hAnsi="Times New Roman" w:eastAsia="宋体" w:cs="宋体"/>
          <w:kern w:val="0"/>
          <w:sz w:val="32"/>
          <w:szCs w:val="32"/>
          <w:highlight w:val="white"/>
        </w:rPr>
        <w:t>24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0.68%</w:t>
      </w:r>
      <w:r>
        <w:rPr>
          <w:rFonts w:hint="eastAsia" w:ascii="宋体" w:hAnsi="Times New Roman" w:eastAsia="宋体" w:cs="宋体"/>
          <w:kern w:val="0"/>
          <w:sz w:val="32"/>
          <w:szCs w:val="32"/>
          <w:highlight w:val="white"/>
        </w:rPr>
        <w:t>。</w:t>
      </w:r>
    </w:p>
    <w:p w14:paraId="7D0E6B39">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5985348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2023年度财政拨款支出年初预算为991.97万元，支出决算为3515.07万元，完成年初预算的354.35%。其中：</w:t>
      </w:r>
    </w:p>
    <w:p w14:paraId="607646E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人大事务（款）其他人大事务支出（项）。年初预算为0万元，支出决算为3.8万元，由于年初预算为0，无法计算百分比。决算数大于预算数的主要原因是业务工作任务增加，财政追拨业务工作经费。  </w:t>
      </w:r>
    </w:p>
    <w:p w14:paraId="77F867E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一般公共服务支出（类）政协事务（款）其他政协事务支出（项）。年初预算为0万元，支出决算为0.72万元，由于年初预算为0，无法计算百分比。 决算数大于预算数的主要原因是业务工作任务增加，财政追拨业务工作经费。 </w:t>
      </w:r>
    </w:p>
    <w:p w14:paraId="7338586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行政运行（项）。年初预算为991.97万元，支出决算为1266.46万元，完成年初预算的127.67%。决算数大于预算数的主要原因是业务工作任务增加，财政追拨业务工作经费。  </w:t>
      </w:r>
    </w:p>
    <w:p w14:paraId="7495590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信访事务（项）。年初预算为0万元，支出决算为14万元，由于年初预算为0，无法计算百分比。决算数大于预算数的主要原因是业务工作任务增加，财政追拨业务工作经费。  </w:t>
      </w:r>
    </w:p>
    <w:p w14:paraId="0C92F26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财政事务（款）一般行政管理事务（项）。年初预算为0万元，支出决算为8万元，由于年初预算为0，无法计算百分比。决算数大于预算数的主要原因是业务工作任务增加，财政追拨业务工作经费。  </w:t>
      </w:r>
    </w:p>
    <w:p w14:paraId="74A7930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税收事务（款）其他税收事务支出（项）。年初预算为0万元，支出决算为19.7万元，由于年初预算为0，无法计算百分比。决算数大于预算数的主要原因是业务工作任务增加，财政追拨业务工作经费。  </w:t>
      </w:r>
    </w:p>
    <w:p w14:paraId="7C8992F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党委办公厅（室）及相关机构事务（款）行政运行（项）。年初预算为0万元，支出决算为8万元，由于年初预算为0，无法计算百分比。决算数大于预算数的主要原因是业务工作任务增加，财政追拨业务工作经费。  </w:t>
      </w:r>
    </w:p>
    <w:p w14:paraId="7325BDF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一般公共服务支出（类）其他一般公共服务支出（款）其他一般公共服务支出（项）。年初预算为0万元，支出决算为0.6万元，由于年初预算为0，无法计算百分比。 决算数大于预算数的主要原因是业务工作任务增加，财政追拨业务工作经费。 </w:t>
      </w:r>
    </w:p>
    <w:p w14:paraId="0C3E126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国防支出（类）国防动员（款）兵役征集（项）。年初预算为0万元，支出决算为3万元，由于年初预算为0，无法计算百分比。决算数大于预算数的主要原因是业务工作任务增加，财政追拨业务工作经费。  </w:t>
      </w:r>
    </w:p>
    <w:p w14:paraId="11D4413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国防支出（类）国防动员（款）其他国防动员支出（项）。年初预算为0万元，支出决算为5万元，由于年初预算为0，无法计算百分比。决算数大于预算数的主要原因是业务工作任务增加，财政追拨业务工作经费。  </w:t>
      </w:r>
    </w:p>
    <w:p w14:paraId="586F4EE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公共安全支出（类）公安（款）其他公安支出（项）。年初预算为0万元，支出决算为1.98万元，由于年初预算为0，无法计算百分比。决算数大于预算数的主要原因是业务工作任务增加，财政追拨业务工作经费。  </w:t>
      </w:r>
    </w:p>
    <w:p w14:paraId="1BC38CE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文化和旅游（款）其他文化和旅游支出（项）。年初预算为0万元，支出决算为8.4万元，由于年初预算为0，无法计算百分比。决算数大于预算数的主要原因是业务工作任务增加，财政追拨业务工作经费。  </w:t>
      </w:r>
    </w:p>
    <w:p w14:paraId="3A343FC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其他文化旅游体育与传媒支出（款）其他文化旅游体育与传媒支出（项）。年初预算为0万元，支出决算为13万元，由于年初预算为0，无法计算百分比。决算数大于预算数的主要原因是业务工作任务增加，财政追拨业务工作经费。  </w:t>
      </w:r>
    </w:p>
    <w:p w14:paraId="1EA057B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基层政权建设和社区治理（项）。年初预算为0万元，支出决算为4万元，由于年初预算为0，无法计算百分比。决算数大于预算数的主要原因是业务工作任务增加，财政追拨业务工作经费。  </w:t>
      </w:r>
    </w:p>
    <w:p w14:paraId="539D309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抚恤（款）其他优抚支出（项）。年初预算为0万元，支出决算为34.18万元，由于年初预算为0，无法计算百分比。决算数大于预算数的主要原因是业务工作任务增加，财政追拨业务工作经费。  </w:t>
      </w:r>
    </w:p>
    <w:p w14:paraId="6C3BDB9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老年福利（项）。年初预算为0万元，支出决算为6万元，由于年初预算为0，无法计算百分比。决算数大于预算数的主要原因是业务工作任务增加，财政追拨业务工作经费。  </w:t>
      </w:r>
    </w:p>
    <w:p w14:paraId="6A9243F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残疾人事业（款）行政运行（项）。年初预算为0万元，支出决算为3万元，由于年初预算为0，无法计算百分比。决算数大于预算数的主要原因是业务工作任务增加，财政追拨业务工作经费。  </w:t>
      </w:r>
    </w:p>
    <w:p w14:paraId="46FF71D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临时救助（款）临时救助支出（项）。年初预算为0万元，支出决算为85.4万元，由于年初预算为0，无法计算百分比。决算数大于预算数的主要原因是业务工作任务增加，财政追拨业务工作经费。  </w:t>
      </w:r>
    </w:p>
    <w:p w14:paraId="055E28A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城市特困人员救助供养支出（项）。年初预算为0万元，支出决算为114.28万元，由于年初预算为0，无法计算百分比。决算数大于预算数的主要原因是业务工作任务增加，财政追拨业务工作经费。  </w:t>
      </w:r>
    </w:p>
    <w:p w14:paraId="67DB1FC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农村特困人员救助供养支出（项）。年初预算为0万元，支出决算为198.66万元，由于年初预算为0，无法计算百分比。决算数大于预算数的主要原因是业务工作任务增加，财政追拨业务工作经费。  </w:t>
      </w:r>
    </w:p>
    <w:p w14:paraId="7AC2BB0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退役军人管理事务（款）其他退役军人事务管理支出（项）。年初预算为0万元，支出决算为3.6万元，由于年初预算为0，无法计算百分比。决算数大于预算数的主要原因是业务工作任务增加，财政追拨业务工作经费。  </w:t>
      </w:r>
    </w:p>
    <w:p w14:paraId="1E1FD6C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其他社会保障和就业支出（款）其他社会保障和就业支出（项）。年初预算为0万元，支出决算为4万元，由于年初预算为0，无法计算百分比。决算数大于预算数的主要原因是业务工作任务增加，财政追拨业务工作经费。  </w:t>
      </w:r>
    </w:p>
    <w:p w14:paraId="1669BF6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其他自然生态保护支出（项）。年初预算为0万元，支出决算为5万元，由于年初预算为0，无法计算百分比。决算数大于预算数的主要原因是业务工作任务增加，财政追拨业务工作经费。  </w:t>
      </w:r>
    </w:p>
    <w:p w14:paraId="2A7431E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管理事务（款）其他城乡社区管理事务支出（项）。年初预算为0万元，支出决算为61万元，由于年初预算为0，无法计算百分比。决算数大于预算数的主要原因是业务工作任务增加，财政追拨业务工作经费。  </w:t>
      </w:r>
    </w:p>
    <w:p w14:paraId="4E60DA3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小城镇基础设施建设（项）。年初预算为0万元，支出决算为17万元，由于年初预算为0，无法计算百分比。决算数大于预算数的主要原因是业务工作任务增加，财政追拨业务工作经费。  </w:t>
      </w:r>
    </w:p>
    <w:p w14:paraId="6766CE1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其他城乡社区公共设施支出（项）。年初预算为0万元，支出决算为23.44万元，由于年初预算为0，无法计算百分比。决算数大于预算数的主要原因是业务工作任务增加，财政追拨业务工作经费。  </w:t>
      </w:r>
    </w:p>
    <w:p w14:paraId="3D24E03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科技转化与推广服务（项）。年初预算为0万元，支出决算为11万元，由于年初预算为0，无法计算百分比。决算数大于预算数的主要原因是业务工作任务增加，财政追拨业务工作经费。  </w:t>
      </w:r>
    </w:p>
    <w:p w14:paraId="163D24D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农林水支出（类）农业农村（款）病虫害控制（项）。年初预算为0万元，支出决算为6万元，由于年初预算为0，无法计算百分比。决算数大于预算数的主要原因是业务工作任务增加，财政追拨业务工作经费。  </w:t>
      </w:r>
    </w:p>
    <w:p w14:paraId="1ECFDDD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农林水支出（类）农业农村（款）防灾救灾（项）。年初预算为0万元，支出决算为24.8万元，由于年初预算为0，无法计算百分比。决算数大于预算数的主要原因是业务工作任务增加，财政追拨业务工作经费。  </w:t>
      </w:r>
    </w:p>
    <w:p w14:paraId="7831D2D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农林水支出（类）农业农村（款）农业生产发展（项）。年初预算为0万元，支出决算为5万元，由于年初预算为0，无法计算百分比。决算数大于预算数的主要原因是业务工作任务增加，财政追拨业务工作经费。  </w:t>
      </w:r>
    </w:p>
    <w:p w14:paraId="6955004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村社会事业（项）。年初预算为0万元，支出决算为101.52万元，由于年初预算为0，无法计算百分比。决算数大于预算数的主要原因是业务工作任务增加，财政追拨业务工作经费。  </w:t>
      </w:r>
    </w:p>
    <w:p w14:paraId="67D3037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农林水支出（类）农业农村（款）农田建设（项）。年初预算为0万元，支出决算为6万元，由于年初预算为0，无法计算百分比。决算数大于预算数的主要原因是业务工作任务增加，财政追拨业务工作经费。  </w:t>
      </w:r>
    </w:p>
    <w:p w14:paraId="339E4E5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其他农业农村支出（项）。年初预算为0万元，支出决算为27万元，由于年初预算为0，无法计算百分比。决算数大于预算数的主要原因是业务工作任务增加，财政追拨业务工作经费。  </w:t>
      </w:r>
    </w:p>
    <w:p w14:paraId="20DE082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一般行政管理事务（项）。年初预算为0万元，支出决算为5万元，由于年初预算为0，无法计算百分比。决算数大于预算数的主要原因是业务工作任务增加，财政追拨业务工作经费。  </w:t>
      </w:r>
    </w:p>
    <w:p w14:paraId="79FF86D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森林资源培育（项）。年初预算为0万元，支出决算为13.77万元，由于年初预算为0，无法计算百分比。决算数大于预算数的主要原因是业务工作任务增加，财政追拨业务工作经费。  </w:t>
      </w:r>
    </w:p>
    <w:p w14:paraId="3CF62D0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农林水支出（类）水利（款）行政运行（项）。年初预算为0万元，支出决算为51.3万元，由于年初预算为0，无法计算百分比。决算数大于预算数的主要原因是业务工作任务增加，财政追拨业务工作经费。  </w:t>
      </w:r>
    </w:p>
    <w:p w14:paraId="2B47F70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农林水支出（类）水利（款）水利工程建设（项）。年初预算为0万元，支出决算为41万元，由于年初预算为0，无法计算百分比。决算数大于预算数的主要原因是业务工作任务增加，财政追拨业务工作经费。  </w:t>
      </w:r>
    </w:p>
    <w:p w14:paraId="196FCB4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运行与维护（项）。年初预算为0万元，支出决算为23.83万元，由于年初预算为0，无法计算百分比。决算数大于预算数的主要原因是业务工作任务增加，财政追拨业务工作经费。  </w:t>
      </w:r>
    </w:p>
    <w:p w14:paraId="786624A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农林水支出（类）水利（款）抗旱（项）。年初预算为0万元，支出决算为43.98万元，由于年初预算为0，无法计算百分比。决算数大于预算数的主要原因是业务工作任务增加，财政追拨业务工作经费。  </w:t>
      </w:r>
    </w:p>
    <w:p w14:paraId="337DA9E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农林水支出（类）水利（款）其他水利支出（项）。年初预算为0万元，支出决算为25万元，由于年初预算为0，无法计算百分比。决算数大于预算数的主要原因是业务工作任务增加，财政追拨业务工作经费。  </w:t>
      </w:r>
    </w:p>
    <w:p w14:paraId="3B1D7FC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其他巩固脱贫衔接乡村振兴支出（项）。年初预算为0万元，支出决算为348.75万元，由于年初预算为0，无法计算百分比。决算数大于预算数的主要原因是业务工作任务增加，财政追拨业务工作经费。  </w:t>
      </w:r>
    </w:p>
    <w:p w14:paraId="504CAC3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级公益事业建设的补助（项）。年初预算为0万元，支出决算为105万元，由于年初预算为0，无法计算百分比。决算数大于预算数的主要原因是业务工作任务增加，财政追拨业务工作经费。  </w:t>
      </w:r>
    </w:p>
    <w:p w14:paraId="05297F8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民委员会和村党支部的补助（项）。年初预算为0万元，支出决算为394.82万元，由于年初预算为0，无法计算百分比。决算数大于预算数的主要原因是业务工作任务增加，财政追拨业务工作经费。  </w:t>
      </w:r>
    </w:p>
    <w:p w14:paraId="0FA4474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集体经济组织的补助（项）。年初预算为0万元，支出决算为5万元，由于年初预算为0，无法计算百分比。决算数大于预算数的主要原因是业务工作任务增加，财政追拨业务工作经费。  </w:t>
      </w:r>
    </w:p>
    <w:p w14:paraId="3140DDE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目标价格补贴（款）棉花目标价格补贴（项）。年初预算为0万元，支出决算为141.26万元，由于年初预算为0，无法计算百分比。决算数大于预算数的主要原因是业务工作任务增加，财政追拨业务工作经费。  </w:t>
      </w:r>
    </w:p>
    <w:p w14:paraId="6CEABD0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公路养护（项）。年初预算为0万元，支出决算为15.28万元，由于年初预算为0，无法计算百分比。决算数大于预算数的主要原因是业务工作任务增加，财政追拨业务工作经费。  </w:t>
      </w:r>
    </w:p>
    <w:p w14:paraId="1103915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其他公路水路运输支出（项）。年初预算为0万元，支出决算为5.54万元，由于年初预算为0，无法计算百分比。决算数大于预算数的主要原因是业务工作任务增加，财政追拨业务工作经费。  </w:t>
      </w:r>
    </w:p>
    <w:p w14:paraId="6D4306AA">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商业服务业等支出（类）商业流通事务（款）其他商业流通事务支出（项）。年初预算为0万元，支出决算为15万元，由于年初预算为0，无法计算百分比。决算数大于预算数的主要原因是业务工作任务增加，财政追拨业务工作经费。  </w:t>
      </w:r>
    </w:p>
    <w:p w14:paraId="49EC03F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行政运行（项）。年初预算为0万元，支出决算为3万元，由于年初预算为0，无法计算百分比。决算数大于预算数的主要原因是业务工作任务增加，财政追拨业务工作经费。  </w:t>
      </w:r>
    </w:p>
    <w:p w14:paraId="3D94A2E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自然资源利用与保护（项）。年初预算为0万元，支出决算为18万元，由于年初预算为0，无法计算百分比。决算数大于预算数的主要原因是业务工作任务增加，财政追拨业务工作经费。  </w:t>
      </w:r>
    </w:p>
    <w:p w14:paraId="1CBF6B4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粮油物资储备支出（类）粮油物资事务（款）其他粮油物资事务支出（项）。年初预算为0万元，支出决算为122万元，由于年初预算为0，无法计算百分比。决算数大于预算数的主要原因是业务工作任务增加，财政追拨业务工作经费。  </w:t>
      </w:r>
    </w:p>
    <w:p w14:paraId="4B7644C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灾害防治及应急管理支出（类）应急管理事务（款）其他应急管理支出（项）。年初预算为0万元，支出决算为20万元，由于年初预算为0，无法计算百分比。决算数大于预算数的主要原因是业务工作任务增加，财政追拨业务工作经费。  </w:t>
      </w:r>
    </w:p>
    <w:p w14:paraId="0926B553">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rPr>
        <w:t>其他支出（类）其他支出（款）其他支出（项）。年初预算为0万元，支出决算为24万元，由于年初预算为0，无法计算百分比。决算数大于预算数的主要原因是业务工作任务增加，财政追拨业务工作经费</w:t>
      </w:r>
      <w:r>
        <w:rPr>
          <w:rFonts w:hint="eastAsia" w:ascii="宋体" w:cs="宋体"/>
          <w:color w:val="auto"/>
          <w:sz w:val="32"/>
          <w:szCs w:val="32"/>
        </w:rPr>
        <w:t>。</w:t>
      </w:r>
      <w:r>
        <w:rPr>
          <w:rFonts w:ascii="宋体" w:hAnsi="Calibri" w:eastAsia="宋体" w:cs="宋体"/>
          <w:color w:val="auto"/>
          <w:sz w:val="32"/>
          <w:szCs w:val="32"/>
        </w:rPr>
        <w:t xml:space="preserve">  </w:t>
      </w:r>
    </w:p>
    <w:p w14:paraId="7A33BE6E">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10B7C594">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1384.56</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2C18F235">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1071.43</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77.38%</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272FFCD0">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313.13</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22.62%</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12F0BDF">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7A862AE2">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495778D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三公”经费财政拨款支出预算为6.3万元，支出决算为1.05万元,完成预算的16.67%，决算数小于预算数的主要原因是认真贯彻落实中央“八项规定”精神和厉行节约要求，从严控制“三公”经费开支，全年实际支出比预算有所节约。与上年相比减少3.45万元，下降76.67%,减少主要原因是认真贯彻落实中央“八项规定”精神和厉行节约要求，从严控制“三公”经费开支，全年实际支出比预算有所节约。其中：</w:t>
      </w:r>
    </w:p>
    <w:p w14:paraId="02209EF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因公出国（境）费支出预算为0万元，支出决算为0万元，由于预算为0，无法计算百分比，与上年相比减少0万元，减少0%。   </w:t>
      </w:r>
    </w:p>
    <w:p w14:paraId="6917903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公务接待费支出预算为6.3万元，支出决算为1.05万元,完成预算的16.67%,决算数小于预算数的主要原因是认真贯彻落实中央“八项规定”精神和厉行节约要求，从严控制“三公”经费开支，全年实际支出比预算有所节约。与上年相比减少3.45万元，下降76.67%,减少主要原因是认真贯彻落实中央“八项规定”精神和厉行节约要求，从严控制“三公”经费开支，全年实际支出比预算有所节约。</w:t>
      </w:r>
    </w:p>
    <w:p w14:paraId="22AD297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公务用车购置费支出预算为0万元，支出决算为0万元，由于预算为0，无法计算百分比，与上年相比减少0万元，减少0%。   </w:t>
      </w:r>
    </w:p>
    <w:p w14:paraId="20363D6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68D465AF">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15909D69">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2023年度“三公”经费财政拨款支出决算中，因公出国（境）费支出决算0万元，占0%；公务接待费支出决算1.05万元，占100%。公务用车购置费及运行维护费支出决算0万元，占0%；</w:t>
      </w:r>
    </w:p>
    <w:p w14:paraId="5A55796B">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1、因公出国（境）费支出决算0万元，全年安排因公出国（境）团组0个，累计0人次。</w:t>
      </w:r>
    </w:p>
    <w:p w14:paraId="47C1B002">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公务接待费支出决算为1.05万元，其中：其他国内公务接待支出1.05万元,全年共接待来访团组15个、来宾80人次（不包括陪同人员）。主要用于与有关单位交流工作情况及接受相关部门检查指导工作发生的接待支出。</w:t>
      </w:r>
    </w:p>
    <w:p w14:paraId="55FCB96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lang w:val="zh-CN"/>
        </w:rPr>
        <w:t xml:space="preserve"> 3、公务用车购置费及运行维护费支出决算0万元，其中：公务用车购置费0万元，更新公务用车0辆。公务用车运行维护费0元，截止2023年12月31日，我单位开支财政拨款的公务用车保有量为0辆</w:t>
      </w:r>
      <w:r>
        <w:rPr>
          <w:rFonts w:hint="eastAsia" w:ascii="宋体" w:hAnsi="Times New Roman" w:eastAsia="宋体" w:cs="宋体"/>
          <w:color w:val="auto"/>
          <w:sz w:val="32"/>
          <w:szCs w:val="32"/>
          <w:highlight w:val="white"/>
        </w:rPr>
        <w:t>。</w:t>
      </w:r>
    </w:p>
    <w:p w14:paraId="36793E7C">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44F14DC9">
      <w:pPr>
        <w:keepNext/>
        <w:keepLines/>
        <w:autoSpaceDE w:val="0"/>
        <w:autoSpaceDN w:val="0"/>
        <w:adjustRightInd w:val="0"/>
        <w:ind w:firstLine="643"/>
        <w:jc w:val="left"/>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年政府性基金预算财政拨款收入</w:t>
      </w:r>
      <w:r>
        <w:rPr>
          <w:rFonts w:ascii="宋体" w:hAnsi="Times New Roman" w:eastAsia="宋体" w:cs="宋体"/>
          <w:kern w:val="0"/>
          <w:sz w:val="32"/>
          <w:szCs w:val="32"/>
          <w:highlight w:val="white"/>
        </w:rPr>
        <w:t>166</w:t>
      </w:r>
      <w:r>
        <w:rPr>
          <w:rFonts w:hint="eastAsia" w:ascii="宋体" w:hAnsi="Times New Roman" w:eastAsia="宋体" w:cs="宋体"/>
          <w:kern w:val="0"/>
          <w:sz w:val="32"/>
          <w:szCs w:val="32"/>
          <w:highlight w:val="white"/>
        </w:rPr>
        <w:t>万元，年初结转和结余</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本年支出</w:t>
      </w:r>
      <w:r>
        <w:rPr>
          <w:rFonts w:ascii="宋体" w:hAnsi="Times New Roman" w:eastAsia="宋体" w:cs="宋体"/>
          <w:kern w:val="0"/>
          <w:sz w:val="32"/>
          <w:szCs w:val="32"/>
          <w:highlight w:val="white"/>
        </w:rPr>
        <w:t>166</w:t>
      </w:r>
      <w:r>
        <w:rPr>
          <w:rFonts w:hint="eastAsia" w:ascii="宋体" w:hAnsi="Times New Roman" w:eastAsia="宋体" w:cs="宋体"/>
          <w:kern w:val="0"/>
          <w:sz w:val="32"/>
          <w:szCs w:val="32"/>
          <w:highlight w:val="white"/>
        </w:rPr>
        <w:t>万元</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其中：基本支出</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元万元</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项目支出</w:t>
      </w:r>
      <w:r>
        <w:rPr>
          <w:rFonts w:ascii="宋体" w:hAnsi="Times New Roman" w:eastAsia="宋体" w:cs="宋体"/>
          <w:kern w:val="0"/>
          <w:sz w:val="32"/>
          <w:szCs w:val="32"/>
          <w:highlight w:val="white"/>
        </w:rPr>
        <w:t>166</w:t>
      </w:r>
      <w:r>
        <w:rPr>
          <w:rFonts w:hint="eastAsia" w:ascii="宋体" w:hAnsi="Times New Roman" w:eastAsia="宋体" w:cs="宋体"/>
          <w:kern w:val="0"/>
          <w:sz w:val="32"/>
          <w:szCs w:val="32"/>
          <w:highlight w:val="white"/>
        </w:rPr>
        <w:t>万元</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年末结转和结余</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元万元</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具体情况如下：</w:t>
      </w:r>
    </w:p>
    <w:p w14:paraId="0823406E">
      <w:pPr>
        <w:keepNext/>
        <w:keepLines/>
        <w:autoSpaceDE w:val="0"/>
        <w:autoSpaceDN w:val="0"/>
        <w:adjustRightInd w:val="0"/>
        <w:ind w:firstLine="643"/>
        <w:jc w:val="left"/>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社会保障和就业支出（类）大中型水库移民后期扶持基金支出（款）基础设施建设和经济发展（项）。年初预算为</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万元，支出决算为</w:t>
      </w:r>
      <w:r>
        <w:rPr>
          <w:rFonts w:ascii="宋体" w:hAnsi="Times New Roman" w:eastAsia="宋体" w:cs="宋体"/>
          <w:kern w:val="0"/>
          <w:sz w:val="32"/>
          <w:szCs w:val="32"/>
          <w:highlight w:val="white"/>
        </w:rPr>
        <w:t>39</w:t>
      </w:r>
      <w:r>
        <w:rPr>
          <w:rFonts w:hint="eastAsia" w:ascii="宋体" w:hAnsi="Times New Roman" w:eastAsia="宋体" w:cs="宋体"/>
          <w:kern w:val="0"/>
          <w:sz w:val="32"/>
          <w:szCs w:val="32"/>
          <w:highlight w:val="white"/>
        </w:rPr>
        <w:t>万元，由于年初预算为</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，无法计算百分比。决算数大于预算数的主要原因是业务工作任务增加，财政追拨业务工作经费。</w:t>
      </w:r>
    </w:p>
    <w:p w14:paraId="3E279D2D">
      <w:pPr>
        <w:keepNext/>
        <w:keepLines/>
        <w:autoSpaceDE w:val="0"/>
        <w:autoSpaceDN w:val="0"/>
        <w:adjustRightInd w:val="0"/>
        <w:ind w:firstLine="643"/>
        <w:jc w:val="left"/>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其他支出（类）其他政府性基金及对应专项债务收入安排的支出（款）其他政府性基金安排的支出（项）。年初预算为</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万元，支出决算为</w:t>
      </w:r>
      <w:r>
        <w:rPr>
          <w:rFonts w:ascii="宋体" w:hAnsi="Times New Roman" w:eastAsia="宋体" w:cs="宋体"/>
          <w:kern w:val="0"/>
          <w:sz w:val="32"/>
          <w:szCs w:val="32"/>
          <w:highlight w:val="white"/>
        </w:rPr>
        <w:t>100</w:t>
      </w:r>
      <w:r>
        <w:rPr>
          <w:rFonts w:hint="eastAsia" w:ascii="宋体" w:hAnsi="Times New Roman" w:eastAsia="宋体" w:cs="宋体"/>
          <w:kern w:val="0"/>
          <w:sz w:val="32"/>
          <w:szCs w:val="32"/>
          <w:highlight w:val="white"/>
        </w:rPr>
        <w:t>万元，由于年初预算为</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，无法计算百分比。决算数大于预算数的主要原因是业务工作任务增加，财政追拨业务工作经费。</w:t>
      </w:r>
    </w:p>
    <w:p w14:paraId="5766CC26">
      <w:pPr>
        <w:keepNext/>
        <w:keepLines/>
        <w:autoSpaceDE w:val="0"/>
        <w:autoSpaceDN w:val="0"/>
        <w:adjustRightInd w:val="0"/>
        <w:ind w:firstLine="643"/>
        <w:jc w:val="left"/>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其他支出（类）彩票公益金安排的支出（款）用于社会福利的彩票公益金支出（项）。年初预算为</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万元，支出决算为</w:t>
      </w:r>
      <w:r>
        <w:rPr>
          <w:rFonts w:ascii="宋体" w:hAnsi="Times New Roman" w:eastAsia="宋体" w:cs="宋体"/>
          <w:kern w:val="0"/>
          <w:sz w:val="32"/>
          <w:szCs w:val="32"/>
          <w:highlight w:val="white"/>
        </w:rPr>
        <w:t>23</w:t>
      </w:r>
      <w:r>
        <w:rPr>
          <w:rFonts w:hint="eastAsia" w:ascii="宋体" w:hAnsi="Times New Roman" w:eastAsia="宋体" w:cs="宋体"/>
          <w:kern w:val="0"/>
          <w:sz w:val="32"/>
          <w:szCs w:val="32"/>
          <w:highlight w:val="white"/>
        </w:rPr>
        <w:t>万元，由于年初预算为</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，无法计算百分比。决算数大于预算数的主要原因是业务工作任务增加，财政追拨业务工作经费。</w:t>
      </w:r>
    </w:p>
    <w:p w14:paraId="2736FC73">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宋体" w:hAnsi="Times New Roman" w:eastAsia="宋体" w:cs="宋体"/>
          <w:color w:val="auto"/>
          <w:sz w:val="32"/>
          <w:szCs w:val="32"/>
          <w:highlight w:val="white"/>
        </w:rPr>
        <w:t>其他支出（类）彩票公益金安排的支出（款）用于体育事业的彩票公益金支出（项）。年初预算为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4</w:t>
      </w:r>
      <w:r>
        <w:rPr>
          <w:rFonts w:hint="eastAsia" w:ascii="宋体" w:hAnsi="Times New Roman" w:eastAsia="宋体" w:cs="宋体"/>
          <w:color w:val="auto"/>
          <w:sz w:val="32"/>
          <w:szCs w:val="32"/>
          <w:highlight w:val="white"/>
        </w:rPr>
        <w:t>万元，由于年初预算为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，无法计算百分比。决算数大于预算数的主要原因是业务工作任务增加，财政追拨业务工作经费</w:t>
      </w:r>
      <w:r>
        <w:rPr>
          <w:rFonts w:hint="eastAsia" w:ascii="宋体" w:hAnsi="Times New Roman" w:eastAsia="宋体" w:cs="宋体"/>
          <w:color w:val="auto"/>
          <w:sz w:val="32"/>
          <w:szCs w:val="32"/>
          <w:highlight w:val="white"/>
          <w:lang w:val="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065208B0">
      <w:pPr>
        <w:rPr>
          <w:rFonts w:ascii="Calibri" w:hAnsi="Calibri" w:eastAsia="宋体" w:cs="Times New Roman"/>
          <w:szCs w:val="24"/>
        </w:rPr>
      </w:pPr>
    </w:p>
    <w:p w14:paraId="643437F3">
      <w:pPr>
        <w:pStyle w:val="14"/>
        <w:spacing w:line="600" w:lineRule="exact"/>
        <w:ind w:firstLine="630"/>
        <w:rPr>
          <w:rFonts w:hint="eastAsia" w:ascii="宋体" w:hAnsi="Times New Roman" w:eastAsia="宋体" w:cs="宋体"/>
          <w:color w:val="auto"/>
          <w:sz w:val="32"/>
          <w:szCs w:val="32"/>
          <w:highlight w:val="white"/>
          <w:lang w:val="zh-CN"/>
        </w:rPr>
      </w:pPr>
    </w:p>
    <w:p w14:paraId="223689DF">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6C81C59B">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313.13</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248.71</w:t>
      </w:r>
      <w:r>
        <w:rPr>
          <w:rFonts w:hint="eastAsia" w:ascii="宋体" w:hAnsi="Times New Roman" w:eastAsia="宋体" w:cs="宋体"/>
          <w:sz w:val="32"/>
          <w:szCs w:val="32"/>
          <w:highlight w:val="white"/>
        </w:rPr>
        <w:t>万元。增加</w:t>
      </w:r>
      <w:r>
        <w:rPr>
          <w:rFonts w:ascii="宋体" w:hAnsi="Times New Roman" w:eastAsia="宋体" w:cs="宋体"/>
          <w:sz w:val="32"/>
          <w:szCs w:val="32"/>
          <w:highlight w:val="white"/>
        </w:rPr>
        <w:t>386.08%</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31DE663F">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2A01C8B3">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14.14</w:t>
      </w:r>
      <w:r>
        <w:rPr>
          <w:rFonts w:hint="eastAsia" w:ascii="宋体" w:hAnsi="Times New Roman" w:eastAsia="宋体" w:cs="宋体"/>
          <w:kern w:val="0"/>
          <w:sz w:val="32"/>
          <w:szCs w:val="32"/>
          <w:highlight w:val="white"/>
        </w:rPr>
        <w:t>万元，用于召开业务工作会议，人数</w:t>
      </w:r>
      <w:r>
        <w:rPr>
          <w:rFonts w:ascii="宋体" w:hAnsi="Times New Roman" w:eastAsia="宋体" w:cs="宋体"/>
          <w:kern w:val="0"/>
          <w:sz w:val="32"/>
          <w:szCs w:val="32"/>
          <w:highlight w:val="white"/>
        </w:rPr>
        <w:t>940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防汛抗旱、乡村振兴、人居环境整治、党建工作、换届选举、机构改革等工作会议</w:t>
      </w:r>
      <w:r>
        <w:rPr>
          <w:rFonts w:hint="eastAsia" w:ascii="宋体" w:hAnsi="Times New Roman" w:eastAsia="宋体" w:cs="宋体"/>
          <w:kern w:val="0"/>
          <w:sz w:val="32"/>
          <w:szCs w:val="32"/>
          <w:highlight w:val="white"/>
        </w:rPr>
        <w:t>；开支培训费</w:t>
      </w:r>
      <w:r>
        <w:rPr>
          <w:rFonts w:ascii="宋体" w:hAnsi="Times New Roman" w:eastAsia="宋体" w:cs="宋体"/>
          <w:kern w:val="0"/>
          <w:sz w:val="32"/>
          <w:szCs w:val="32"/>
          <w:highlight w:val="white"/>
        </w:rPr>
        <w:t>0.46</w:t>
      </w:r>
      <w:r>
        <w:rPr>
          <w:rFonts w:hint="eastAsia" w:ascii="宋体" w:hAnsi="Times New Roman" w:eastAsia="宋体" w:cs="宋体"/>
          <w:kern w:val="0"/>
          <w:sz w:val="32"/>
          <w:szCs w:val="32"/>
          <w:highlight w:val="white"/>
        </w:rPr>
        <w:t>万元，用于开展</w:t>
      </w:r>
      <w:r>
        <w:rPr>
          <w:rFonts w:hint="eastAsia" w:ascii="宋体" w:hAnsi="Times New Roman" w:eastAsia="宋体" w:cs="宋体"/>
          <w:kern w:val="0"/>
          <w:sz w:val="32"/>
          <w:szCs w:val="32"/>
        </w:rPr>
        <w:t>知识技能培训</w:t>
      </w:r>
      <w:r>
        <w:rPr>
          <w:rFonts w:hint="eastAsia" w:ascii="宋体" w:hAnsi="Times New Roman" w:eastAsia="宋体" w:cs="宋体"/>
          <w:kern w:val="0"/>
          <w:sz w:val="32"/>
          <w:szCs w:val="32"/>
          <w:highlight w:val="white"/>
        </w:rPr>
        <w:t>，人数</w:t>
      </w:r>
      <w:r>
        <w:rPr>
          <w:rFonts w:ascii="宋体" w:hAnsi="Times New Roman" w:eastAsia="宋体" w:cs="宋体"/>
          <w:kern w:val="0"/>
          <w:sz w:val="32"/>
          <w:szCs w:val="32"/>
          <w:highlight w:val="white"/>
        </w:rPr>
        <w:t>50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安全生产、统计普查、财政业务、水利建设、农林农技等相关知识技能培训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52A27EF6">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325BC45C">
      <w:pPr>
        <w:keepNext/>
        <w:keepLines/>
        <w:autoSpaceDE w:val="0"/>
        <w:autoSpaceDN w:val="0"/>
        <w:adjustRightInd w:val="0"/>
        <w:ind w:firstLine="641"/>
        <w:rPr>
          <w:rFonts w:ascii="宋体" w:hAnsi="Times New Roman" w:eastAsia="宋体" w:cs="宋体"/>
          <w:sz w:val="32"/>
          <w:szCs w:val="32"/>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年度政府采购支出总额</w:t>
      </w:r>
      <w:r>
        <w:rPr>
          <w:rFonts w:ascii="宋体" w:hAnsi="Times New Roman" w:eastAsia="宋体" w:cs="宋体"/>
          <w:sz w:val="32"/>
          <w:szCs w:val="32"/>
          <w:highlight w:val="white"/>
        </w:rPr>
        <w:t>784.64</w:t>
      </w:r>
      <w:r>
        <w:rPr>
          <w:rFonts w:hint="eastAsia" w:ascii="宋体" w:hAnsi="Times New Roman" w:eastAsia="宋体" w:cs="宋体"/>
          <w:sz w:val="32"/>
          <w:szCs w:val="32"/>
          <w:highlight w:val="white"/>
        </w:rPr>
        <w:t>万元，其中：政府采购货物支出</w:t>
      </w:r>
      <w:r>
        <w:rPr>
          <w:rFonts w:ascii="宋体" w:hAnsi="Times New Roman" w:eastAsia="宋体" w:cs="宋体"/>
          <w:sz w:val="32"/>
          <w:szCs w:val="32"/>
          <w:highlight w:val="white"/>
        </w:rPr>
        <w:t>27.31</w:t>
      </w:r>
      <w:r>
        <w:rPr>
          <w:rFonts w:hint="eastAsia" w:ascii="宋体" w:hAnsi="Times New Roman" w:eastAsia="宋体" w:cs="宋体"/>
          <w:sz w:val="32"/>
          <w:szCs w:val="32"/>
          <w:highlight w:val="white"/>
        </w:rPr>
        <w:t>万元；政府采购工程支出</w:t>
      </w:r>
      <w:r>
        <w:rPr>
          <w:rFonts w:ascii="宋体" w:hAnsi="Times New Roman" w:eastAsia="宋体" w:cs="宋体"/>
          <w:sz w:val="32"/>
          <w:szCs w:val="32"/>
          <w:highlight w:val="white"/>
        </w:rPr>
        <w:t>403.35</w:t>
      </w:r>
      <w:r>
        <w:rPr>
          <w:rFonts w:hint="eastAsia" w:ascii="宋体" w:hAnsi="Times New Roman" w:eastAsia="宋体" w:cs="宋体"/>
          <w:sz w:val="32"/>
          <w:szCs w:val="32"/>
          <w:highlight w:val="white"/>
        </w:rPr>
        <w:t>万元；政府采购服务支出</w:t>
      </w:r>
      <w:r>
        <w:rPr>
          <w:rFonts w:ascii="宋体" w:hAnsi="Times New Roman" w:eastAsia="宋体" w:cs="宋体"/>
          <w:sz w:val="32"/>
          <w:szCs w:val="32"/>
          <w:highlight w:val="white"/>
        </w:rPr>
        <w:t>353.98</w:t>
      </w:r>
      <w:r>
        <w:rPr>
          <w:rFonts w:hint="eastAsia" w:ascii="宋体" w:hAnsi="Times New Roman" w:eastAsia="宋体" w:cs="宋体"/>
          <w:sz w:val="32"/>
          <w:szCs w:val="32"/>
          <w:highlight w:val="white"/>
        </w:rPr>
        <w:t>万元；授予中小企业合同金额</w:t>
      </w:r>
      <w:r>
        <w:rPr>
          <w:rFonts w:ascii="宋体" w:hAnsi="Times New Roman" w:eastAsia="宋体" w:cs="宋体"/>
          <w:sz w:val="32"/>
          <w:szCs w:val="32"/>
          <w:highlight w:val="white"/>
        </w:rPr>
        <w:t>780.05</w:t>
      </w:r>
      <w:r>
        <w:rPr>
          <w:rFonts w:hint="eastAsia" w:ascii="宋体" w:hAnsi="Times New Roman" w:eastAsia="宋体" w:cs="宋体"/>
          <w:sz w:val="32"/>
          <w:szCs w:val="32"/>
          <w:highlight w:val="white"/>
        </w:rPr>
        <w:t>万元，占政府采购支出总额的</w:t>
      </w:r>
      <w:r>
        <w:rPr>
          <w:rFonts w:ascii="宋体" w:hAnsi="Times New Roman" w:eastAsia="宋体" w:cs="宋体"/>
          <w:sz w:val="32"/>
          <w:szCs w:val="32"/>
          <w:highlight w:val="white"/>
        </w:rPr>
        <w:t>99.42%</w:t>
      </w:r>
      <w:r>
        <w:rPr>
          <w:rFonts w:hint="eastAsia" w:ascii="宋体" w:hAnsi="Times New Roman" w:eastAsia="宋体" w:cs="宋体"/>
          <w:sz w:val="32"/>
          <w:szCs w:val="32"/>
          <w:highlight w:val="white"/>
        </w:rPr>
        <w:t>，其中：授予小微企业合同金额</w:t>
      </w:r>
      <w:r>
        <w:rPr>
          <w:rFonts w:ascii="宋体" w:hAnsi="Times New Roman" w:eastAsia="宋体" w:cs="宋体"/>
          <w:sz w:val="32"/>
          <w:szCs w:val="32"/>
          <w:highlight w:val="white"/>
        </w:rPr>
        <w:t>528.34</w:t>
      </w:r>
      <w:r>
        <w:rPr>
          <w:rFonts w:hint="eastAsia" w:ascii="宋体" w:hAnsi="Times New Roman" w:eastAsia="宋体" w:cs="宋体"/>
          <w:sz w:val="32"/>
          <w:szCs w:val="32"/>
          <w:highlight w:val="white"/>
        </w:rPr>
        <w:t>万元，占授予中小企业合同金额的</w:t>
      </w:r>
      <w:r>
        <w:rPr>
          <w:rFonts w:ascii="宋体" w:hAnsi="Times New Roman" w:eastAsia="宋体" w:cs="宋体"/>
          <w:sz w:val="32"/>
          <w:szCs w:val="32"/>
          <w:highlight w:val="white"/>
        </w:rPr>
        <w:t>67.73%</w:t>
      </w:r>
      <w:r>
        <w:rPr>
          <w:rFonts w:hint="eastAsia" w:ascii="宋体" w:hAnsi="Times New Roman" w:eastAsia="宋体" w:cs="宋体"/>
          <w:sz w:val="32"/>
          <w:szCs w:val="32"/>
          <w:highlight w:val="white"/>
        </w:rPr>
        <w:t>。货物采购授予中小企业合同金额占货物支出金额的</w:t>
      </w:r>
      <w:r>
        <w:rPr>
          <w:rFonts w:ascii="宋体" w:hAnsi="Times New Roman" w:eastAsia="宋体" w:cs="宋体"/>
          <w:sz w:val="32"/>
          <w:szCs w:val="32"/>
          <w:highlight w:val="white"/>
        </w:rPr>
        <w:t>97.44%</w:t>
      </w:r>
      <w:r>
        <w:rPr>
          <w:rFonts w:hint="eastAsia" w:ascii="宋体" w:hAnsi="Times New Roman" w:eastAsia="宋体" w:cs="宋体"/>
          <w:sz w:val="32"/>
          <w:szCs w:val="32"/>
          <w:highlight w:val="white"/>
        </w:rPr>
        <w:t>。工程采购授予中小企业合同金额占工程支出金额的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。服务采购授予中小企业合同金额占服务支出金额的</w:t>
      </w:r>
      <w:r>
        <w:rPr>
          <w:rFonts w:ascii="宋体" w:hAnsi="Times New Roman" w:eastAsia="宋体" w:cs="宋体"/>
          <w:sz w:val="32"/>
          <w:szCs w:val="32"/>
          <w:highlight w:val="white"/>
        </w:rPr>
        <w:t>98.9%</w:t>
      </w:r>
      <w:r>
        <w:rPr>
          <w:rFonts w:hint="eastAsia" w:ascii="宋体" w:hAnsi="Times New Roman" w:eastAsia="宋体" w:cs="宋体"/>
          <w:sz w:val="32"/>
          <w:szCs w:val="32"/>
          <w:highlight w:val="white"/>
        </w:rPr>
        <w:t>。</w:t>
      </w:r>
    </w:p>
    <w:p w14:paraId="4DBAEBE4">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56F57E1B">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3D7A7F26">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0303291A">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49EBBF6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247A158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部门开展整体支出绩效评价，涉及一般公共预算支出3515.07万元，政府性基金预算支出166万元，国有资本经营预算支出0万元, 合计3681.07万元，其中：基本支出1384.56万元，占37.61%；项目支出2296.51万元，占62.39%。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03890E9C">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6325EEF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2391B5B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092D087C">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4A5ACD3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一是预算执行的精细化程度还不够，预算调整的情况时有发生。需强化预算的刚性约束，提高财政资金使用效率，提高预算执行的严肃性。</w:t>
      </w:r>
    </w:p>
    <w:p w14:paraId="0AAFCEB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二是绩效评价结果的应用还不够充分。需加强完善单位的内部控制制度，强化绩效评价结果的应用，充分发挥绩效评价的导向作用。</w:t>
      </w:r>
    </w:p>
    <w:p w14:paraId="347FF111">
      <w:pPr>
        <w:pStyle w:val="14"/>
        <w:jc w:val="both"/>
        <w:rPr>
          <w:color w:val="auto"/>
          <w:sz w:val="72"/>
          <w:szCs w:val="72"/>
        </w:rPr>
      </w:pPr>
    </w:p>
    <w:p w14:paraId="468996A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145CA94C">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54A445B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2616A40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政府性基金预算财政拨款收入：指本级财政当年拨付的政府性基金预算资金。</w:t>
      </w:r>
    </w:p>
    <w:p w14:paraId="0452A88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75B8F1C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7781627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公共安全支出（类）：是指用于内卫、消防等武装警察部队的支出，包括保障机构正常运转、完成日常和特定的工作任务或事业发展目标的支出。</w:t>
      </w:r>
    </w:p>
    <w:p w14:paraId="53780F2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文化体育与传媒支出（类）：是指用于文化、文物、体育、新闻出版广播影视等方面的支出，包括保障机构正常运转、完成日常和特定的工作任务或事业发展目标的支出。</w:t>
      </w:r>
    </w:p>
    <w:p w14:paraId="190B8F4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76D7E12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节能环保支出（类）：是指用于节能环保支出，包括保障机构正常运转、完成日常和特定的工作任务或事业发展目标的支出。</w:t>
      </w:r>
    </w:p>
    <w:p w14:paraId="35EDE34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城乡社区支出（类）：是指用于城乡社区事务支出，包括保障机构正常运转、完成日常和特定的工作任务或事业发展目标的支出。</w:t>
      </w:r>
    </w:p>
    <w:p w14:paraId="02B1EFC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农林水支出（类）：是指用于农林水事务支出，包括保障机构正常运转、完成日常和特定的工作任务或事业发展目标的支出。</w:t>
      </w:r>
    </w:p>
    <w:p w14:paraId="18B77B4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交通运输支出（类）：是指用于交通运输和邮政业方面的支出，包括保障机构正常运转、完成日常和特定的工作任务或事业发展目标的支出。</w:t>
      </w:r>
    </w:p>
    <w:p w14:paraId="01E0B89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商业服务业等支出（类）：是指用于商业服务业等方面的支出</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包括保障机构正常运转、完成日常和特定的工作任务或事业发展目标的支出。</w:t>
      </w:r>
    </w:p>
    <w:p w14:paraId="12501DF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57CDC2F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住房保障支出（类）：是指用于住房方面的支出，包括保障机构正常运转、完成日常和特定的工作任务或事业发展目标的支出。</w:t>
      </w:r>
    </w:p>
    <w:p w14:paraId="2CB925C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粮油物资储备支出（类）：是指用于粮油物资储备方面的支出，包括保障机构正常运转、完成日常和特定的工作任务或事业发展目标的支出。</w:t>
      </w:r>
    </w:p>
    <w:p w14:paraId="38C25E9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5FF80C2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241D3B0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项目支出：指在基本支出之外为完成特定行政任务和事业发展目标所发生的支出。</w:t>
      </w:r>
    </w:p>
    <w:p w14:paraId="0EE5DECD">
      <w:pPr>
        <w:keepNext/>
        <w:keepLines/>
        <w:autoSpaceDE w:val="0"/>
        <w:autoSpaceDN w:val="0"/>
        <w:adjustRightInd w:val="0"/>
        <w:ind w:firstLine="640"/>
        <w:rPr>
          <w:rFonts w:ascii="宋体" w:hAnsi="Times New Roman" w:eastAsia="宋体" w:cs="宋体"/>
          <w:kern w:val="0"/>
          <w:sz w:val="32"/>
          <w:szCs w:val="32"/>
          <w:highlight w:val="white"/>
        </w:rPr>
      </w:pPr>
    </w:p>
    <w:p w14:paraId="74BFC39A">
      <w:pPr>
        <w:keepNext/>
        <w:keepLines/>
        <w:autoSpaceDE w:val="0"/>
        <w:autoSpaceDN w:val="0"/>
        <w:adjustRightInd w:val="0"/>
        <w:ind w:firstLine="640"/>
        <w:rPr>
          <w:rFonts w:ascii="宋体" w:hAnsi="Times New Roman" w:eastAsia="宋体" w:cs="宋体"/>
          <w:kern w:val="0"/>
          <w:sz w:val="32"/>
          <w:szCs w:val="32"/>
          <w:highlight w:val="white"/>
        </w:rPr>
      </w:pPr>
    </w:p>
    <w:p w14:paraId="02665E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政府采购</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：是指国家各级政府为从事日常的政务活动或为了满足公共服务的目的，利用国家财政性资金和政府借款购买货物、工程和服务的行为。</w:t>
      </w:r>
    </w:p>
    <w:p w14:paraId="2FC24B6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0256C32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06B1898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3AA0E6C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63E966B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绩效工资：反映事业单位工作人员的绩效工资。</w:t>
      </w:r>
    </w:p>
    <w:p w14:paraId="7327FA0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14F97D2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26DADE5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0A7AE30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5C9B7A5E">
      <w:pPr>
        <w:keepNext/>
        <w:keepLines/>
        <w:autoSpaceDE w:val="0"/>
        <w:autoSpaceDN w:val="0"/>
        <w:adjustRightInd w:val="0"/>
        <w:ind w:firstLine="640"/>
        <w:rPr>
          <w:rFonts w:ascii="宋体" w:hAnsi="Times New Roman" w:eastAsia="宋体" w:cs="宋体"/>
          <w:kern w:val="0"/>
          <w:sz w:val="32"/>
          <w:szCs w:val="32"/>
          <w:highlight w:val="white"/>
        </w:rPr>
      </w:pPr>
    </w:p>
    <w:p w14:paraId="0E25E00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2AD1F4D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2A97348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011F82F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咨询费：反映单位咨询方面的支出。</w:t>
      </w:r>
    </w:p>
    <w:p w14:paraId="235A6DC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水费：反映单位支付的水费、污水处理费等支出。</w:t>
      </w:r>
    </w:p>
    <w:p w14:paraId="5157487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25E33D9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762D1C7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4881A9B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维修</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护</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费：反映单位日常开支的固定资产（不包括车船等交通工具）修理和维护费用，网络信息系统运行与维护费用，以及按规定提取的修购基金。</w:t>
      </w:r>
    </w:p>
    <w:p w14:paraId="36E8467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会议费：反映会议中按规定开支的住宿费、伙食费、会议室租金、交通费、文件印刷费、医药费等。</w:t>
      </w:r>
    </w:p>
    <w:p w14:paraId="5A0EA51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7E293C3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C90EB5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594F7DA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委托业务费：反映因委托外单位办理业务而支付的委托业务费。</w:t>
      </w:r>
    </w:p>
    <w:p w14:paraId="60DFE94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295CCBE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6F4B260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1288FEC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3808807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0F9B909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抚恤金：反映按规定开支的烈士遗属、牺牲病故人员遗属的一次性和定期抚恤金，伤残人员的抚恤金，离退休人员等其他人员的各项抚恤金。</w:t>
      </w:r>
    </w:p>
    <w:p w14:paraId="780B1EE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011A787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426CE9E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其他对个人和家庭的补助支出：反映未包括在上述科目的对个人和家庭的补助支出，</w:t>
      </w:r>
    </w:p>
    <w:p w14:paraId="4201F7C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70A7C24D">
      <w:pPr>
        <w:pStyle w:val="14"/>
        <w:jc w:val="center"/>
        <w:rPr>
          <w:rFonts w:ascii="方正小标宋_GBK" w:hAnsi="方正小标宋_GBK" w:eastAsia="方正小标宋_GBK" w:cs="方正小标宋_GBK"/>
          <w:color w:val="auto"/>
          <w:sz w:val="48"/>
          <w:szCs w:val="48"/>
        </w:rPr>
      </w:pPr>
    </w:p>
    <w:p w14:paraId="48B0D68B">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3DFB770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41F0F5E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年度华容县鲇鱼须镇人民政府部门决算公开表格</w:t>
      </w:r>
    </w:p>
    <w:p w14:paraId="0686012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年度华容县鲇鱼须镇人民政府整体支出绩效自评报告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40CBC"/>
    <w:rsid w:val="000415B7"/>
    <w:rsid w:val="00041E3F"/>
    <w:rsid w:val="00055DAA"/>
    <w:rsid w:val="00061F7B"/>
    <w:rsid w:val="000658A3"/>
    <w:rsid w:val="00074155"/>
    <w:rsid w:val="000A3F69"/>
    <w:rsid w:val="000E3B6C"/>
    <w:rsid w:val="000F1D7E"/>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9384A"/>
    <w:rsid w:val="002A01A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0721C"/>
    <w:rsid w:val="00710FE7"/>
    <w:rsid w:val="00717621"/>
    <w:rsid w:val="00720FF1"/>
    <w:rsid w:val="00727A53"/>
    <w:rsid w:val="00787B42"/>
    <w:rsid w:val="007C4539"/>
    <w:rsid w:val="007F3657"/>
    <w:rsid w:val="00812ED5"/>
    <w:rsid w:val="008277D9"/>
    <w:rsid w:val="0084478C"/>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286D"/>
    <w:rsid w:val="00BD2FD1"/>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1DB77C6"/>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13991</Words>
  <Characters>14679</Characters>
  <Lines>106</Lines>
  <Paragraphs>30</Paragraphs>
  <TotalTime>0</TotalTime>
  <ScaleCrop>false</ScaleCrop>
  <LinksUpToDate>false</LinksUpToDate>
  <CharactersWithSpaces>14803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2025-11-12T13:07:28Z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