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 w:cs="黑体"/>
          <w:spacing w:val="-4"/>
          <w:sz w:val="31"/>
          <w:szCs w:val="31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/>
        <w:textAlignment w:val="auto"/>
        <w:rPr>
          <w:rFonts w:hint="eastAsia" w:ascii="黑体" w:hAnsi="黑体" w:eastAsia="黑体" w:cs="黑体"/>
          <w:spacing w:val="-4"/>
          <w:sz w:val="31"/>
          <w:szCs w:val="3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0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0"/>
          <w:sz w:val="44"/>
          <w:szCs w:val="44"/>
        </w:rPr>
        <w:t>2023年度部门整体支出绩效评价基础数据表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</w:pPr>
    </w:p>
    <w:tbl>
      <w:tblPr>
        <w:tblStyle w:val="15"/>
        <w:tblW w:w="9277" w:type="dxa"/>
        <w:jc w:val="center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419"/>
        <w:gridCol w:w="964"/>
        <w:gridCol w:w="965"/>
        <w:gridCol w:w="1"/>
        <w:gridCol w:w="985"/>
        <w:gridCol w:w="986"/>
        <w:gridCol w:w="978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9" w:hRule="atLeast"/>
          <w:jc w:val="center"/>
        </w:trPr>
        <w:tc>
          <w:tcPr>
            <w:tcW w:w="3419" w:type="dxa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财政供养人员情况（人）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编制数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2023年实际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在职人数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控制率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72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72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100%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经费控制情况（万元）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2022年决算数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2023年预算数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2023年决算数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三公经费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5.6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10.6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5.5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1、公务用车购置和维护经费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其中：公车购置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59" w:firstLineChars="695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公车运行维护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2、出国经费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3、公务接待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5.6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10.6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5.5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项目支出：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1535.61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1519.33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XX项目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2、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XX项目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3、专项资金（每个专项一行）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一般公共服务支出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47.4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国防支出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3.5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公共安全支出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1.38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文化旅游体育与传媒支出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22.01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社会保障和就业支出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310.32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节能环保支出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19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城乡社区支出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59.39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农林水支出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900.25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交通运输支出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17.08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商业服务业等支出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自然资源海洋气象等支出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粮油物资储备支出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59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灾害防治及应急管理支出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其他支出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52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公用经费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31.6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38.4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其中：办公经费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both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19.09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78" w:firstLineChars="704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水费、电费、差旅费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11.61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78" w:firstLineChars="704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会议费、培训费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7.7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政府采购金额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——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281.92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部门基本支出预算调整</w:t>
            </w:r>
          </w:p>
        </w:tc>
        <w:tc>
          <w:tcPr>
            <w:tcW w:w="1930" w:type="dxa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——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1083.02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8" w:hRule="atLeast"/>
          <w:jc w:val="center"/>
        </w:trPr>
        <w:tc>
          <w:tcPr>
            <w:tcW w:w="3419" w:type="dxa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楼堂馆所控制情况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（2023年完工项目）</w:t>
            </w:r>
          </w:p>
        </w:tc>
        <w:tc>
          <w:tcPr>
            <w:tcW w:w="96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批复规模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（㎡）</w:t>
            </w: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实际规模（㎡）</w:t>
            </w:r>
          </w:p>
        </w:tc>
        <w:tc>
          <w:tcPr>
            <w:tcW w:w="986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规模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控制率</w:t>
            </w:r>
          </w:p>
        </w:tc>
        <w:tc>
          <w:tcPr>
            <w:tcW w:w="98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预算投资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（万元）</w:t>
            </w:r>
          </w:p>
        </w:tc>
        <w:tc>
          <w:tcPr>
            <w:tcW w:w="97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实际投资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（万元）</w:t>
            </w:r>
          </w:p>
        </w:tc>
        <w:tc>
          <w:tcPr>
            <w:tcW w:w="9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投资概算控制率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6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86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8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7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0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厉行节约保障措施</w:t>
            </w:r>
          </w:p>
        </w:tc>
        <w:tc>
          <w:tcPr>
            <w:tcW w:w="5858" w:type="dxa"/>
            <w:gridSpan w:val="7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减少不必要的开支</w:t>
            </w:r>
          </w:p>
        </w:tc>
      </w:tr>
    </w:tbl>
    <w:p>
      <w:pPr>
        <w:rPr>
          <w:rFonts w:hint="eastAsia"/>
          <w:lang w:eastAsia="zh-CN"/>
        </w:rPr>
      </w:pPr>
      <w:r>
        <w:rPr>
          <w:rFonts w:hint="eastAsia"/>
        </w:rPr>
        <w:t>说明：“项目支出” 需要填报基本支出以外的所有项目支出情况，“公用经费”填报基本支出</w:t>
      </w:r>
      <w:r>
        <w:rPr>
          <w:rFonts w:hint="eastAsia"/>
          <w:lang w:eastAsia="zh-CN"/>
        </w:rPr>
        <w:t>中的一般商品和服务支出。</w:t>
      </w: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/>
        </w:rPr>
        <w:t>填表人：</w:t>
      </w:r>
      <w:r>
        <w:rPr>
          <w:rFonts w:hint="eastAsia"/>
          <w:lang w:eastAsia="zh-CN"/>
        </w:rPr>
        <w:t>郝婕</w:t>
      </w:r>
      <w:r>
        <w:rPr>
          <w:rFonts w:hint="eastAsia"/>
        </w:rPr>
        <w:t xml:space="preserve">   填报日期：</w:t>
      </w:r>
      <w:r>
        <w:rPr>
          <w:rFonts w:hint="eastAsia"/>
          <w:lang w:val="en-US" w:eastAsia="zh-CN"/>
        </w:rPr>
        <w:t>2024.05.28</w:t>
      </w:r>
      <w:r>
        <w:rPr>
          <w:rFonts w:hint="eastAsia"/>
        </w:rPr>
        <w:t xml:space="preserve">  联系电话：</w:t>
      </w:r>
      <w:r>
        <w:rPr>
          <w:rFonts w:hint="eastAsia"/>
          <w:lang w:val="en-US" w:eastAsia="zh-CN"/>
        </w:rPr>
        <w:t>13307303081</w:t>
      </w:r>
      <w:r>
        <w:rPr>
          <w:rFonts w:hint="eastAsia"/>
        </w:rPr>
        <w:t xml:space="preserve">  单位负责人签字：</w:t>
      </w:r>
      <w:r>
        <w:rPr>
          <w:rFonts w:hint="eastAsia"/>
          <w:lang w:eastAsia="zh-CN"/>
        </w:rPr>
        <w:t>邓拓</w:t>
      </w:r>
      <w:bookmarkStart w:id="0" w:name="_GoBack"/>
      <w:bookmarkEnd w:id="0"/>
    </w:p>
    <w:p>
      <w:pPr>
        <w:rPr>
          <w:spacing w:val="-13"/>
          <w:sz w:val="22"/>
          <w:szCs w:val="22"/>
        </w:rPr>
      </w:pPr>
      <w:r>
        <w:rPr>
          <w:spacing w:val="-13"/>
          <w:sz w:val="22"/>
          <w:szCs w:val="22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default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3</w:t>
      </w:r>
    </w:p>
    <w:p>
      <w:pPr>
        <w:spacing w:line="251" w:lineRule="auto"/>
        <w:rPr>
          <w:rFonts w:ascii="Arial"/>
          <w:sz w:val="21"/>
        </w:rPr>
      </w:pPr>
    </w:p>
    <w:p>
      <w:pPr>
        <w:spacing w:line="251" w:lineRule="auto"/>
        <w:rPr>
          <w:rFonts w:ascii="Arial"/>
          <w:sz w:val="21"/>
        </w:rPr>
      </w:pPr>
    </w:p>
    <w:p>
      <w:pPr>
        <w:rPr>
          <w:rFonts w:ascii="Arial"/>
          <w:sz w:val="21"/>
        </w:rPr>
      </w:pPr>
    </w:p>
    <w:p>
      <w:pPr>
        <w:pStyle w:val="2"/>
      </w:pPr>
    </w:p>
    <w:p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23" w:line="219" w:lineRule="auto"/>
        <w:ind w:left="0"/>
        <w:jc w:val="center"/>
        <w:textAlignment w:val="auto"/>
        <w:rPr>
          <w:rFonts w:hint="eastAsia" w:ascii="宋体" w:hAnsi="宋体" w:eastAsia="宋体" w:cs="宋体"/>
          <w:sz w:val="44"/>
          <w:szCs w:val="44"/>
        </w:rPr>
      </w:pPr>
      <w:r>
        <w:rPr>
          <w:rFonts w:hint="eastAsia" w:ascii="宋体" w:hAnsi="宋体" w:eastAsia="宋体" w:cs="宋体"/>
          <w:spacing w:val="-1"/>
          <w:sz w:val="44"/>
          <w:szCs w:val="44"/>
        </w:rPr>
        <w:t>2023年度</w:t>
      </w:r>
      <w:r>
        <w:rPr>
          <w:rFonts w:hint="eastAsia" w:ascii="宋体" w:hAnsi="宋体" w:eastAsia="宋体" w:cs="宋体"/>
          <w:spacing w:val="-1"/>
          <w:sz w:val="44"/>
          <w:szCs w:val="44"/>
          <w:lang w:eastAsia="zh-CN"/>
        </w:rPr>
        <w:t>华容县新河乡人民政府</w:t>
      </w:r>
      <w:r>
        <w:rPr>
          <w:rFonts w:hint="eastAsia" w:ascii="宋体" w:hAnsi="宋体" w:eastAsia="宋体" w:cs="宋体"/>
          <w:spacing w:val="-1"/>
          <w:sz w:val="44"/>
          <w:szCs w:val="44"/>
        </w:rPr>
        <w:t>整体支出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" w:line="183" w:lineRule="auto"/>
        <w:ind w:left="0" w:firstLine="434" w:firstLineChars="100"/>
        <w:jc w:val="center"/>
        <w:textAlignment w:val="auto"/>
        <w:rPr>
          <w:rFonts w:hint="eastAsia" w:ascii="宋体" w:hAnsi="宋体" w:eastAsia="宋体" w:cs="宋体"/>
          <w:sz w:val="44"/>
          <w:szCs w:val="44"/>
        </w:rPr>
      </w:pPr>
      <w:r>
        <w:rPr>
          <w:rFonts w:hint="eastAsia" w:ascii="宋体" w:hAnsi="宋体" w:eastAsia="宋体" w:cs="宋体"/>
          <w:spacing w:val="-3"/>
          <w:sz w:val="44"/>
          <w:szCs w:val="44"/>
        </w:rPr>
        <w:t>绩效自评报告</w:t>
      </w: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pStyle w:val="2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 w:color="auto"/>
          <w:lang w:val="en-US" w:eastAsia="zh-CN"/>
        </w:rPr>
        <w:t>(</w:t>
      </w:r>
      <w:r>
        <w:rPr>
          <w:rFonts w:hint="eastAsia" w:ascii="仿宋_GB2312" w:hAnsi="仿宋_GB2312" w:eastAsia="仿宋_GB2312" w:cs="仿宋_GB2312"/>
          <w:spacing w:val="-118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75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10"/>
          <w:sz w:val="32"/>
          <w:szCs w:val="32"/>
          <w:u w:val="single" w:color="auto"/>
        </w:rPr>
        <w:t>盖章）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  <w:lang w:val="en-US" w:eastAsia="zh-CN"/>
        </w:rPr>
        <w:t xml:space="preserve">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</w:t>
      </w:r>
    </w:p>
    <w:p>
      <w:pPr>
        <w:spacing w:before="228" w:line="222" w:lineRule="auto"/>
        <w:ind w:firstLine="4560" w:firstLineChars="15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8"/>
          <w:sz w:val="32"/>
          <w:szCs w:val="32"/>
          <w:lang w:val="en-US" w:eastAsia="zh-CN"/>
        </w:rPr>
        <w:t>2024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年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月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  <w:lang w:val="en-US" w:eastAsia="zh-CN"/>
        </w:rPr>
        <w:t>28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日</w:t>
      </w:r>
    </w:p>
    <w:p>
      <w:pPr>
        <w:spacing w:line="335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pStyle w:val="4"/>
        <w:spacing w:before="102" w:line="224" w:lineRule="auto"/>
        <w:ind w:left="3216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t>（此页为封面）</w:t>
      </w:r>
    </w:p>
    <w:p>
      <w:pPr>
        <w:sectPr>
          <w:footerReference r:id="rId3" w:type="default"/>
          <w:pgSz w:w="11905" w:h="16838"/>
          <w:pgMar w:top="1984" w:right="1701" w:bottom="1984" w:left="1701" w:header="850" w:footer="1587" w:gutter="0"/>
          <w:pgNumType w:fmt="numberInDash" w:start="7"/>
          <w:cols w:space="0" w:num="1"/>
          <w:rtlGutter w:val="0"/>
          <w:docGrid w:type="lines" w:linePitch="314" w:charSpace="0"/>
        </w:sectPr>
      </w:pPr>
      <w: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both"/>
        <w:textAlignment w:val="auto"/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</w:pPr>
    </w:p>
    <w:p>
      <w:pPr>
        <w:pStyle w:val="2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宋体" w:hAnsi="宋体" w:eastAsia="宋体" w:cs="宋体"/>
          <w:sz w:val="44"/>
          <w:szCs w:val="44"/>
        </w:rPr>
      </w:pPr>
      <w:r>
        <w:rPr>
          <w:rFonts w:hint="eastAsia" w:ascii="宋体" w:hAnsi="宋体" w:eastAsia="宋体" w:cs="宋体"/>
          <w:spacing w:val="6"/>
          <w:sz w:val="44"/>
          <w:szCs w:val="44"/>
        </w:rPr>
        <w:t>2023年度</w:t>
      </w:r>
      <w:r>
        <w:rPr>
          <w:rFonts w:hint="eastAsia" w:ascii="宋体" w:hAnsi="宋体" w:eastAsia="宋体" w:cs="宋体"/>
          <w:spacing w:val="6"/>
          <w:sz w:val="44"/>
          <w:szCs w:val="44"/>
          <w:lang w:eastAsia="zh-CN"/>
        </w:rPr>
        <w:t>华容县新河乡人民政府</w:t>
      </w:r>
      <w:r>
        <w:rPr>
          <w:rFonts w:hint="eastAsia" w:ascii="宋体" w:hAnsi="宋体" w:eastAsia="宋体" w:cs="宋体"/>
          <w:spacing w:val="6"/>
          <w:sz w:val="44"/>
          <w:szCs w:val="44"/>
        </w:rPr>
        <w:t>整体支出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宋体" w:hAnsi="宋体" w:eastAsia="宋体" w:cs="宋体"/>
          <w:sz w:val="44"/>
          <w:szCs w:val="44"/>
        </w:rPr>
      </w:pPr>
      <w:r>
        <w:rPr>
          <w:rFonts w:hint="eastAsia" w:ascii="宋体" w:hAnsi="宋体" w:eastAsia="宋体" w:cs="宋体"/>
          <w:spacing w:val="7"/>
          <w:sz w:val="44"/>
          <w:szCs w:val="44"/>
        </w:rPr>
        <w:t>绩效自评报告</w:t>
      </w:r>
    </w:p>
    <w:p>
      <w:pPr>
        <w:spacing w:line="540" w:lineRule="exact"/>
        <w:ind w:firstLine="640" w:firstLineChars="200"/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z w:val="32"/>
          <w:szCs w:val="32"/>
        </w:rPr>
        <w:t>根据《华容县财政局关于开展202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</w:t>
      </w:r>
      <w:r>
        <w:rPr>
          <w:rFonts w:hint="eastAsia" w:ascii="仿宋" w:hAnsi="仿宋" w:eastAsia="仿宋" w:cs="仿宋"/>
          <w:sz w:val="32"/>
          <w:szCs w:val="32"/>
        </w:rPr>
        <w:t>年度部门整体支出绩效自评工作的通知》（华财函〔202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4</w:t>
      </w:r>
      <w:r>
        <w:rPr>
          <w:rFonts w:hint="eastAsia" w:ascii="仿宋" w:hAnsi="仿宋" w:eastAsia="仿宋" w:cs="仿宋"/>
          <w:sz w:val="32"/>
          <w:szCs w:val="32"/>
        </w:rPr>
        <w:t>〕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103</w:t>
      </w:r>
      <w:r>
        <w:rPr>
          <w:rFonts w:hint="eastAsia" w:ascii="仿宋" w:hAnsi="仿宋" w:eastAsia="仿宋" w:cs="仿宋"/>
          <w:sz w:val="32"/>
          <w:szCs w:val="32"/>
        </w:rPr>
        <w:t>号）的相关规定和要求，现对我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部门</w:t>
      </w:r>
      <w:r>
        <w:rPr>
          <w:rFonts w:hint="eastAsia" w:ascii="仿宋" w:hAnsi="仿宋" w:eastAsia="仿宋" w:cs="仿宋"/>
          <w:sz w:val="32"/>
          <w:szCs w:val="32"/>
        </w:rPr>
        <w:t>202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</w:t>
      </w:r>
      <w:r>
        <w:rPr>
          <w:rFonts w:hint="eastAsia" w:ascii="仿宋" w:hAnsi="仿宋" w:eastAsia="仿宋" w:cs="仿宋"/>
          <w:sz w:val="32"/>
          <w:szCs w:val="32"/>
        </w:rPr>
        <w:t>年度整体支出开展绩效自评，现将情况汇报如下：</w:t>
      </w:r>
    </w:p>
    <w:p>
      <w:pPr>
        <w:pStyle w:val="2"/>
      </w:pPr>
    </w:p>
    <w:p>
      <w:pPr>
        <w:numPr>
          <w:ilvl w:val="0"/>
          <w:numId w:val="1"/>
        </w:numPr>
        <w:spacing w:before="101" w:line="228" w:lineRule="auto"/>
        <w:ind w:left="648"/>
        <w:rPr>
          <w:rFonts w:hint="eastAsia" w:ascii="黑体" w:hAnsi="黑体" w:eastAsia="黑体" w:cs="黑体"/>
          <w:spacing w:val="5"/>
          <w:sz w:val="32"/>
          <w:szCs w:val="32"/>
        </w:rPr>
      </w:pPr>
      <w:r>
        <w:rPr>
          <w:rFonts w:hint="eastAsia" w:ascii="黑体" w:hAnsi="黑体" w:eastAsia="黑体" w:cs="黑体"/>
          <w:spacing w:val="5"/>
          <w:sz w:val="32"/>
          <w:szCs w:val="32"/>
        </w:rPr>
        <w:t>部门基本情况</w:t>
      </w:r>
    </w:p>
    <w:p>
      <w:pPr>
        <w:numPr>
          <w:ilvl w:val="0"/>
          <w:numId w:val="2"/>
        </w:numPr>
        <w:spacing w:line="540" w:lineRule="exact"/>
        <w:ind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机构设置</w:t>
      </w:r>
    </w:p>
    <w:p>
      <w:pPr>
        <w:numPr>
          <w:ilvl w:val="0"/>
          <w:numId w:val="0"/>
        </w:numPr>
        <w:spacing w:line="540" w:lineRule="exact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eastAsia="zh-CN"/>
        </w:rPr>
        <w:t>华容县新河乡人民政府</w:t>
      </w:r>
      <w:r>
        <w:rPr>
          <w:rFonts w:hint="eastAsia" w:ascii="仿宋" w:hAnsi="仿宋" w:eastAsia="仿宋" w:cs="仿宋"/>
          <w:sz w:val="32"/>
          <w:szCs w:val="32"/>
        </w:rPr>
        <w:t>共有</w:t>
      </w:r>
      <w:r>
        <w:rPr>
          <w:rFonts w:hint="eastAsia" w:ascii="仿宋" w:hAnsi="仿宋" w:eastAsia="仿宋" w:cs="仿宋"/>
          <w:sz w:val="32"/>
          <w:szCs w:val="32"/>
          <w:lang w:val="zh-CN"/>
        </w:rPr>
        <w:t>乡政府机关、乡财政所、乡农业综合服务中心、乡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zh-CN"/>
        </w:rPr>
        <w:t>社会事</w:t>
      </w:r>
      <w:r>
        <w:rPr>
          <w:rFonts w:hint="eastAsia" w:ascii="仿宋" w:hAnsi="仿宋" w:eastAsia="仿宋" w:cs="仿宋"/>
          <w:sz w:val="32"/>
          <w:szCs w:val="32"/>
          <w:lang w:val="zh-CN"/>
        </w:rPr>
        <w:t>业综合服务中心、乡退役军人服务站、乡综合行政执法大队、乡水利服务站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7</w:t>
      </w:r>
      <w:r>
        <w:rPr>
          <w:rFonts w:hint="eastAsia" w:ascii="仿宋" w:hAnsi="仿宋" w:eastAsia="仿宋" w:cs="仿宋"/>
          <w:sz w:val="32"/>
          <w:szCs w:val="32"/>
        </w:rPr>
        <w:t>个独立核算工作机构。现有人员编制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72</w:t>
      </w:r>
      <w:r>
        <w:rPr>
          <w:rFonts w:hint="eastAsia" w:ascii="仿宋" w:hAnsi="仿宋" w:eastAsia="仿宋" w:cs="仿宋"/>
          <w:sz w:val="32"/>
          <w:szCs w:val="32"/>
        </w:rPr>
        <w:t>名（其中：行政编制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34</w:t>
      </w:r>
      <w:r>
        <w:rPr>
          <w:rFonts w:hint="eastAsia" w:ascii="仿宋" w:hAnsi="仿宋" w:eastAsia="仿宋" w:cs="仿宋"/>
          <w:sz w:val="32"/>
          <w:szCs w:val="32"/>
        </w:rPr>
        <w:t>名，事业全额编制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38</w:t>
      </w:r>
      <w:r>
        <w:rPr>
          <w:rFonts w:hint="eastAsia" w:ascii="仿宋" w:hAnsi="仿宋" w:eastAsia="仿宋" w:cs="仿宋"/>
          <w:sz w:val="32"/>
          <w:szCs w:val="32"/>
        </w:rPr>
        <w:t>名），实有在职干部、职工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72</w:t>
      </w:r>
      <w:r>
        <w:rPr>
          <w:rFonts w:hint="eastAsia" w:ascii="仿宋" w:hAnsi="仿宋" w:eastAsia="仿宋" w:cs="仿宋"/>
          <w:sz w:val="32"/>
          <w:szCs w:val="32"/>
        </w:rPr>
        <w:t>人。</w:t>
      </w:r>
    </w:p>
    <w:p>
      <w:pPr>
        <w:pStyle w:val="14"/>
        <w:widowControl/>
        <w:spacing w:line="610" w:lineRule="exact"/>
        <w:ind w:firstLine="64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2、部门职责：</w:t>
      </w:r>
    </w:p>
    <w:p>
      <w:pPr>
        <w:pStyle w:val="14"/>
        <w:widowControl/>
        <w:spacing w:line="610" w:lineRule="exact"/>
        <w:ind w:firstLine="64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人民政府：全民贯彻落实党和国家在农村的各项方针政策和法律法规，加强基层组织建设，完善党对农村工作的领导，紧紧围绕促进经济发展、增加农民收入，强化公共服务、着力改善民生，加强社会管理、维护农村稳定，推进基层民主、促进农村和谐四个方面履职。</w:t>
      </w:r>
    </w:p>
    <w:p>
      <w:pPr>
        <w:pStyle w:val="14"/>
        <w:widowControl/>
        <w:spacing w:line="610" w:lineRule="exact"/>
        <w:ind w:firstLine="64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财政所：负责贯彻执行有关财政、预算、财务、会计等方面的法律法规和政策；编制本乡财政预决算、管理和监督全乡各项财政收支，资金调度和拨款；指导全乡的会计工作，加强对农村财务工作的指导和监督；加强对国家专项资金的监督、将惠民政策落到实处；完成上级财政和乡镇安排的其他工作。</w:t>
      </w:r>
    </w:p>
    <w:p>
      <w:pPr>
        <w:pStyle w:val="14"/>
        <w:widowControl/>
        <w:spacing w:line="610" w:lineRule="exact"/>
        <w:ind w:firstLine="64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乡农业综合服务中心：负责种植业、养殖业、林业、水产业、农业机械新技术的引进、试验示范、培训推广、技术服务和农业林业病虫害预测预报及防治指导工作；负责国家强制免疫的动物疫病免疫接种以及相关工作；负责农产品质量安全检测监督服务工作；承办农村经济统计、农民专业合作组织管理等工作。</w:t>
      </w:r>
    </w:p>
    <w:p>
      <w:pPr>
        <w:pStyle w:val="14"/>
        <w:widowControl/>
        <w:spacing w:line="610" w:lineRule="exact"/>
        <w:ind w:firstLine="64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乡社会事业综合服务中心：协助社会事务办公室的工作，具体承办科技、教育体育、文化旅游广电、卫生健康与计划生育、人力资源和社会保障、民政、社区建设、医疗保障、住房和城乡建设、村乡规划、村乡建设、住房保障、交通运输、生态环境保护、残疾人事业、慈善等方面的公益服务性、技术性工作。</w:t>
      </w:r>
    </w:p>
    <w:p>
      <w:pPr>
        <w:pStyle w:val="14"/>
        <w:widowControl/>
        <w:spacing w:line="610" w:lineRule="exact"/>
        <w:ind w:firstLine="64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乡退役军人服务站：负责退役军人就业创业、优抚帮扶、权益保障、数据信息采集、走访慰问等事务性工作。</w:t>
      </w:r>
    </w:p>
    <w:p>
      <w:pPr>
        <w:pStyle w:val="14"/>
        <w:widowControl/>
        <w:spacing w:line="610" w:lineRule="exact"/>
        <w:ind w:firstLine="64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乡综合行政执法大队：负责本辖区内综合行政执法工作；依法依规相对集中行使乡村集镇管理、住房建设、自然资源、生态环境保护、市场监管、交通运输、应急管理、安全生产、农业农村、文化旅游等方面的行政执法权；负责执法信息报送；配合县级执法部门开展联合执法、专业执法，负责日常巡查、综合检查、接受投诉举报、协助调查取证等工作。</w:t>
      </w:r>
    </w:p>
    <w:p>
      <w:pPr>
        <w:numPr>
          <w:numId w:val="0"/>
        </w:numPr>
        <w:spacing w:line="540" w:lineRule="exact"/>
        <w:ind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水利管理服务站：负责宣传防汛、水土保持、水资源等法律法规的宣传；负责农田水利规划、堤防建设与管理及防汛救灾工作；辖区内农村供水工程的规划、质量监督和安全运营；乡党委政府及其他业务部门安排的其他事项。</w:t>
      </w:r>
    </w:p>
    <w:p>
      <w:pPr>
        <w:pStyle w:val="2"/>
        <w:numPr>
          <w:numId w:val="0"/>
        </w:numPr>
        <w:rPr>
          <w:rFonts w:hint="eastAsia"/>
        </w:rPr>
      </w:pPr>
    </w:p>
    <w:p>
      <w:pPr>
        <w:spacing w:before="216" w:line="226" w:lineRule="auto"/>
        <w:ind w:left="648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pacing w:val="-2"/>
          <w:sz w:val="32"/>
          <w:szCs w:val="32"/>
        </w:rPr>
        <w:t>二、一般公共预算支出情况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eastAsia" w:ascii="楷体_GB2312" w:hAnsi="楷体_GB2312" w:eastAsia="楷体_GB2312" w:cs="楷体_GB2312"/>
          <w:b/>
          <w:bCs/>
          <w:sz w:val="32"/>
          <w:szCs w:val="32"/>
        </w:rPr>
      </w:pPr>
      <w:r>
        <w:rPr>
          <w:rFonts w:hint="eastAsia" w:ascii="楷体_GB2312" w:hAnsi="楷体_GB2312" w:eastAsia="楷体_GB2312" w:cs="楷体_GB2312"/>
          <w:b/>
          <w:bCs/>
          <w:sz w:val="32"/>
          <w:szCs w:val="32"/>
        </w:rPr>
        <w:t>（一）基本支出情况</w:t>
      </w:r>
    </w:p>
    <w:p>
      <w:pPr>
        <w:numPr>
          <w:ilvl w:val="0"/>
          <w:numId w:val="0"/>
        </w:numPr>
        <w:spacing w:line="540" w:lineRule="exact"/>
        <w:ind w:firstLine="640" w:firstLineChars="20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2023年基本支出1083.02万元，其中：人员经费支出921.11万元，占基本支出的85.05%，公用经费支出161.91万元，占基本支出的14.95%。其中：工资福利支出889.05万元，商品和服务支出161.91万元，对个人和家庭的补助32.06万元。单位厉行节约，保障了机构人员工资、社保和福利的及时发放，保障了机构的正常运转。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eastAsia" w:ascii="楷体_GB2312" w:hAnsi="楷体_GB2312" w:eastAsia="楷体_GB2312" w:cs="楷体_GB2312"/>
          <w:b/>
          <w:bCs/>
          <w:sz w:val="32"/>
          <w:szCs w:val="32"/>
        </w:rPr>
      </w:pPr>
      <w:r>
        <w:rPr>
          <w:rFonts w:hint="eastAsia" w:ascii="楷体_GB2312" w:hAnsi="楷体_GB2312" w:eastAsia="楷体_GB2312" w:cs="楷体_GB2312"/>
          <w:b/>
          <w:bCs/>
          <w:sz w:val="32"/>
          <w:szCs w:val="32"/>
        </w:rPr>
        <w:t>项目支出情况</w:t>
      </w:r>
    </w:p>
    <w:p>
      <w:pPr>
        <w:pStyle w:val="14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Chars="200"/>
        <w:jc w:val="both"/>
        <w:textAlignment w:val="auto"/>
        <w:rPr>
          <w:rFonts w:hint="default" w:ascii="Times New Roman" w:hAnsi="Times New Roman" w:eastAsia="黑体" w:cs="Times New Roman"/>
          <w:kern w:val="2"/>
          <w:sz w:val="32"/>
          <w:szCs w:val="32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1.专项资金安排落实、总投入等情况分析</w:t>
      </w:r>
    </w:p>
    <w:p>
      <w:pPr>
        <w:spacing w:line="560" w:lineRule="exact"/>
        <w:ind w:firstLine="640" w:firstLineChars="200"/>
        <w:jc w:val="both"/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202</w:t>
      </w:r>
      <w:r>
        <w:rPr>
          <w:rFonts w:hint="eastAsia" w:ascii="仿宋" w:hAnsi="仿宋" w:eastAsia="仿宋" w:cs="仿宋"/>
          <w:bCs/>
          <w:sz w:val="32"/>
          <w:szCs w:val="32"/>
          <w:lang w:val="en-US" w:eastAsia="zh-CN"/>
        </w:rPr>
        <w:t>3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</w:rPr>
        <w:t>年项目支出为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  <w:lang w:val="en-US" w:eastAsia="zh-CN"/>
        </w:rPr>
        <w:t>1438.33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</w:rPr>
        <w:t>万元，占总支出的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  <w:lang w:val="en-US" w:eastAsia="zh-CN"/>
        </w:rPr>
        <w:t>57.05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</w:rPr>
        <w:t>%，主要是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  <w:lang w:eastAsia="zh-CN"/>
        </w:rPr>
        <w:t>项目建设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</w:rPr>
        <w:t>支付的办公费、印刷费、差旅费、会议费、培训费、劳务费、对企事业单位的补贴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  <w:lang w:eastAsia="zh-CN"/>
        </w:rPr>
        <w:t>、基础设施建设、拆迁补偿、大型修缮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</w:rPr>
        <w:t>等商品和服务支出。其中商品和服务支出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  <w:lang w:val="en-US" w:eastAsia="zh-CN"/>
        </w:rPr>
        <w:t>49.5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</w:rPr>
        <w:t>万元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  <w:lang w:eastAsia="zh-CN"/>
        </w:rPr>
        <w:t>，对个人和家庭的补助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  <w:lang w:val="en-US" w:eastAsia="zh-CN"/>
        </w:rPr>
        <w:t>307.08万元，资本性支出1081.75万元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</w:rPr>
        <w:t>。</w:t>
      </w:r>
    </w:p>
    <w:p>
      <w:pPr>
        <w:spacing w:line="560" w:lineRule="exact"/>
        <w:ind w:firstLine="643" w:firstLineChars="200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2.专项资金实际使用情况分析</w:t>
      </w:r>
    </w:p>
    <w:p>
      <w:pPr>
        <w:spacing w:line="560" w:lineRule="exact"/>
        <w:ind w:firstLine="588" w:firstLineChars="184"/>
        <w:rPr>
          <w:rFonts w:hint="eastAsia"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202</w:t>
      </w:r>
      <w:r>
        <w:rPr>
          <w:rFonts w:hint="eastAsia" w:ascii="仿宋" w:hAnsi="仿宋" w:eastAsia="仿宋" w:cs="仿宋"/>
          <w:bCs/>
          <w:sz w:val="32"/>
          <w:szCs w:val="32"/>
          <w:lang w:val="en-US" w:eastAsia="zh-CN"/>
        </w:rPr>
        <w:t>3</w:t>
      </w:r>
      <w:r>
        <w:rPr>
          <w:rFonts w:hint="eastAsia" w:ascii="仿宋" w:hAnsi="仿宋" w:eastAsia="仿宋" w:cs="仿宋"/>
          <w:bCs/>
          <w:sz w:val="32"/>
          <w:szCs w:val="32"/>
        </w:rPr>
        <w:t>年专项总收入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  <w:lang w:val="en-US" w:eastAsia="zh-CN"/>
        </w:rPr>
        <w:t>1438.33</w:t>
      </w:r>
      <w:r>
        <w:rPr>
          <w:rFonts w:hint="eastAsia" w:ascii="仿宋" w:hAnsi="仿宋" w:eastAsia="仿宋" w:cs="仿宋"/>
          <w:bCs/>
          <w:sz w:val="32"/>
          <w:szCs w:val="32"/>
        </w:rPr>
        <w:t>万元，专项总支出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5F9FD"/>
          <w:lang w:val="en-US" w:eastAsia="zh-CN"/>
        </w:rPr>
        <w:t>1438.33</w:t>
      </w:r>
      <w:r>
        <w:rPr>
          <w:rFonts w:hint="eastAsia" w:ascii="仿宋" w:hAnsi="仿宋" w:eastAsia="仿宋" w:cs="仿宋"/>
          <w:bCs/>
          <w:sz w:val="32"/>
          <w:szCs w:val="32"/>
        </w:rPr>
        <w:t>万元，收支平衡，无资金结余。</w:t>
      </w:r>
    </w:p>
    <w:p>
      <w:pPr>
        <w:spacing w:line="560" w:lineRule="exact"/>
        <w:ind w:firstLine="643" w:firstLineChars="200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3.专项资金管理情况分析</w:t>
      </w:r>
    </w:p>
    <w:p>
      <w:pPr>
        <w:spacing w:line="560" w:lineRule="exact"/>
        <w:ind w:firstLine="640" w:firstLineChars="200"/>
        <w:rPr>
          <w:rFonts w:hint="default" w:ascii="Times New Roman" w:hAnsi="Times New Roman" w:eastAsia="黑体" w:cs="Times New Roman"/>
          <w:kern w:val="2"/>
          <w:sz w:val="32"/>
          <w:szCs w:val="32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为加强项目资金管理，规范</w:t>
      </w:r>
      <w:r>
        <w:rPr>
          <w:rFonts w:hint="eastAsia" w:ascii="仿宋" w:hAnsi="仿宋" w:eastAsia="仿宋" w:cs="仿宋"/>
          <w:color w:val="333333"/>
          <w:sz w:val="32"/>
          <w:szCs w:val="32"/>
          <w:shd w:val="clear" w:color="auto" w:fill="FFFFFF"/>
        </w:rPr>
        <w:t>项目资金管理行为，提高项目管理水平及项目资金使用效益，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部门制定了财务管理制度、项目资金管理制度、专项资金管理办法等，对项目管理职责、申报与组织实施、项目资金的管理、监督检查与验收等进行了规定，成立了工作领导小组、明确工作职责、确定责任单位、制定工作方案、项目实施细则、考核办法等。</w:t>
      </w:r>
      <w:r>
        <w:rPr>
          <w:rFonts w:hint="eastAsia" w:ascii="仿宋" w:hAnsi="仿宋" w:eastAsia="仿宋" w:cs="仿宋"/>
          <w:color w:val="333333"/>
          <w:sz w:val="32"/>
          <w:szCs w:val="32"/>
          <w:shd w:val="clear" w:color="auto" w:fill="FFFFFF"/>
        </w:rPr>
        <w:t>项目资金严格按指定用途专款专用，实行专项报告制度，并接受财政部门或上级部门的检查、验收。202</w:t>
      </w:r>
      <w:r>
        <w:rPr>
          <w:rFonts w:hint="eastAsia" w:ascii="仿宋" w:hAnsi="仿宋" w:eastAsia="仿宋" w:cs="仿宋"/>
          <w:color w:val="333333"/>
          <w:sz w:val="32"/>
          <w:szCs w:val="32"/>
          <w:shd w:val="clear" w:color="auto" w:fill="FFFFFF"/>
          <w:lang w:val="en-US" w:eastAsia="zh-CN"/>
        </w:rPr>
        <w:t>3</w:t>
      </w:r>
      <w:r>
        <w:rPr>
          <w:rFonts w:hint="eastAsia" w:ascii="仿宋" w:hAnsi="仿宋" w:eastAsia="仿宋" w:cs="仿宋"/>
          <w:color w:val="333333"/>
          <w:sz w:val="32"/>
          <w:szCs w:val="32"/>
          <w:shd w:val="clear" w:color="auto" w:fill="FFFFFF"/>
        </w:rPr>
        <w:t>年本部门项目支出，基本能够严格按照相关制度规定等进行。</w:t>
      </w:r>
    </w:p>
    <w:p>
      <w:pPr>
        <w:pStyle w:val="2"/>
        <w:numPr>
          <w:numId w:val="0"/>
        </w:numPr>
        <w:rPr>
          <w:rFonts w:hint="eastAsia"/>
        </w:rPr>
      </w:pPr>
    </w:p>
    <w:p>
      <w:pPr>
        <w:numPr>
          <w:numId w:val="0"/>
        </w:numPr>
        <w:tabs>
          <w:tab w:val="left" w:pos="877"/>
        </w:tabs>
        <w:spacing w:before="224" w:line="227" w:lineRule="auto"/>
        <w:ind w:left="648" w:leftChars="0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  <w:lang w:eastAsia="zh-CN"/>
        </w:rPr>
        <w:t>三、</w:t>
      </w:r>
      <w:r>
        <w:rPr>
          <w:rFonts w:hint="eastAsia" w:ascii="黑体" w:hAnsi="黑体" w:eastAsia="黑体" w:cs="黑体"/>
          <w:spacing w:val="8"/>
          <w:sz w:val="32"/>
          <w:szCs w:val="32"/>
        </w:rPr>
        <w:t>政府性基金预算支出情况</w:t>
      </w:r>
    </w:p>
    <w:p>
      <w:pPr>
        <w:pStyle w:val="2"/>
        <w:numPr>
          <w:numId w:val="0"/>
        </w:numPr>
        <w:ind w:left="648" w:leftChars="0"/>
        <w:rPr>
          <w:rFonts w:hint="eastAsia"/>
        </w:rPr>
      </w:pPr>
    </w:p>
    <w:p>
      <w:pPr>
        <w:pStyle w:val="2"/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firstLine="640" w:firstLineChars="200"/>
        <w:textAlignment w:val="auto"/>
        <w:rPr>
          <w:rFonts w:hint="default" w:ascii="仿宋" w:hAnsi="仿宋" w:eastAsia="仿宋" w:cs="仿宋"/>
          <w:color w:val="333333"/>
          <w:kern w:val="2"/>
          <w:sz w:val="32"/>
          <w:szCs w:val="32"/>
          <w:shd w:val="clear" w:color="auto" w:fill="FFFFFF"/>
          <w:lang w:val="en-US" w:eastAsia="zh-CN" w:bidi="ar-SA"/>
        </w:rPr>
      </w:pPr>
      <w:r>
        <w:rPr>
          <w:rFonts w:hint="eastAsia" w:ascii="仿宋" w:hAnsi="仿宋" w:eastAsia="仿宋" w:cs="仿宋"/>
          <w:color w:val="333333"/>
          <w:kern w:val="2"/>
          <w:sz w:val="32"/>
          <w:szCs w:val="32"/>
          <w:shd w:val="clear" w:color="auto" w:fill="FFFFFF"/>
          <w:lang w:val="en-US" w:eastAsia="zh-CN" w:bidi="ar-SA"/>
        </w:rPr>
        <w:t>2023年项目支出为81万元，占总支出的100%。其中资本性支出为81万元。</w:t>
      </w:r>
    </w:p>
    <w:p>
      <w:pPr>
        <w:numPr>
          <w:ilvl w:val="0"/>
          <w:numId w:val="4"/>
        </w:numPr>
        <w:spacing w:before="219" w:line="600" w:lineRule="exact"/>
        <w:ind w:left="662"/>
        <w:rPr>
          <w:rFonts w:hint="eastAsia" w:ascii="黑体" w:hAnsi="黑体" w:eastAsia="黑体" w:cs="黑体"/>
          <w:spacing w:val="7"/>
          <w:position w:val="21"/>
          <w:sz w:val="32"/>
          <w:szCs w:val="32"/>
        </w:rPr>
      </w:pPr>
      <w:r>
        <w:rPr>
          <w:rFonts w:hint="eastAsia" w:ascii="黑体" w:hAnsi="黑体" w:eastAsia="黑体" w:cs="黑体"/>
          <w:spacing w:val="7"/>
          <w:position w:val="21"/>
          <w:sz w:val="32"/>
          <w:szCs w:val="32"/>
        </w:rPr>
        <w:t>国有资本经营预算支出情况</w:t>
      </w:r>
    </w:p>
    <w:p>
      <w:pPr>
        <w:pStyle w:val="2"/>
        <w:numPr>
          <w:numId w:val="0"/>
        </w:numPr>
        <w:rPr>
          <w:rFonts w:hint="eastAsia" w:eastAsia="宋体"/>
          <w:lang w:eastAsia="zh-CN"/>
        </w:rPr>
      </w:pPr>
    </w:p>
    <w:p>
      <w:pPr>
        <w:spacing w:line="227" w:lineRule="auto"/>
        <w:ind w:left="651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五、社会保险基金预算支出情况</w:t>
      </w:r>
    </w:p>
    <w:p>
      <w:pPr>
        <w:spacing w:before="219" w:line="226" w:lineRule="auto"/>
        <w:ind w:left="653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六、部门整体支出绩效情况</w:t>
      </w:r>
    </w:p>
    <w:p>
      <w:pPr>
        <w:widowControl/>
        <w:spacing w:line="610" w:lineRule="exact"/>
        <w:ind w:firstLine="640" w:firstLineChars="200"/>
        <w:rPr>
          <w:rFonts w:eastAsia="仿宋_GB2312"/>
          <w:color w:val="000000"/>
          <w:sz w:val="32"/>
          <w:szCs w:val="32"/>
        </w:rPr>
      </w:pPr>
      <w:r>
        <w:rPr>
          <w:rFonts w:hint="eastAsia" w:eastAsia="仿宋_GB2312"/>
          <w:color w:val="000000"/>
          <w:sz w:val="32"/>
          <w:szCs w:val="32"/>
        </w:rPr>
        <w:t>202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3</w:t>
      </w:r>
      <w:r>
        <w:rPr>
          <w:rFonts w:hint="eastAsia" w:eastAsia="仿宋_GB2312"/>
          <w:color w:val="000000"/>
          <w:sz w:val="32"/>
          <w:szCs w:val="32"/>
        </w:rPr>
        <w:t>年，根据年初工作规划和重点工作，围绕县委、县政府的工作部署，积极履行职责，强化管理，较好地完成了年度工作目标，同时加强预算收支的管理，建立健全内部管理制度，严格内部管理流程，部门整体支出管理得到了提升。202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3</w:t>
      </w:r>
      <w:r>
        <w:rPr>
          <w:rFonts w:hint="eastAsia" w:eastAsia="仿宋_GB2312"/>
          <w:color w:val="000000"/>
          <w:sz w:val="32"/>
          <w:szCs w:val="32"/>
        </w:rPr>
        <w:t>年度部门整体支出绩效情况如下：</w:t>
      </w:r>
    </w:p>
    <w:p>
      <w:pPr>
        <w:widowControl/>
        <w:spacing w:line="61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1.</w:t>
      </w:r>
      <w:r>
        <w:rPr>
          <w:rFonts w:hint="eastAsia" w:eastAsia="仿宋_GB2312"/>
          <w:sz w:val="32"/>
          <w:szCs w:val="32"/>
        </w:rPr>
        <w:t>严格预算支出管理。严控行政经费，压缩一般性支出，严格控制“三公”经费，资产的配置严格政府采购，保障机构运行成本。</w:t>
      </w:r>
    </w:p>
    <w:p>
      <w:pPr>
        <w:widowControl/>
        <w:spacing w:line="61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2.</w:t>
      </w:r>
      <w:r>
        <w:rPr>
          <w:rFonts w:hint="eastAsia" w:eastAsia="仿宋_GB2312"/>
          <w:sz w:val="32"/>
          <w:szCs w:val="32"/>
        </w:rPr>
        <w:t>完善财务控制管理。按照国家相关法律法规，制定完善了单位内部控制制度，并严格按照制度管理和执行，防范风险，保证机构运行管理效率。</w:t>
      </w:r>
    </w:p>
    <w:p>
      <w:pPr>
        <w:widowControl/>
        <w:spacing w:line="610" w:lineRule="exact"/>
        <w:ind w:firstLine="640" w:firstLineChars="200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通过对202</w:t>
      </w:r>
      <w:r>
        <w:rPr>
          <w:rFonts w:hint="eastAsia" w:eastAsia="仿宋_GB2312"/>
          <w:sz w:val="32"/>
          <w:szCs w:val="32"/>
          <w:lang w:val="en-US" w:eastAsia="zh-CN"/>
        </w:rPr>
        <w:t>3</w:t>
      </w:r>
      <w:r>
        <w:rPr>
          <w:rFonts w:hint="eastAsia" w:eastAsia="仿宋_GB2312"/>
          <w:sz w:val="32"/>
          <w:szCs w:val="32"/>
        </w:rPr>
        <w:t>年的</w:t>
      </w:r>
      <w:r>
        <w:rPr>
          <w:rFonts w:eastAsia="仿宋_GB2312"/>
          <w:sz w:val="32"/>
          <w:szCs w:val="32"/>
        </w:rPr>
        <w:t>运行成本、管理效率、履职效能、社会效应、可持续发展能力和服务对象满意度等方面</w:t>
      </w:r>
      <w:r>
        <w:rPr>
          <w:rFonts w:hint="eastAsia" w:eastAsia="仿宋_GB2312"/>
          <w:sz w:val="32"/>
          <w:szCs w:val="32"/>
        </w:rPr>
        <w:t>综合考评， 202</w:t>
      </w:r>
      <w:r>
        <w:rPr>
          <w:rFonts w:hint="eastAsia" w:eastAsia="仿宋_GB2312"/>
          <w:sz w:val="32"/>
          <w:szCs w:val="32"/>
          <w:lang w:val="en-US" w:eastAsia="zh-CN"/>
        </w:rPr>
        <w:t>3</w:t>
      </w:r>
      <w:r>
        <w:rPr>
          <w:rFonts w:hint="eastAsia" w:eastAsia="仿宋_GB2312"/>
          <w:sz w:val="32"/>
          <w:szCs w:val="32"/>
        </w:rPr>
        <w:t>年，较好地完成了年度工作目标，部门整体支出绩效评价为优。</w:t>
      </w:r>
    </w:p>
    <w:p>
      <w:pPr>
        <w:pStyle w:val="2"/>
        <w:rPr>
          <w:rFonts w:hint="eastAsia"/>
        </w:rPr>
      </w:pPr>
    </w:p>
    <w:p>
      <w:pPr>
        <w:numPr>
          <w:ilvl w:val="0"/>
          <w:numId w:val="5"/>
        </w:numPr>
        <w:spacing w:before="220" w:line="600" w:lineRule="exact"/>
        <w:ind w:left="641"/>
        <w:rPr>
          <w:rFonts w:hint="eastAsia" w:ascii="黑体" w:hAnsi="黑体" w:eastAsia="黑体" w:cs="黑体"/>
          <w:spacing w:val="9"/>
          <w:position w:val="21"/>
          <w:sz w:val="32"/>
          <w:szCs w:val="32"/>
        </w:rPr>
      </w:pPr>
      <w:r>
        <w:rPr>
          <w:rFonts w:hint="eastAsia" w:ascii="黑体" w:hAnsi="黑体" w:eastAsia="黑体" w:cs="黑体"/>
          <w:spacing w:val="9"/>
          <w:position w:val="21"/>
          <w:sz w:val="32"/>
          <w:szCs w:val="32"/>
        </w:rPr>
        <w:t>存在的问题及原因分析</w:t>
      </w:r>
    </w:p>
    <w:p>
      <w:pPr>
        <w:pStyle w:val="7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" w:lineRule="atLeast"/>
        <w:ind w:firstLine="640" w:firstLineChars="200"/>
        <w:jc w:val="both"/>
        <w:rPr>
          <w:rFonts w:hint="eastAsia" w:ascii="仿宋" w:hAnsi="仿宋" w:eastAsia="仿宋" w:cs="仿宋"/>
          <w:color w:val="000000"/>
          <w:kern w:val="2"/>
          <w:sz w:val="32"/>
          <w:szCs w:val="32"/>
          <w:shd w:val="clear" w:color="auto" w:fill="FFFFFF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32"/>
          <w:szCs w:val="32"/>
          <w:shd w:val="clear" w:color="auto" w:fill="FFFFFF"/>
          <w:lang w:val="en-US" w:eastAsia="zh-CN" w:bidi="ar-SA"/>
        </w:rPr>
        <w:t>1.预算绩效指标体系存在进一步完善的空间，我单位现建立的各项预算绩效目标指标仍有不科学、不细致的地方，影响了预算绩效评价的结果。</w:t>
      </w:r>
    </w:p>
    <w:p>
      <w:pPr>
        <w:pStyle w:val="7"/>
        <w:keepNext w:val="0"/>
        <w:keepLines w:val="0"/>
        <w:widowControl/>
        <w:suppressLineNumbers w:val="0"/>
        <w:shd w:val="clear" w:fill="FFFFFF"/>
        <w:spacing w:before="0" w:beforeAutospacing="0" w:after="0" w:afterAutospacing="0" w:line="33" w:lineRule="atLeast"/>
        <w:ind w:firstLine="640" w:firstLineChars="200"/>
        <w:jc w:val="both"/>
        <w:rPr>
          <w:rFonts w:hint="eastAsia" w:ascii="仿宋" w:hAnsi="仿宋" w:eastAsia="仿宋" w:cs="仿宋"/>
          <w:color w:val="000000"/>
          <w:kern w:val="2"/>
          <w:sz w:val="32"/>
          <w:szCs w:val="32"/>
          <w:shd w:val="clear" w:color="auto" w:fill="FFFFFF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32"/>
          <w:szCs w:val="32"/>
          <w:shd w:val="clear" w:color="auto" w:fill="FFFFFF"/>
          <w:lang w:val="en-US" w:eastAsia="zh-CN" w:bidi="ar-SA"/>
        </w:rPr>
        <w:t>2.预算绩效管理经验需要进一步积累。因为预算绩效管理工作具有政策性强、专业性强、涉及面广、操作难度大等特点，经验不足，导致工作多走许多弯路，影响工作效果。</w:t>
      </w:r>
    </w:p>
    <w:p>
      <w:pPr>
        <w:pStyle w:val="2"/>
        <w:rPr>
          <w:rFonts w:hint="eastAsia"/>
        </w:rPr>
      </w:pPr>
    </w:p>
    <w:p>
      <w:pPr>
        <w:pStyle w:val="2"/>
        <w:numPr>
          <w:numId w:val="0"/>
        </w:numPr>
        <w:rPr>
          <w:rFonts w:hint="eastAsia"/>
        </w:rPr>
      </w:pPr>
    </w:p>
    <w:p>
      <w:pPr>
        <w:numPr>
          <w:ilvl w:val="0"/>
          <w:numId w:val="5"/>
        </w:numPr>
        <w:spacing w:line="227" w:lineRule="auto"/>
        <w:ind w:left="641" w:leftChars="0" w:firstLine="0" w:firstLineChars="0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下一步改进措施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33" w:lineRule="atLeast"/>
        <w:ind w:left="0" w:right="0" w:firstLine="420"/>
        <w:jc w:val="both"/>
        <w:rPr>
          <w:rFonts w:hint="eastAsia" w:ascii="仿宋" w:hAnsi="仿宋" w:eastAsia="仿宋" w:cs="仿宋"/>
          <w:color w:val="000000"/>
          <w:kern w:val="2"/>
          <w:sz w:val="32"/>
          <w:szCs w:val="32"/>
          <w:shd w:val="clear" w:color="auto" w:fill="FFFFFF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32"/>
          <w:szCs w:val="32"/>
          <w:shd w:val="clear" w:color="auto" w:fill="FFFFFF"/>
          <w:lang w:val="en-US" w:eastAsia="zh-CN" w:bidi="ar-SA"/>
        </w:rPr>
        <w:t>1、细化预算编制工作，认真做好预算的编制。进一步加强预算管理意识，严格按照预算编制的相关制度和要求进行预算编制；全面编制预算项目，优先保障固定性的、相对刚性的费用支出项目，尽量压缩变动性的、有控制空间的费用项目，进一步提高预算编制的科学性、严谨性和可控性。加强内部预算编制的审核和预算控制指标的下达。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33" w:lineRule="atLeast"/>
        <w:ind w:left="0" w:right="0" w:firstLine="420"/>
        <w:jc w:val="both"/>
        <w:rPr>
          <w:rFonts w:hint="eastAsia" w:ascii="仿宋" w:hAnsi="仿宋" w:eastAsia="仿宋" w:cs="仿宋"/>
          <w:color w:val="000000"/>
          <w:kern w:val="2"/>
          <w:sz w:val="32"/>
          <w:szCs w:val="32"/>
          <w:shd w:val="clear" w:color="auto" w:fill="FFFFFF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32"/>
          <w:szCs w:val="32"/>
          <w:shd w:val="clear" w:color="auto" w:fill="FFFFFF"/>
          <w:lang w:val="en-US" w:eastAsia="zh-CN" w:bidi="ar-SA"/>
        </w:rPr>
        <w:t>2、加强财务管理，严格财务审核。加强单位财务管理，健全单位财务管理制度体系，规范单位财务行为。在费用报账支付时，按照预算规定的费用项目和用途进行资金使用审核、列报支付、财务核算，杜绝超支现象的发生。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33" w:lineRule="atLeast"/>
        <w:ind w:left="0" w:right="0" w:firstLine="420"/>
        <w:jc w:val="both"/>
        <w:rPr>
          <w:rFonts w:hint="eastAsia" w:ascii="仿宋" w:hAnsi="仿宋" w:eastAsia="仿宋" w:cs="仿宋"/>
          <w:color w:val="000000"/>
          <w:kern w:val="2"/>
          <w:sz w:val="32"/>
          <w:szCs w:val="32"/>
          <w:shd w:val="clear" w:color="auto" w:fill="FFFFFF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2"/>
          <w:sz w:val="32"/>
          <w:szCs w:val="32"/>
          <w:shd w:val="clear" w:color="auto" w:fill="FFFFFF"/>
          <w:lang w:val="en-US" w:eastAsia="zh-CN" w:bidi="ar-SA"/>
        </w:rPr>
        <w:t>3、完善资产管理，抓好“三公”经费控制。严格编制政府采购年初预算和计划，规范各类资产的购置审批制度、资产出租出借和收入管理制度、资产采购制度、使用管理制度、资产处置和报废审批制度、资产管理岗位职责制度等，加强单位内部的资产管理工作。严格控制“三公”经费的规模和比例，把关“三公”经费支出的审核、审批，杜绝挪用和挤占其他预算资金行为；进一步细化“三公”经费的管理，合理压缩“三公”经费支出。</w:t>
      </w:r>
    </w:p>
    <w:p>
      <w:pPr>
        <w:pStyle w:val="7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33" w:lineRule="atLeast"/>
        <w:ind w:left="0" w:right="0" w:firstLine="420"/>
        <w:jc w:val="both"/>
        <w:rPr>
          <w:rFonts w:hint="default"/>
        </w:rPr>
      </w:pPr>
      <w:r>
        <w:rPr>
          <w:rFonts w:hint="eastAsia" w:ascii="仿宋" w:hAnsi="仿宋" w:eastAsia="仿宋" w:cs="仿宋"/>
          <w:color w:val="000000"/>
          <w:kern w:val="2"/>
          <w:sz w:val="32"/>
          <w:szCs w:val="32"/>
          <w:shd w:val="clear" w:color="auto" w:fill="FFFFFF"/>
          <w:lang w:val="en-US" w:eastAsia="zh-CN" w:bidi="ar-SA"/>
        </w:rPr>
        <w:t>4、对相关人员加强培训，特别是针对《预算法》、《行政事业单位会计制度》等学习培训，规范部门预算收支核算，切实提高部门预算收支管理水平。 </w:t>
      </w:r>
    </w:p>
    <w:p>
      <w:pPr>
        <w:pStyle w:val="2"/>
        <w:numPr>
          <w:numId w:val="0"/>
        </w:numPr>
        <w:ind w:left="641" w:leftChars="0"/>
        <w:rPr>
          <w:rFonts w:hint="eastAsia"/>
        </w:rPr>
      </w:pPr>
    </w:p>
    <w:p>
      <w:pPr>
        <w:spacing w:before="219" w:line="600" w:lineRule="exact"/>
        <w:ind w:left="65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pacing w:val="9"/>
          <w:position w:val="21"/>
          <w:sz w:val="32"/>
          <w:szCs w:val="32"/>
        </w:rPr>
        <w:t>九、部门整体支出绩效自评结果拟应用和公开</w:t>
      </w:r>
      <w:r>
        <w:rPr>
          <w:rFonts w:hint="eastAsia" w:ascii="黑体" w:hAnsi="黑体" w:eastAsia="黑体" w:cs="黑体"/>
          <w:spacing w:val="8"/>
          <w:position w:val="21"/>
          <w:sz w:val="32"/>
          <w:szCs w:val="32"/>
        </w:rPr>
        <w:t>情况</w:t>
      </w:r>
    </w:p>
    <w:p>
      <w:pPr>
        <w:spacing w:line="226" w:lineRule="auto"/>
        <w:ind w:left="647"/>
        <w:rPr>
          <w:rFonts w:hint="eastAsia" w:ascii="黑体" w:hAnsi="黑体" w:eastAsia="黑体" w:cs="黑体"/>
          <w:spacing w:val="-3"/>
          <w:sz w:val="32"/>
          <w:szCs w:val="32"/>
        </w:rPr>
      </w:pPr>
      <w:r>
        <w:rPr>
          <w:rFonts w:hint="eastAsia" w:ascii="黑体" w:hAnsi="黑体" w:eastAsia="黑体" w:cs="黑体"/>
          <w:spacing w:val="-3"/>
          <w:sz w:val="32"/>
          <w:szCs w:val="32"/>
        </w:rPr>
        <w:t>十、其他需要说明的情况</w:t>
      </w:r>
    </w:p>
    <w:p>
      <w:pPr>
        <w:pStyle w:val="2"/>
        <w:rPr>
          <w:rFonts w:hint="eastAsia" w:eastAsia="黑体"/>
          <w:b w:val="0"/>
          <w:bCs w:val="0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pacing w:val="-3"/>
          <w:sz w:val="32"/>
          <w:szCs w:val="32"/>
          <w:lang w:eastAsia="zh-CN"/>
        </w:rPr>
        <w:t>无</w:t>
      </w:r>
    </w:p>
    <w:p>
      <w:pPr>
        <w:rPr>
          <w:rFonts w:hint="default" w:ascii="Times New Roman" w:hAnsi="Times New Roman" w:eastAsia="方正小标宋_GBK" w:cs="Times New Roman"/>
          <w:sz w:val="52"/>
          <w:szCs w:val="52"/>
        </w:rPr>
        <w:sectPr>
          <w:footerReference r:id="rId4" w:type="default"/>
          <w:pgSz w:w="11905" w:h="16838"/>
          <w:pgMar w:top="1984" w:right="1701" w:bottom="1984" w:left="1701" w:header="850" w:footer="992" w:gutter="0"/>
          <w:pgNumType w:fmt="numberInDash"/>
          <w:cols w:space="0" w:num="1"/>
          <w:rtlGutter w:val="0"/>
          <w:docGrid w:type="lines" w:linePitch="314" w:charSpace="0"/>
        </w:sectPr>
      </w:pPr>
      <w:r>
        <w:rPr>
          <w:rFonts w:ascii="黑体" w:hAnsi="黑体" w:eastAsia="黑体" w:cs="黑体"/>
          <w:spacing w:val="-3"/>
          <w:sz w:val="31"/>
          <w:szCs w:val="31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4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8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2023年度部门整体支出绩效自评表</w:t>
      </w:r>
    </w:p>
    <w:p>
      <w:pPr>
        <w:spacing w:line="132" w:lineRule="exact"/>
      </w:pPr>
    </w:p>
    <w:tbl>
      <w:tblPr>
        <w:tblStyle w:val="15"/>
        <w:tblW w:w="5023" w:type="pct"/>
        <w:jc w:val="center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29"/>
        <w:gridCol w:w="992"/>
        <w:gridCol w:w="944"/>
        <w:gridCol w:w="51"/>
        <w:gridCol w:w="973"/>
        <w:gridCol w:w="22"/>
        <w:gridCol w:w="1021"/>
        <w:gridCol w:w="971"/>
        <w:gridCol w:w="699"/>
        <w:gridCol w:w="723"/>
        <w:gridCol w:w="1323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1" w:hRule="atLeast"/>
          <w:jc w:val="center"/>
        </w:trPr>
        <w:tc>
          <w:tcPr>
            <w:tcW w:w="1617" w:type="pct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省级预算部门、单位名称</w:t>
            </w:r>
          </w:p>
        </w:tc>
        <w:tc>
          <w:tcPr>
            <w:tcW w:w="3382" w:type="pct"/>
            <w:gridSpan w:val="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华容县新河乡人民政府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20" w:hRule="atLeast"/>
          <w:jc w:val="center"/>
        </w:trPr>
        <w:tc>
          <w:tcPr>
            <w:tcW w:w="485" w:type="pct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年度预算申请（万元）</w:t>
            </w:r>
          </w:p>
        </w:tc>
        <w:tc>
          <w:tcPr>
            <w:tcW w:w="1131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9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年初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609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执行数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执行率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自评得分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1131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年度资金总额</w:t>
            </w:r>
          </w:p>
        </w:tc>
        <w:tc>
          <w:tcPr>
            <w:tcW w:w="599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806.94</w:t>
            </w:r>
          </w:p>
        </w:tc>
        <w:tc>
          <w:tcPr>
            <w:tcW w:w="609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2602.35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2602.35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41" w:type="pct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58" w:firstLineChars="28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按收入性质分：</w:t>
            </w:r>
          </w:p>
        </w:tc>
        <w:tc>
          <w:tcPr>
            <w:tcW w:w="2173" w:type="pct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按支出性质分：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41" w:type="pct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210" w:firstLineChars="100"/>
              <w:jc w:val="both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其中：一般公共预算：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2521.35</w:t>
            </w:r>
          </w:p>
        </w:tc>
        <w:tc>
          <w:tcPr>
            <w:tcW w:w="2173" w:type="pct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210" w:firstLineChars="100"/>
              <w:jc w:val="left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其中：基本支出：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1083.02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41" w:type="pct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both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政府性基金拨款：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81</w:t>
            </w:r>
          </w:p>
        </w:tc>
        <w:tc>
          <w:tcPr>
            <w:tcW w:w="2173" w:type="pct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840" w:firstLineChars="400"/>
              <w:jc w:val="left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项目支出：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1519.33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41" w:type="pct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纳入专户管理的非税收入拨款：</w:t>
            </w:r>
          </w:p>
        </w:tc>
        <w:tc>
          <w:tcPr>
            <w:tcW w:w="2173" w:type="pct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41" w:type="pct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其他资金：</w:t>
            </w:r>
          </w:p>
        </w:tc>
        <w:tc>
          <w:tcPr>
            <w:tcW w:w="2173" w:type="pct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总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体目标</w:t>
            </w:r>
          </w:p>
        </w:tc>
        <w:tc>
          <w:tcPr>
            <w:tcW w:w="2341" w:type="pct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预期目标</w:t>
            </w:r>
          </w:p>
        </w:tc>
        <w:tc>
          <w:tcPr>
            <w:tcW w:w="2173" w:type="pct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实际完成情况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41" w:type="pct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宣传贯彻执行党的路线，方针、政策和上级党组织及本级组织决议。领导本乡全面工作。领导和协调人大政府工作，领导本乡精神文明建设、工会、共青团、妇女、武装、统战、新闻宣传等工作，正确执行党的干部政策，实施社会治安综合治理规划，促进精神文明和政治文明的建设，处理本乡重大问题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。</w:t>
            </w:r>
          </w:p>
        </w:tc>
        <w:tc>
          <w:tcPr>
            <w:tcW w:w="2173" w:type="pct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已完成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60" w:hRule="atLeast"/>
          <w:jc w:val="center"/>
        </w:trPr>
        <w:tc>
          <w:tcPr>
            <w:tcW w:w="485" w:type="pct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80" w:type="pct"/>
            <w:tcBorders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一级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二级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三级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指标值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完成值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得分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偏差原因分析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及改进措施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出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(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582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数量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实现粮食播种面积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&gt;=5.6万亩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5.6万亩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稻虾种植面积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&gt;=2.6万亩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2.6万亩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芥菜种植面积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&gt;=0.5万亩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0.52万亩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质量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办公设备利用率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&gt;=90%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完成工作及时率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&gt;=98%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考核指标对标对表率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&gt;=90%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时效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12月30日前预算执行支出率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=100%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80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（30分）</w:t>
            </w:r>
          </w:p>
        </w:tc>
        <w:tc>
          <w:tcPr>
            <w:tcW w:w="582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经济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打造芥菜基地，扩大水产养殖，提供就业机会，增加群众收入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=人均收入较上年提高%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社会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社会和谐稳定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=信访维稳，促进和谐稳定%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生态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违建墓地整治、沟渠梳洗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=人居环境得到改善%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可持续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影响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全乡经济发展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=促进全乡经济发展%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全乡经济发展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（10分）</w:t>
            </w:r>
          </w:p>
        </w:tc>
        <w:tc>
          <w:tcPr>
            <w:tcW w:w="582" w:type="pct"/>
            <w:gridSpan w:val="2"/>
            <w:vMerge w:val="restart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服务对象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服务对象满意度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&gt;=95%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90%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8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restart"/>
            <w:tcBorders>
              <w:top w:val="single" w:color="auto" w:sz="4" w:space="0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成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）</w:t>
            </w:r>
          </w:p>
        </w:tc>
        <w:tc>
          <w:tcPr>
            <w:tcW w:w="582" w:type="pct"/>
            <w:gridSpan w:val="2"/>
            <w:vMerge w:val="restart"/>
            <w:tcBorders>
              <w:top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经济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基本支出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1083.02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项目支出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1519.33</w:t>
            </w: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100%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5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top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社会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top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生态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环境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9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3393" w:type="pct"/>
            <w:gridSpan w:val="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总分</w:t>
            </w:r>
          </w:p>
        </w:tc>
        <w:tc>
          <w:tcPr>
            <w:tcW w:w="40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</w:t>
            </w:r>
          </w:p>
        </w:tc>
        <w:tc>
          <w:tcPr>
            <w:tcW w:w="42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98</w:t>
            </w:r>
          </w:p>
        </w:tc>
        <w:tc>
          <w:tcPr>
            <w:tcW w:w="7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</w:tbl>
    <w:p>
      <w:pPr>
        <w:rPr>
          <w:rFonts w:hint="eastAsia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/>
        </w:rPr>
        <w:t>填表人：</w:t>
      </w:r>
      <w:r>
        <w:rPr>
          <w:rFonts w:hint="eastAsia"/>
          <w:lang w:eastAsia="zh-CN"/>
        </w:rPr>
        <w:t>郝婕</w:t>
      </w:r>
      <w:r>
        <w:rPr>
          <w:rFonts w:hint="eastAsia"/>
        </w:rPr>
        <w:t xml:space="preserve">   填报日期：</w:t>
      </w:r>
      <w:r>
        <w:rPr>
          <w:rFonts w:hint="eastAsia"/>
          <w:lang w:val="en-US" w:eastAsia="zh-CN"/>
        </w:rPr>
        <w:t>2024.05.28</w:t>
      </w:r>
      <w:r>
        <w:rPr>
          <w:rFonts w:hint="eastAsia"/>
        </w:rPr>
        <w:t xml:space="preserve">   联系电话：</w:t>
      </w:r>
      <w:r>
        <w:rPr>
          <w:rFonts w:hint="eastAsia"/>
          <w:lang w:val="en-US" w:eastAsia="zh-CN"/>
        </w:rPr>
        <w:t>13307303081</w:t>
      </w:r>
      <w:r>
        <w:rPr>
          <w:rFonts w:hint="eastAsia"/>
        </w:rPr>
        <w:t xml:space="preserve">   单位负责人签字：</w:t>
      </w:r>
      <w:r>
        <w:rPr>
          <w:rFonts w:hint="eastAsia"/>
          <w:lang w:eastAsia="zh-CN"/>
        </w:rPr>
        <w:t>邓拓</w:t>
      </w:r>
    </w:p>
    <w:p>
      <w:pPr>
        <w:rPr>
          <w:rFonts w:hint="eastAsia"/>
        </w:rPr>
      </w:pPr>
      <w:r>
        <w:rPr>
          <w:rFonts w:hint="eastAsia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5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3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年度××部门（单位）××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项目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支出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绩效自评报告</w:t>
      </w:r>
    </w:p>
    <w:p>
      <w:pPr>
        <w:jc w:val="center"/>
        <w:rPr>
          <w:rFonts w:hint="default" w:ascii="Times New Roman" w:hAnsi="Times New Roman" w:eastAsia="方正小标宋_GBK" w:cs="Times New Roman"/>
          <w:b/>
          <w:sz w:val="52"/>
          <w:szCs w:val="5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pStyle w:val="2"/>
        <w:rPr>
          <w:rFonts w:hint="default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both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 w:color="auto"/>
          <w:lang w:val="en-US" w:eastAsia="zh-CN"/>
        </w:rPr>
        <w:t>(</w:t>
      </w:r>
      <w:r>
        <w:rPr>
          <w:rFonts w:hint="eastAsia" w:ascii="仿宋_GB2312" w:hAnsi="仿宋_GB2312" w:eastAsia="仿宋_GB2312" w:cs="仿宋_GB2312"/>
          <w:spacing w:val="-118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75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10"/>
          <w:sz w:val="32"/>
          <w:szCs w:val="32"/>
          <w:u w:val="single" w:color="auto"/>
        </w:rPr>
        <w:t>盖章）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  <w:lang w:val="en-US" w:eastAsia="zh-CN"/>
        </w:rPr>
        <w:t xml:space="preserve">     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</w:t>
      </w:r>
    </w:p>
    <w:p>
      <w:pPr>
        <w:spacing w:before="228" w:line="222" w:lineRule="auto"/>
        <w:ind w:firstLine="4560" w:firstLineChars="15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年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</w:rPr>
        <w:t xml:space="preserve">  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月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</w:rPr>
        <w:t xml:space="preserve">  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日</w:t>
      </w:r>
    </w:p>
    <w:p>
      <w:pPr>
        <w:spacing w:line="335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pStyle w:val="4"/>
        <w:spacing w:before="102" w:line="224" w:lineRule="auto"/>
        <w:ind w:left="3216"/>
        <w:rPr>
          <w:rFonts w:hint="eastAsia" w:ascii="仿宋_GB2312" w:hAnsi="仿宋_GB2312" w:eastAsia="仿宋_GB2312" w:cs="仿宋_GB2312"/>
          <w:spacing w:val="8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t>（此页为封面）</w:t>
      </w:r>
    </w:p>
    <w:p>
      <w:pPr>
        <w:rPr>
          <w:rFonts w:hint="eastAsia" w:ascii="仿宋_GB2312" w:hAnsi="仿宋_GB2312" w:eastAsia="仿宋_GB2312" w:cs="仿宋_GB2312"/>
          <w:spacing w:val="8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3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年度××部门（单位）××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项目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支出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center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绩效自评报告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00" w:firstLineChars="200"/>
        <w:textAlignment w:val="auto"/>
        <w:rPr>
          <w:rFonts w:hint="eastAsia" w:ascii="黑体" w:hAnsi="黑体" w:eastAsia="黑体" w:cs="黑体"/>
          <w:sz w:val="30"/>
          <w:szCs w:val="30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一、基本情况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项目概况。包括项目背景、主要内容及实施情况、资金投入和使用情况等。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二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项目绩效目标。包括总体目标和阶段性目标。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二、绩效评价工作开展情况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绩效评价目的、对象和范围。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二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绩效评价原则、评价指标体系</w:t>
      </w: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附表说明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、评价方法、评价标准等。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三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绩效评价工作过程。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 xml:space="preserve">三、综合评价情况及评价结论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四、绩效评价指标分析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项目决策情况。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二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项目过程情况。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三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项目产出情况。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四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项目效益情况。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五、主要经验及做法、存在的问题及原因分析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40" w:firstLineChars="200"/>
        <w:jc w:val="both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t>六</w:t>
      </w:r>
      <w:r>
        <w:rPr>
          <w:rFonts w:hint="eastAsia" w:ascii="黑体" w:hAnsi="黑体" w:eastAsia="黑体" w:cs="黑体"/>
          <w:sz w:val="32"/>
          <w:szCs w:val="32"/>
        </w:rPr>
        <w:t>、其他需要说明的问题</w:t>
      </w:r>
    </w:p>
    <w:p>
      <w:pPr>
        <w:rPr>
          <w:rFonts w:hint="eastAsia" w:ascii="黑体" w:hAnsi="黑体" w:eastAsia="黑体" w:cs="黑体"/>
          <w:sz w:val="30"/>
          <w:szCs w:val="30"/>
        </w:rPr>
      </w:pPr>
      <w:r>
        <w:rPr>
          <w:rFonts w:hint="eastAsia" w:ascii="黑体" w:hAnsi="黑体" w:eastAsia="黑体" w:cs="黑体"/>
          <w:sz w:val="30"/>
          <w:szCs w:val="30"/>
        </w:rPr>
        <w:br w:type="page"/>
      </w:r>
    </w:p>
    <w:p>
      <w:pPr>
        <w:spacing w:before="181" w:line="171" w:lineRule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6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8" w:afterLines="50" w:line="580" w:lineRule="exact"/>
        <w:ind w:left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</w:rPr>
        <w:t>2023年度项目支出绩效自评表</w:t>
      </w:r>
    </w:p>
    <w:tbl>
      <w:tblPr>
        <w:tblStyle w:val="15"/>
        <w:tblW w:w="5020" w:type="pct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904"/>
        <w:gridCol w:w="900"/>
        <w:gridCol w:w="1104"/>
        <w:gridCol w:w="941"/>
        <w:gridCol w:w="976"/>
        <w:gridCol w:w="1102"/>
        <w:gridCol w:w="598"/>
        <w:gridCol w:w="702"/>
        <w:gridCol w:w="1316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1702" w:type="pct"/>
            <w:gridSpan w:val="3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项目支出名称</w:t>
            </w:r>
          </w:p>
        </w:tc>
        <w:tc>
          <w:tcPr>
            <w:tcW w:w="3297" w:type="pct"/>
            <w:gridSpan w:val="6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主管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部门</w:t>
            </w:r>
          </w:p>
        </w:tc>
        <w:tc>
          <w:tcPr>
            <w:tcW w:w="2295" w:type="pct"/>
            <w:gridSpan w:val="4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实施单位</w:t>
            </w:r>
          </w:p>
        </w:tc>
        <w:tc>
          <w:tcPr>
            <w:tcW w:w="1531" w:type="pct"/>
            <w:gridSpan w:val="3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项目资金（万元）</w:t>
            </w:r>
          </w:p>
        </w:tc>
        <w:tc>
          <w:tcPr>
            <w:tcW w:w="1172" w:type="pct"/>
            <w:gridSpan w:val="2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年初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执行数</w:t>
            </w: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分值</w:t>
            </w: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执行率</w:t>
            </w: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自评得分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年度资金总额</w:t>
            </w: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其中：当年财政拨款</w:t>
            </w: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上年结转资金</w:t>
            </w: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其他资金</w:t>
            </w: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年度总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体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目标</w:t>
            </w:r>
          </w:p>
        </w:tc>
        <w:tc>
          <w:tcPr>
            <w:tcW w:w="2295" w:type="pct"/>
            <w:gridSpan w:val="4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预期目标</w:t>
            </w:r>
          </w:p>
        </w:tc>
        <w:tc>
          <w:tcPr>
            <w:tcW w:w="2174" w:type="pct"/>
            <w:gridSpan w:val="4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实际完成情况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9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295" w:type="pct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174" w:type="pct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8" w:hRule="atLeast"/>
        </w:trPr>
        <w:tc>
          <w:tcPr>
            <w:tcW w:w="529" w:type="pct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27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一级指标</w:t>
            </w:r>
          </w:p>
        </w:tc>
        <w:tc>
          <w:tcPr>
            <w:tcW w:w="645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二级指标</w:t>
            </w: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三级指标</w:t>
            </w: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指标值</w:t>
            </w: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完成值</w:t>
            </w: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得分</w:t>
            </w: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偏差原因分析及改进措施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产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出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(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645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数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质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时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nil"/>
              <w:bottom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27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（30分）</w:t>
            </w:r>
          </w:p>
        </w:tc>
        <w:tc>
          <w:tcPr>
            <w:tcW w:w="645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经济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社会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生态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可持续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影响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（10分）</w:t>
            </w:r>
          </w:p>
        </w:tc>
        <w:tc>
          <w:tcPr>
            <w:tcW w:w="645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服务对象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top w:val="nil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成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）</w:t>
            </w:r>
          </w:p>
        </w:tc>
        <w:tc>
          <w:tcPr>
            <w:tcW w:w="645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经济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51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社会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51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生态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环境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51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9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7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5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51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57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3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3468" w:type="pct"/>
            <w:gridSpan w:val="6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总分</w:t>
            </w:r>
          </w:p>
        </w:tc>
        <w:tc>
          <w:tcPr>
            <w:tcW w:w="35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</w:t>
            </w:r>
          </w:p>
        </w:tc>
        <w:tc>
          <w:tcPr>
            <w:tcW w:w="411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</w:tbl>
    <w:p>
      <w:pPr>
        <w:rPr>
          <w:rFonts w:hint="eastAsia"/>
        </w:rPr>
      </w:pPr>
      <w:r>
        <w:rPr>
          <w:rFonts w:hint="eastAsia"/>
        </w:rPr>
        <w:t>备注：每个一级项目支出一张表。如，业务工作经费，运行维护经费，其他事业发展类资金各一张表。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填表人：        填报日期：            联系电话：      单位负责人签字：</w:t>
      </w:r>
    </w:p>
    <w:p>
      <w:pPr>
        <w:rPr>
          <w:sz w:val="22"/>
          <w:szCs w:val="22"/>
        </w:rPr>
      </w:pPr>
      <w:r>
        <w:rPr>
          <w:sz w:val="22"/>
          <w:szCs w:val="22"/>
        </w:rPr>
        <w:br w:type="page"/>
      </w:r>
    </w:p>
    <w:p>
      <w:pPr>
        <w:pStyle w:val="2"/>
        <w:sectPr>
          <w:footerReference r:id="rId5" w:type="default"/>
          <w:pgSz w:w="11905" w:h="16838"/>
          <w:pgMar w:top="1984" w:right="1701" w:bottom="1984" w:left="1701" w:header="850" w:footer="1587" w:gutter="0"/>
          <w:pgNumType w:fmt="numberInDash"/>
          <w:cols w:space="0" w:num="1"/>
          <w:rtlGutter w:val="0"/>
          <w:docGrid w:type="lines" w:linePitch="314" w:charSpace="0"/>
        </w:sectPr>
      </w:pPr>
    </w:p>
    <w:p>
      <w:pPr>
        <w:spacing w:before="181" w:line="171" w:lineRule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附表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7</w:t>
      </w:r>
    </w:p>
    <w:p>
      <w:pPr>
        <w:keepNext w:val="0"/>
        <w:keepLines w:val="0"/>
        <w:pageBreakBefore w:val="0"/>
        <w:kinsoku/>
        <w:overflowPunct/>
        <w:topLinePunct w:val="0"/>
        <w:autoSpaceDE/>
        <w:bidi w:val="0"/>
        <w:spacing w:line="560" w:lineRule="exact"/>
        <w:jc w:val="center"/>
        <w:rPr>
          <w:rFonts w:eastAsia="方正小标宋_GBK"/>
          <w:sz w:val="36"/>
          <w:szCs w:val="36"/>
        </w:rPr>
      </w:pPr>
      <w:r>
        <w:rPr>
          <w:rFonts w:eastAsia="方正小标宋_GBK"/>
          <w:sz w:val="36"/>
          <w:szCs w:val="36"/>
        </w:rPr>
        <w:t>绩效评价结果征求意见的反馈函</w:t>
      </w:r>
    </w:p>
    <w:p>
      <w:pPr>
        <w:keepNext w:val="0"/>
        <w:keepLines w:val="0"/>
        <w:pageBreakBefore w:val="0"/>
        <w:kinsoku/>
        <w:overflowPunct/>
        <w:topLinePunct w:val="0"/>
        <w:autoSpaceDE/>
        <w:bidi w:val="0"/>
        <w:spacing w:line="560" w:lineRule="exact"/>
        <w:jc w:val="center"/>
        <w:rPr>
          <w:rFonts w:hint="eastAsia" w:ascii="楷体" w:hAnsi="楷体" w:eastAsia="楷体" w:cs="楷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楷体" w:hAnsi="楷体" w:eastAsia="楷体" w:cs="楷体"/>
          <w:b w:val="0"/>
          <w:bCs w:val="0"/>
          <w:sz w:val="24"/>
          <w:szCs w:val="24"/>
          <w:lang w:val="en-US" w:eastAsia="zh-CN"/>
        </w:rPr>
        <w:t>（重点绩效评价项目用）</w:t>
      </w:r>
    </w:p>
    <w:p>
      <w:pPr>
        <w:keepNext w:val="0"/>
        <w:keepLines w:val="0"/>
        <w:pageBreakBefore w:val="0"/>
        <w:kinsoku/>
        <w:overflowPunct/>
        <w:topLinePunct w:val="0"/>
        <w:autoSpaceDE/>
        <w:bidi w:val="0"/>
        <w:spacing w:line="560" w:lineRule="exact"/>
        <w:rPr>
          <w:rFonts w:eastAsia="仿宋_GB2312"/>
          <w:sz w:val="28"/>
          <w:szCs w:val="28"/>
        </w:rPr>
      </w:pPr>
      <w:r>
        <w:rPr>
          <w:rFonts w:eastAsia="仿宋_GB2312"/>
          <w:sz w:val="28"/>
          <w:szCs w:val="28"/>
          <w:u w:val="single"/>
        </w:rPr>
        <w:t xml:space="preserve">    </w:t>
      </w:r>
      <w:r>
        <w:rPr>
          <w:rFonts w:hint="eastAsia" w:eastAsia="仿宋_GB2312"/>
          <w:sz w:val="28"/>
          <w:szCs w:val="28"/>
          <w:u w:val="single"/>
          <w:lang w:val="en-US" w:eastAsia="zh-CN"/>
        </w:rPr>
        <w:t xml:space="preserve">    </w:t>
      </w:r>
      <w:r>
        <w:rPr>
          <w:rFonts w:eastAsia="仿宋_GB2312"/>
          <w:sz w:val="28"/>
          <w:szCs w:val="28"/>
          <w:u w:val="single"/>
        </w:rPr>
        <w:t xml:space="preserve">    </w:t>
      </w:r>
      <w:r>
        <w:rPr>
          <w:rFonts w:hint="eastAsia" w:eastAsia="仿宋_GB2312"/>
          <w:sz w:val="28"/>
          <w:szCs w:val="28"/>
          <w:u w:val="single"/>
          <w:lang w:val="en-US" w:eastAsia="zh-CN"/>
        </w:rPr>
        <w:t xml:space="preserve">   </w:t>
      </w:r>
      <w:r>
        <w:rPr>
          <w:rFonts w:eastAsia="仿宋_GB2312"/>
          <w:sz w:val="28"/>
          <w:szCs w:val="28"/>
          <w:u w:val="single"/>
        </w:rPr>
        <w:t xml:space="preserve">   </w:t>
      </w:r>
      <w:r>
        <w:rPr>
          <w:rFonts w:eastAsia="仿宋_GB2312"/>
          <w:sz w:val="28"/>
          <w:szCs w:val="28"/>
        </w:rPr>
        <w:t>：</w:t>
      </w:r>
    </w:p>
    <w:p>
      <w:pPr>
        <w:keepNext w:val="0"/>
        <w:keepLines w:val="0"/>
        <w:pageBreakBefore w:val="0"/>
        <w:kinsoku/>
        <w:overflowPunct/>
        <w:topLinePunct w:val="0"/>
        <w:autoSpaceDE/>
        <w:bidi w:val="0"/>
        <w:spacing w:line="56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按照相关规定和绩效评价要求，根据贵单位的绩效自评报告和绩效评价工作组的现场评价情况，形成绩效评价报告。现将《×××绩效评价报告》反馈贵单位，请于    年     月   日前提出书面意见或说明，逾期未复，视为无异议。</w:t>
      </w:r>
    </w:p>
    <w:tbl>
      <w:tblPr>
        <w:tblStyle w:val="8"/>
        <w:tblW w:w="892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9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7" w:hRule="atLeast"/>
          <w:jc w:val="center"/>
        </w:trPr>
        <w:tc>
          <w:tcPr>
            <w:tcW w:w="892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jc w:val="center"/>
              <w:rPr>
                <w:rFonts w:hint="default" w:eastAsia="黑体"/>
                <w:sz w:val="28"/>
                <w:szCs w:val="28"/>
              </w:rPr>
            </w:pPr>
            <w:r>
              <w:rPr>
                <w:rFonts w:hint="default" w:eastAsia="楷体_GB2312"/>
                <w:sz w:val="28"/>
                <w:szCs w:val="28"/>
              </w:rPr>
              <w:t>项目实施单位意见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3" w:hRule="atLeast"/>
          <w:jc w:val="center"/>
        </w:trPr>
        <w:tc>
          <w:tcPr>
            <w:tcW w:w="8920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140" w:firstLineChars="50"/>
              <w:rPr>
                <w:rFonts w:hint="default" w:eastAsia="黑体"/>
                <w:sz w:val="28"/>
                <w:szCs w:val="28"/>
              </w:rPr>
            </w:pPr>
            <w:r>
              <w:rPr>
                <w:rFonts w:hint="default" w:eastAsia="黑体"/>
                <w:sz w:val="28"/>
                <w:szCs w:val="28"/>
              </w:rPr>
              <w:t>一、对报告中“评价结论”的意见</w:t>
            </w:r>
          </w:p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140" w:firstLineChars="50"/>
              <w:rPr>
                <w:rFonts w:hint="default" w:eastAsia="黑体"/>
                <w:sz w:val="28"/>
                <w:szCs w:val="28"/>
              </w:rPr>
            </w:pPr>
            <w:r>
              <w:rPr>
                <w:rFonts w:hint="default" w:eastAsia="黑体"/>
                <w:sz w:val="28"/>
                <w:szCs w:val="28"/>
              </w:rPr>
              <w:t>二、对报告中“问题”和“建议”的意见</w:t>
            </w:r>
          </w:p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140" w:firstLineChars="50"/>
              <w:rPr>
                <w:rFonts w:hint="default" w:eastAsia="黑体"/>
                <w:sz w:val="28"/>
                <w:szCs w:val="28"/>
              </w:rPr>
            </w:pPr>
            <w:r>
              <w:rPr>
                <w:rFonts w:hint="default" w:eastAsia="黑体"/>
                <w:sz w:val="28"/>
                <w:szCs w:val="28"/>
              </w:rPr>
              <w:t>三、</w:t>
            </w:r>
            <w:r>
              <w:rPr>
                <w:rFonts w:hint="eastAsia" w:eastAsia="黑体"/>
                <w:sz w:val="28"/>
                <w:szCs w:val="28"/>
                <w:lang w:eastAsia="zh-CN"/>
              </w:rPr>
              <w:t>其他意见</w:t>
            </w:r>
            <w:r>
              <w:rPr>
                <w:rFonts w:hint="default" w:eastAsia="黑体"/>
                <w:sz w:val="28"/>
                <w:szCs w:val="28"/>
              </w:rPr>
              <w:t>或建议</w:t>
            </w:r>
          </w:p>
          <w:p>
            <w:pPr>
              <w:keepNext w:val="0"/>
              <w:keepLines w:val="0"/>
              <w:pageBreakBefore w:val="0"/>
              <w:suppressLineNumbers w:val="0"/>
              <w:kinsoku/>
              <w:wordWrap w:val="0"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1280"/>
              <w:jc w:val="right"/>
              <w:rPr>
                <w:rFonts w:hint="default" w:eastAsia="仿宋_GB2312"/>
                <w:sz w:val="28"/>
                <w:szCs w:val="28"/>
              </w:rPr>
            </w:pPr>
          </w:p>
          <w:p>
            <w:pPr>
              <w:pStyle w:val="2"/>
              <w:keepNext w:val="0"/>
              <w:keepLines w:val="0"/>
              <w:suppressLineNumbers w:val="0"/>
              <w:wordWrap/>
              <w:spacing w:before="0" w:beforeAutospacing="0" w:after="0" w:afterAutospacing="0"/>
              <w:ind w:left="0" w:right="0"/>
              <w:rPr>
                <w:rFonts w:hint="default" w:eastAsia="仿宋_GB2312"/>
                <w:sz w:val="28"/>
                <w:szCs w:val="28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eastAsia="仿宋_GB2312"/>
                <w:sz w:val="28"/>
                <w:szCs w:val="28"/>
              </w:rPr>
            </w:pPr>
          </w:p>
          <w:p>
            <w:pPr>
              <w:pStyle w:val="2"/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/>
              </w:rPr>
            </w:pPr>
          </w:p>
          <w:p>
            <w:pPr>
              <w:keepNext w:val="0"/>
              <w:keepLines w:val="0"/>
              <w:pageBreakBefore w:val="0"/>
              <w:suppressLineNumbers w:val="0"/>
              <w:kinsoku/>
              <w:wordWrap w:val="0"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1280"/>
              <w:jc w:val="right"/>
              <w:rPr>
                <w:rFonts w:hint="default" w:eastAsia="仿宋_GB2312"/>
                <w:sz w:val="28"/>
                <w:szCs w:val="28"/>
              </w:rPr>
            </w:pPr>
            <w:r>
              <w:rPr>
                <w:rFonts w:hint="eastAsia" w:eastAsia="仿宋_GB2312"/>
                <w:sz w:val="28"/>
                <w:szCs w:val="28"/>
                <w:lang w:eastAsia="zh-CN"/>
              </w:rPr>
              <w:t>单</w:t>
            </w:r>
            <w:r>
              <w:rPr>
                <w:rFonts w:hint="default" w:eastAsia="仿宋_GB2312"/>
                <w:sz w:val="28"/>
                <w:szCs w:val="28"/>
              </w:rPr>
              <w:t>位（盖章）</w:t>
            </w:r>
          </w:p>
          <w:p>
            <w:pPr>
              <w:keepNext w:val="0"/>
              <w:keepLines w:val="0"/>
              <w:pageBreakBefore w:val="0"/>
              <w:suppressLineNumbers w:val="0"/>
              <w:kinsoku/>
              <w:wordWrap w:val="0"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1280"/>
              <w:jc w:val="right"/>
              <w:rPr>
                <w:rFonts w:hint="default"/>
                <w:sz w:val="28"/>
                <w:szCs w:val="28"/>
              </w:rPr>
            </w:pPr>
            <w:r>
              <w:rPr>
                <w:rFonts w:hint="default" w:eastAsia="仿宋_GB2312"/>
                <w:sz w:val="28"/>
                <w:szCs w:val="28"/>
              </w:rPr>
              <w:t>年   月   日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" w:lineRule="exact"/>
        <w:textAlignment w:val="auto"/>
        <w:rPr>
          <w:rFonts w:hint="eastAsia" w:ascii="黑体" w:hAnsi="宋体" w:eastAsia="黑体" w:cs="黑体"/>
          <w:color w:val="000000"/>
          <w:kern w:val="0"/>
          <w:sz w:val="32"/>
          <w:szCs w:val="32"/>
          <w:lang w:bidi="ar"/>
        </w:rPr>
      </w:pPr>
      <w:r>
        <w:rPr>
          <w:rFonts w:hint="eastAsia" w:ascii="黑体" w:hAnsi="宋体" w:eastAsia="黑体" w:cs="黑体"/>
          <w:color w:val="000000"/>
          <w:kern w:val="0"/>
          <w:sz w:val="32"/>
          <w:szCs w:val="32"/>
          <w:lang w:bidi="ar"/>
        </w:rPr>
        <w:br w:type="page"/>
      </w:r>
    </w:p>
    <w:p>
      <w:pPr>
        <w:spacing w:before="181" w:line="171" w:lineRule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附表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8</w:t>
      </w:r>
    </w:p>
    <w:p>
      <w:pPr>
        <w:keepNext w:val="0"/>
        <w:keepLines w:val="0"/>
        <w:pageBreakBefore w:val="0"/>
        <w:kinsoku/>
        <w:overflowPunct/>
        <w:topLinePunct w:val="0"/>
        <w:autoSpaceDE/>
        <w:bidi w:val="0"/>
        <w:spacing w:line="560" w:lineRule="exact"/>
        <w:jc w:val="center"/>
        <w:rPr>
          <w:rFonts w:eastAsia="方正小标宋_GBK"/>
          <w:sz w:val="36"/>
          <w:szCs w:val="36"/>
        </w:rPr>
      </w:pPr>
      <w:r>
        <w:rPr>
          <w:rFonts w:eastAsia="方正小标宋_GBK"/>
          <w:sz w:val="36"/>
          <w:szCs w:val="36"/>
        </w:rPr>
        <w:t>绩效评价结果整改报告书</w:t>
      </w:r>
    </w:p>
    <w:p>
      <w:pPr>
        <w:keepNext w:val="0"/>
        <w:keepLines w:val="0"/>
        <w:pageBreakBefore w:val="0"/>
        <w:kinsoku/>
        <w:overflowPunct/>
        <w:topLinePunct w:val="0"/>
        <w:autoSpaceDE/>
        <w:bidi w:val="0"/>
        <w:spacing w:line="560" w:lineRule="exact"/>
        <w:jc w:val="center"/>
        <w:rPr>
          <w:sz w:val="28"/>
          <w:szCs w:val="28"/>
        </w:rPr>
      </w:pPr>
      <w:r>
        <w:rPr>
          <w:rFonts w:eastAsia="楷体_GB2312"/>
          <w:sz w:val="32"/>
          <w:szCs w:val="32"/>
        </w:rPr>
        <w:t>（参考格式）</w:t>
      </w:r>
    </w:p>
    <w:tbl>
      <w:tblPr>
        <w:tblStyle w:val="8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27"/>
        <w:gridCol w:w="677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atLeast"/>
          <w:jc w:val="center"/>
        </w:trPr>
        <w:tc>
          <w:tcPr>
            <w:tcW w:w="1827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/>
              <w:jc w:val="center"/>
              <w:rPr>
                <w:rFonts w:hint="default" w:ascii="黑体" w:hAnsi="黑体" w:eastAsia="黑体"/>
                <w:sz w:val="24"/>
                <w:szCs w:val="24"/>
              </w:rPr>
            </w:pPr>
            <w:r>
              <w:rPr>
                <w:rFonts w:hint="default" w:ascii="黑体" w:hAnsi="黑体" w:eastAsia="黑体"/>
                <w:sz w:val="24"/>
                <w:szCs w:val="24"/>
              </w:rPr>
              <w:t>预算支出名称</w:t>
            </w:r>
          </w:p>
        </w:tc>
        <w:tc>
          <w:tcPr>
            <w:tcW w:w="6773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atLeast"/>
          <w:jc w:val="center"/>
        </w:trPr>
        <w:tc>
          <w:tcPr>
            <w:tcW w:w="1827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/>
              <w:jc w:val="center"/>
              <w:rPr>
                <w:rFonts w:hint="default" w:ascii="黑体" w:hAnsi="黑体" w:eastAsia="黑体"/>
                <w:sz w:val="24"/>
                <w:szCs w:val="24"/>
              </w:rPr>
            </w:pPr>
            <w:r>
              <w:rPr>
                <w:rFonts w:hint="default" w:ascii="黑体" w:hAnsi="黑体" w:eastAsia="黑体"/>
                <w:sz w:val="24"/>
                <w:szCs w:val="24"/>
              </w:rPr>
              <w:t>评价内容</w:t>
            </w:r>
          </w:p>
        </w:tc>
        <w:tc>
          <w:tcPr>
            <w:tcW w:w="6773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7" w:hRule="atLeast"/>
          <w:jc w:val="center"/>
        </w:trPr>
        <w:tc>
          <w:tcPr>
            <w:tcW w:w="1827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/>
              <w:jc w:val="center"/>
              <w:rPr>
                <w:rFonts w:hint="default" w:ascii="黑体" w:hAnsi="黑体" w:eastAsia="黑体"/>
                <w:sz w:val="24"/>
                <w:szCs w:val="24"/>
              </w:rPr>
            </w:pPr>
            <w:r>
              <w:rPr>
                <w:rFonts w:hint="default" w:ascii="黑体" w:hAnsi="黑体" w:eastAsia="黑体"/>
                <w:sz w:val="24"/>
                <w:szCs w:val="24"/>
              </w:rPr>
              <w:t>联系人及电话</w:t>
            </w:r>
          </w:p>
        </w:tc>
        <w:tc>
          <w:tcPr>
            <w:tcW w:w="6773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0" w:firstLine="560"/>
              <w:rPr>
                <w:rFonts w:hint="default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9" w:hRule="atLeast"/>
          <w:jc w:val="center"/>
        </w:trPr>
        <w:tc>
          <w:tcPr>
            <w:tcW w:w="8600" w:type="dxa"/>
            <w:gridSpan w:val="2"/>
            <w:noWrap w:val="0"/>
            <w:vAlign w:val="top"/>
          </w:tcPr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-27" w:rightChars="-13"/>
              <w:jc w:val="center"/>
              <w:rPr>
                <w:rFonts w:hint="default"/>
                <w:sz w:val="24"/>
                <w:szCs w:val="24"/>
              </w:rPr>
            </w:pPr>
            <w:r>
              <w:rPr>
                <w:rFonts w:hint="default"/>
                <w:sz w:val="32"/>
                <w:szCs w:val="32"/>
              </w:rPr>
              <w:t>整改情况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0" w:hRule="atLeast"/>
          <w:jc w:val="center"/>
        </w:trPr>
        <w:tc>
          <w:tcPr>
            <w:tcW w:w="1827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-27" w:rightChars="-13"/>
              <w:jc w:val="center"/>
              <w:rPr>
                <w:rFonts w:hint="eastAsia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>单位意见</w:t>
            </w:r>
          </w:p>
        </w:tc>
        <w:tc>
          <w:tcPr>
            <w:tcW w:w="6773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-27" w:rightChars="-13"/>
              <w:jc w:val="center"/>
              <w:rPr>
                <w:rFonts w:hint="eastAsia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keepNext w:val="0"/>
              <w:keepLines w:val="0"/>
              <w:pageBreakBefore w:val="0"/>
              <w:suppressLineNumbers w:val="0"/>
              <w:kinsoku/>
              <w:overflowPunct/>
              <w:topLinePunct w:val="0"/>
              <w:autoSpaceDE/>
              <w:bidi w:val="0"/>
              <w:spacing w:before="0" w:beforeAutospacing="0" w:after="0" w:afterAutospacing="0" w:line="560" w:lineRule="exact"/>
              <w:ind w:left="0" w:right="-27" w:rightChars="-13"/>
              <w:jc w:val="both"/>
              <w:rPr>
                <w:rFonts w:hint="eastAsia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 xml:space="preserve">单位负责人签名：    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 xml:space="preserve">单位（盖章）：  </w:t>
            </w:r>
            <w:r>
              <w:rPr>
                <w:rFonts w:hint="eastAsia" w:cs="Times New Roman"/>
                <w:sz w:val="24"/>
                <w:szCs w:val="24"/>
                <w:lang w:val="en-US" w:eastAsia="zh-CN"/>
              </w:rPr>
              <w:t xml:space="preserve">   </w:t>
            </w:r>
            <w:r>
              <w:rPr>
                <w:rFonts w:hint="eastAsia" w:ascii="Times New Roman" w:hAnsi="Times New Roman" w:eastAsia="宋体" w:cs="Times New Roman"/>
                <w:sz w:val="24"/>
                <w:szCs w:val="24"/>
              </w:rPr>
              <w:t xml:space="preserve"> 年    月    日</w:t>
            </w: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both"/>
        <w:textAlignment w:val="auto"/>
        <w:rPr>
          <w:rFonts w:hint="eastAsia" w:ascii="黑体" w:hAnsi="黑体" w:eastAsia="黑体" w:cs="黑体"/>
          <w:sz w:val="21"/>
          <w:szCs w:val="21"/>
          <w:lang w:val="en-US" w:eastAsia="zh-CN"/>
        </w:rPr>
      </w:pPr>
      <w:r>
        <w:rPr>
          <w:rFonts w:hint="eastAsia" w:ascii="宋体" w:hAnsi="宋体" w:cs="宋体"/>
          <w:b/>
          <w:sz w:val="21"/>
          <w:szCs w:val="21"/>
        </w:rPr>
        <w:t>注</w:t>
      </w:r>
      <w:r>
        <w:rPr>
          <w:rFonts w:hint="eastAsia" w:ascii="宋体" w:hAnsi="宋体" w:cs="宋体"/>
          <w:bCs/>
          <w:sz w:val="21"/>
          <w:szCs w:val="21"/>
        </w:rPr>
        <w:t>：绩效评价结果整改报告书应在收到绩效评价结果反馈意见后</w:t>
      </w:r>
      <w:r>
        <w:rPr>
          <w:rFonts w:hint="eastAsia" w:ascii="宋体" w:hAnsi="宋体" w:cs="宋体"/>
          <w:bCs/>
          <w:sz w:val="21"/>
          <w:szCs w:val="21"/>
          <w:lang w:val="en-US" w:eastAsia="zh-CN"/>
        </w:rPr>
        <w:t>30</w:t>
      </w:r>
      <w:r>
        <w:rPr>
          <w:rFonts w:hint="eastAsia" w:ascii="宋体" w:hAnsi="宋体" w:cs="宋体"/>
          <w:bCs/>
          <w:sz w:val="21"/>
          <w:szCs w:val="21"/>
        </w:rPr>
        <w:t>天</w:t>
      </w:r>
      <w:r>
        <w:rPr>
          <w:rFonts w:hint="eastAsia" w:ascii="宋体" w:hAnsi="宋体" w:cs="宋体"/>
          <w:bCs/>
          <w:sz w:val="21"/>
          <w:szCs w:val="21"/>
          <w:lang w:eastAsia="zh-CN"/>
        </w:rPr>
        <w:t>内</w:t>
      </w:r>
      <w:r>
        <w:rPr>
          <w:rFonts w:hint="eastAsia" w:ascii="宋体" w:hAnsi="宋体" w:cs="宋体"/>
          <w:bCs/>
          <w:sz w:val="21"/>
          <w:szCs w:val="21"/>
        </w:rPr>
        <w:t>交</w:t>
      </w:r>
      <w:r>
        <w:rPr>
          <w:rFonts w:hint="eastAsia" w:ascii="宋体" w:hAnsi="宋体" w:cs="宋体"/>
          <w:bCs/>
          <w:sz w:val="21"/>
          <w:szCs w:val="21"/>
          <w:lang w:eastAsia="zh-CN"/>
        </w:rPr>
        <w:t>县</w:t>
      </w:r>
      <w:r>
        <w:rPr>
          <w:rFonts w:hint="eastAsia" w:ascii="宋体" w:hAnsi="宋体" w:cs="宋体"/>
          <w:bCs/>
          <w:sz w:val="21"/>
          <w:szCs w:val="21"/>
        </w:rPr>
        <w:t>财政局绩效管理股。</w:t>
      </w:r>
    </w:p>
    <w:sectPr>
      <w:footerReference r:id="rId6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97107D8A-8E3D-4E2D-AC20-54E1367A2325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206ECD44-DC43-4161-87D1-1F3F69D7C937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0EACFD9D-51CA-497E-A907-0BE1BB670DAD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68EECEFC-1DB7-452B-97DC-FC90BC03916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A6304297-A97B-49AF-A1E6-57D6ED5C7B59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F4B84FC5-3A5B-4603-BAAE-550AD093C781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7" w:fontKey="{ECBC99BF-19C9-41F1-8337-03D61742E0F4}"/>
  </w:font>
  <w:font w:name="仿宋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8" w:fontKey="{EB52B852-FC02-4813-9A06-52991BDA4857}"/>
  </w:font>
  <w:font w:name="方正小标宋简体">
    <w:panose1 w:val="03000509000000000000"/>
    <w:charset w:val="86"/>
    <w:family w:val="auto"/>
    <w:pitch w:val="default"/>
    <w:sig w:usb0="00000000" w:usb1="00000000" w:usb2="00000000" w:usb3="00000000" w:csb0="00000000" w:csb1="00000000"/>
    <w:embedRegular r:id="rId9" w:fontKey="{34437611-570B-4BC4-B2A6-EA11474C6989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华文仿宋">
    <w:panose1 w:val="02010600040101010101"/>
    <w:charset w:val="86"/>
    <w:family w:val="auto"/>
    <w:pitch w:val="default"/>
    <w:sig w:usb0="00000000" w:usb1="00000000" w:usb2="00000000" w:usb3="00000000" w:csb0="00000000" w:csb1="00000000"/>
    <w:embedRegular r:id="rId10" w:fontKey="{D77E1687-CEA2-4EDF-B7CB-E7928EB5C7CF}"/>
  </w:font>
  <w:font w:name="楷体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11" w:fontKey="{F74FB47C-3C2C-470E-8C66-082A0BFBB390}"/>
  </w:font>
  <w:font w:name="方正小标宋_GBK">
    <w:panose1 w:val="03000509000000000000"/>
    <w:charset w:val="86"/>
    <w:family w:val="script"/>
    <w:pitch w:val="default"/>
    <w:sig w:usb0="00000000" w:usb1="00000000" w:usb2="00000000" w:usb3="00000000" w:csb0="00000000" w:csb1="00000000"/>
    <w:embedRegular r:id="rId12" w:fontKey="{3950F9B5-D2EE-46D0-9938-96202016455E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3" w:fontKey="{45DF4B8A-C117-4A2F-9E90-1395199CDB44}"/>
  </w:font>
  <w:font w:name="仿宋_GB2312">
    <w:panose1 w:val="02010609030101010101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jc w:val="center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t>7</w: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mor5U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pqK+V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</w:pP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t>7</w: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ind w:left="8576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10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10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t>12</w: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5WZn4y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LlZmf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</w:pP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t>12</w: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233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489AD52"/>
    <w:multiLevelType w:val="singleLevel"/>
    <w:tmpl w:val="C489AD52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F2FB62A4"/>
    <w:multiLevelType w:val="singleLevel"/>
    <w:tmpl w:val="F2FB62A4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0D983728"/>
    <w:multiLevelType w:val="singleLevel"/>
    <w:tmpl w:val="0D983728"/>
    <w:lvl w:ilvl="0" w:tentative="0">
      <w:start w:val="7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60E5F3D9"/>
    <w:multiLevelType w:val="singleLevel"/>
    <w:tmpl w:val="60E5F3D9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4">
    <w:nsid w:val="7FA730E3"/>
    <w:multiLevelType w:val="singleLevel"/>
    <w:tmpl w:val="7FA730E3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QzZjc5NTllMGFiYmY5NmVhMTllZTJlYTQ3YTVjMjgifQ==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0D63B91"/>
    <w:rsid w:val="011D2710"/>
    <w:rsid w:val="016A347B"/>
    <w:rsid w:val="01B42948"/>
    <w:rsid w:val="01BF20E7"/>
    <w:rsid w:val="01E4322D"/>
    <w:rsid w:val="021138F7"/>
    <w:rsid w:val="02B50488"/>
    <w:rsid w:val="03380203"/>
    <w:rsid w:val="0338470A"/>
    <w:rsid w:val="034822A9"/>
    <w:rsid w:val="036C7481"/>
    <w:rsid w:val="03D86621"/>
    <w:rsid w:val="04EE6171"/>
    <w:rsid w:val="05315F6B"/>
    <w:rsid w:val="05395EA9"/>
    <w:rsid w:val="0616597F"/>
    <w:rsid w:val="06426ACC"/>
    <w:rsid w:val="07A62D33"/>
    <w:rsid w:val="086B5F82"/>
    <w:rsid w:val="09545DCB"/>
    <w:rsid w:val="09DB27E1"/>
    <w:rsid w:val="09E6794E"/>
    <w:rsid w:val="0A067AB9"/>
    <w:rsid w:val="0ABD557B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C630A2"/>
    <w:rsid w:val="0FD26E31"/>
    <w:rsid w:val="0FF22537"/>
    <w:rsid w:val="1020625B"/>
    <w:rsid w:val="11277176"/>
    <w:rsid w:val="11404466"/>
    <w:rsid w:val="11837AA9"/>
    <w:rsid w:val="11963ADD"/>
    <w:rsid w:val="11EB0F5C"/>
    <w:rsid w:val="11F20483"/>
    <w:rsid w:val="12123C76"/>
    <w:rsid w:val="12831010"/>
    <w:rsid w:val="129038DB"/>
    <w:rsid w:val="13441D7E"/>
    <w:rsid w:val="136F31F8"/>
    <w:rsid w:val="138750E0"/>
    <w:rsid w:val="1396506E"/>
    <w:rsid w:val="13D82A59"/>
    <w:rsid w:val="140E6961"/>
    <w:rsid w:val="14B20BBB"/>
    <w:rsid w:val="15604228"/>
    <w:rsid w:val="15A620D3"/>
    <w:rsid w:val="16A3369E"/>
    <w:rsid w:val="17114A8B"/>
    <w:rsid w:val="176B77A7"/>
    <w:rsid w:val="178536BD"/>
    <w:rsid w:val="19112CC8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5078F"/>
    <w:rsid w:val="1D5A640E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843881"/>
    <w:rsid w:val="25FE2B31"/>
    <w:rsid w:val="260D5D83"/>
    <w:rsid w:val="260E1D77"/>
    <w:rsid w:val="27521957"/>
    <w:rsid w:val="277A77CA"/>
    <w:rsid w:val="27AB11B6"/>
    <w:rsid w:val="28043432"/>
    <w:rsid w:val="284A2254"/>
    <w:rsid w:val="287149AD"/>
    <w:rsid w:val="29165294"/>
    <w:rsid w:val="292F1467"/>
    <w:rsid w:val="29786927"/>
    <w:rsid w:val="297B51B4"/>
    <w:rsid w:val="29E40467"/>
    <w:rsid w:val="29F527E2"/>
    <w:rsid w:val="2A9A1E2C"/>
    <w:rsid w:val="2BA76543"/>
    <w:rsid w:val="2BF35971"/>
    <w:rsid w:val="2C487650"/>
    <w:rsid w:val="2C5A7AC4"/>
    <w:rsid w:val="2E4F43C0"/>
    <w:rsid w:val="2EAD1D54"/>
    <w:rsid w:val="2EC7368E"/>
    <w:rsid w:val="2EDC05D9"/>
    <w:rsid w:val="2F240CAA"/>
    <w:rsid w:val="2F5137B6"/>
    <w:rsid w:val="2F9B4BC2"/>
    <w:rsid w:val="2FF62815"/>
    <w:rsid w:val="3031730C"/>
    <w:rsid w:val="309615A6"/>
    <w:rsid w:val="30FB4B41"/>
    <w:rsid w:val="31621165"/>
    <w:rsid w:val="322E1E8E"/>
    <w:rsid w:val="323C5548"/>
    <w:rsid w:val="33235CE2"/>
    <w:rsid w:val="334361B3"/>
    <w:rsid w:val="337F0AAF"/>
    <w:rsid w:val="33F22F3B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5877DF"/>
    <w:rsid w:val="3D8D6E09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4143822"/>
    <w:rsid w:val="44654A12"/>
    <w:rsid w:val="44E421C9"/>
    <w:rsid w:val="45320384"/>
    <w:rsid w:val="457C5F26"/>
    <w:rsid w:val="45C04886"/>
    <w:rsid w:val="463672E1"/>
    <w:rsid w:val="4716830A"/>
    <w:rsid w:val="47BF53CA"/>
    <w:rsid w:val="48B126BB"/>
    <w:rsid w:val="49CF255F"/>
    <w:rsid w:val="4A3239D7"/>
    <w:rsid w:val="4B2C5DCD"/>
    <w:rsid w:val="4B46D032"/>
    <w:rsid w:val="4B7D1173"/>
    <w:rsid w:val="4BBDFBDE"/>
    <w:rsid w:val="4BCF5C41"/>
    <w:rsid w:val="4BFA39FB"/>
    <w:rsid w:val="4C150E22"/>
    <w:rsid w:val="4C6A38FC"/>
    <w:rsid w:val="4CD520DA"/>
    <w:rsid w:val="4CE74BC3"/>
    <w:rsid w:val="4CEEB85C"/>
    <w:rsid w:val="4CF5000E"/>
    <w:rsid w:val="4D6D6EEB"/>
    <w:rsid w:val="4DB17672"/>
    <w:rsid w:val="4DB27F04"/>
    <w:rsid w:val="4F4227C4"/>
    <w:rsid w:val="4F5D15A2"/>
    <w:rsid w:val="4FC23787"/>
    <w:rsid w:val="4FCB46B2"/>
    <w:rsid w:val="4FFE57BD"/>
    <w:rsid w:val="50516C2D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29E4877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6761D8"/>
    <w:rsid w:val="56F72F7C"/>
    <w:rsid w:val="5717642E"/>
    <w:rsid w:val="57946554"/>
    <w:rsid w:val="57D80A00"/>
    <w:rsid w:val="586243BF"/>
    <w:rsid w:val="58FD3402"/>
    <w:rsid w:val="5968027A"/>
    <w:rsid w:val="59B155E4"/>
    <w:rsid w:val="5AAF7799"/>
    <w:rsid w:val="5AB04BD0"/>
    <w:rsid w:val="5B5C1753"/>
    <w:rsid w:val="5BA12A6C"/>
    <w:rsid w:val="5BE211F7"/>
    <w:rsid w:val="5BF510BE"/>
    <w:rsid w:val="5C6C4B26"/>
    <w:rsid w:val="5D03DFF6"/>
    <w:rsid w:val="5D9C3D56"/>
    <w:rsid w:val="5DD775C7"/>
    <w:rsid w:val="5E134100"/>
    <w:rsid w:val="5F2842CA"/>
    <w:rsid w:val="5F7A1C50"/>
    <w:rsid w:val="5F9335FA"/>
    <w:rsid w:val="5FC69000"/>
    <w:rsid w:val="601C4AB5"/>
    <w:rsid w:val="604F2F3E"/>
    <w:rsid w:val="60A11979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107A1"/>
    <w:rsid w:val="64D66362"/>
    <w:rsid w:val="65860217"/>
    <w:rsid w:val="659D5052"/>
    <w:rsid w:val="667E0AA1"/>
    <w:rsid w:val="66AE5CE5"/>
    <w:rsid w:val="66D4191C"/>
    <w:rsid w:val="66FF6B2B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C465FE"/>
    <w:rsid w:val="70EC5DDE"/>
    <w:rsid w:val="71572F19"/>
    <w:rsid w:val="719B7427"/>
    <w:rsid w:val="71E33685"/>
    <w:rsid w:val="71F326B3"/>
    <w:rsid w:val="724A6793"/>
    <w:rsid w:val="72647B59"/>
    <w:rsid w:val="73064B5C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8D648DA"/>
    <w:rsid w:val="7951325E"/>
    <w:rsid w:val="799536B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10">
    <w:name w:val="Default Paragraph Font"/>
    <w:semiHidden/>
    <w:qFormat/>
    <w:uiPriority w:val="99"/>
  </w:style>
  <w:style w:type="table" w:default="1" w:styleId="8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note text"/>
    <w:basedOn w:val="1"/>
    <w:next w:val="1"/>
    <w:qFormat/>
    <w:uiPriority w:val="0"/>
    <w:pPr>
      <w:snapToGrid w:val="0"/>
      <w:jc w:val="left"/>
    </w:pPr>
    <w:rPr>
      <w:sz w:val="18"/>
      <w:szCs w:val="18"/>
    </w:rPr>
  </w:style>
  <w:style w:type="paragraph" w:styleId="4">
    <w:name w:val="Body Text"/>
    <w:basedOn w:val="1"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5">
    <w:name w:val="footer"/>
    <w:basedOn w:val="1"/>
    <w:link w:val="12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7">
    <w:name w:val="Normal (Web)"/>
    <w:basedOn w:val="1"/>
    <w:semiHidden/>
    <w:unhideWhenUsed/>
    <w:qFormat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9">
    <w:name w:val="Table Grid"/>
    <w:basedOn w:val="8"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1">
    <w:name w:val="page number"/>
    <w:basedOn w:val="10"/>
    <w:qFormat/>
    <w:uiPriority w:val="99"/>
    <w:rPr>
      <w:rFonts w:cs="Times New Roman"/>
    </w:rPr>
  </w:style>
  <w:style w:type="character" w:customStyle="1" w:styleId="12">
    <w:name w:val="Footer Char"/>
    <w:basedOn w:val="10"/>
    <w:link w:val="5"/>
    <w:semiHidden/>
    <w:qFormat/>
    <w:uiPriority w:val="99"/>
    <w:rPr>
      <w:sz w:val="18"/>
      <w:szCs w:val="18"/>
    </w:rPr>
  </w:style>
  <w:style w:type="character" w:customStyle="1" w:styleId="13">
    <w:name w:val="Header Char"/>
    <w:basedOn w:val="10"/>
    <w:link w:val="6"/>
    <w:semiHidden/>
    <w:qFormat/>
    <w:uiPriority w:val="99"/>
    <w:rPr>
      <w:sz w:val="18"/>
      <w:szCs w:val="18"/>
    </w:rPr>
  </w:style>
  <w:style w:type="paragraph" w:styleId="14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5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6">
    <w:name w:val="Table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theme" Target="theme/theme1.xml"/><Relationship Id="rId6" Type="http://schemas.openxmlformats.org/officeDocument/2006/relationships/footer" Target="footer4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12</Pages>
  <Words>4354</Words>
  <Characters>4599</Characters>
  <Lines>0</Lines>
  <Paragraphs>0</Paragraphs>
  <TotalTime>27</TotalTime>
  <ScaleCrop>false</ScaleCrop>
  <LinksUpToDate>false</LinksUpToDate>
  <CharactersWithSpaces>4995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Administrator</cp:lastModifiedBy>
  <cp:lastPrinted>2024-05-20T07:59:00Z</cp:lastPrinted>
  <dcterms:modified xsi:type="dcterms:W3CDTF">2024-05-30T00:45:45Z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  <property fmtid="{D5CDD505-2E9C-101B-9397-08002B2CF9AE}" pid="3" name="KSOSaveFontToCloudKey">
    <vt:lpwstr>386772509_embed</vt:lpwstr>
  </property>
  <property fmtid="{D5CDD505-2E9C-101B-9397-08002B2CF9AE}" pid="4" name="ICV">
    <vt:lpwstr>F96CC6F13C934D6E834055B675BCA8AB_13</vt:lpwstr>
  </property>
</Properties>
</file>