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黑体" w:hAnsi="黑体" w:eastAsia="黑体" w:cs="黑体"/>
          <w:spacing w:val="-4"/>
          <w:sz w:val="31"/>
          <w:szCs w:val="31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/>
        <w:textAlignment w:val="auto"/>
        <w:rPr>
          <w:rFonts w:hint="eastAsia" w:ascii="黑体" w:hAnsi="黑体" w:eastAsia="黑体" w:cs="黑体"/>
          <w:spacing w:val="-4"/>
          <w:sz w:val="31"/>
          <w:szCs w:val="3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spacing w:val="0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0"/>
          <w:sz w:val="44"/>
          <w:szCs w:val="44"/>
        </w:rPr>
        <w:t>2023年度部门整体支出绩效评价基础数据表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</w:pPr>
    </w:p>
    <w:tbl>
      <w:tblPr>
        <w:tblStyle w:val="18"/>
        <w:tblW w:w="9277" w:type="dxa"/>
        <w:jc w:val="center"/>
        <w:tblInd w:w="0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419"/>
        <w:gridCol w:w="964"/>
        <w:gridCol w:w="965"/>
        <w:gridCol w:w="1"/>
        <w:gridCol w:w="985"/>
        <w:gridCol w:w="986"/>
        <w:gridCol w:w="978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9" w:hRule="atLeast"/>
          <w:jc w:val="center"/>
        </w:trPr>
        <w:tc>
          <w:tcPr>
            <w:tcW w:w="3419" w:type="dxa"/>
            <w:vMerge w:val="restart"/>
            <w:tcBorders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财政供养人员情况（人）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编制数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2023年实际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在职人数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控制率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Merge w:val="continue"/>
            <w:tcBorders>
              <w:top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84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84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100%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经费控制情况（万元）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2022年决算数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2023年预算数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2023年决算数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三公经费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7.45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7.50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6.41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1、公务用车购置和维护经费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其中：公车购置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1459" w:firstLineChars="695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公车运行维护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2、出国经费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3、公务接待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7.45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7.50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6.41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项目支出：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2108.55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2200.87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社会保障和就业支出项目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328.23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566.05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节能环保支出项目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108.00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8.00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城乡社区支出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5.00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166.96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农林水支出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1420.44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1066.42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交通运输支出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4.82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18.15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商业服务业支出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13.00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23.00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自然资源海洋气象支出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5.00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11.00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9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粮油物资储备支出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107.36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68.00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9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大中型水库移民后期扶持基金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259.29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9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彩票公益金项目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30.00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7.00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5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农村建设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6.00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7.00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公用经费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159.21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55.23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156.49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其中：办公经费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24.62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32.77</w:t>
            </w:r>
            <w:bookmarkStart w:id="0" w:name="_GoBack"/>
            <w:bookmarkEnd w:id="0"/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1478" w:firstLineChars="704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水费、电费、差旅费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18.27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23.29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1478" w:firstLineChars="704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会议费、培训费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12.91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8.12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8.72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政府采购金额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</w:rPr>
              <w:t>——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31.82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296.80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部门基本支出预算调整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 w:cs="新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</w:rPr>
              <w:t>——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903.81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exact"/>
              <w:ind w:left="0" w:leftChars="0" w:right="0" w:rightChars="0" w:firstLine="0" w:firstLineChars="0"/>
              <w:jc w:val="center"/>
              <w:rPr>
                <w:rFonts w:hint="default" w:ascii="新宋体" w:hAnsi="新宋体" w:eastAsia="新宋体" w:cs="新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1099.80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8" w:hRule="atLeast"/>
          <w:jc w:val="center"/>
        </w:trPr>
        <w:tc>
          <w:tcPr>
            <w:tcW w:w="3419" w:type="dxa"/>
            <w:vMerge w:val="restart"/>
            <w:tcBorders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楼堂馆所控制情况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（2023年完工项目）</w:t>
            </w:r>
          </w:p>
        </w:tc>
        <w:tc>
          <w:tcPr>
            <w:tcW w:w="96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批复规模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（㎡）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实际规模（㎡）</w:t>
            </w:r>
          </w:p>
        </w:tc>
        <w:tc>
          <w:tcPr>
            <w:tcW w:w="986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规模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控制率</w:t>
            </w:r>
          </w:p>
        </w:tc>
        <w:tc>
          <w:tcPr>
            <w:tcW w:w="98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预算投资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（万元）</w:t>
            </w:r>
          </w:p>
        </w:tc>
        <w:tc>
          <w:tcPr>
            <w:tcW w:w="97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实际投资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（万元）</w:t>
            </w:r>
          </w:p>
        </w:tc>
        <w:tc>
          <w:tcPr>
            <w:tcW w:w="97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投资概算控制率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Merge w:val="continue"/>
            <w:tcBorders>
              <w:top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6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86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8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7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7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0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厉行节约保障措施</w:t>
            </w:r>
          </w:p>
        </w:tc>
        <w:tc>
          <w:tcPr>
            <w:tcW w:w="5858" w:type="dxa"/>
            <w:gridSpan w:val="7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lang w:val="en-US" w:eastAsia="zh-CN"/>
              </w:rPr>
              <w:t>减少不必要的开支</w:t>
            </w:r>
          </w:p>
        </w:tc>
      </w:tr>
    </w:tbl>
    <w:p>
      <w:pPr>
        <w:rPr>
          <w:rFonts w:hint="eastAsia"/>
          <w:lang w:eastAsia="zh-CN"/>
        </w:rPr>
      </w:pPr>
      <w:r>
        <w:rPr>
          <w:rFonts w:hint="eastAsia"/>
        </w:rPr>
        <w:t>说明：“项目支出” 需要填报基本支出以外的所有项目支出情况，“公用经费”填报基本支出</w:t>
      </w:r>
      <w:r>
        <w:rPr>
          <w:rFonts w:hint="eastAsia"/>
          <w:lang w:eastAsia="zh-CN"/>
        </w:rPr>
        <w:t>中的一般商品和服务支出。</w:t>
      </w:r>
    </w:p>
    <w:p>
      <w:pPr>
        <w:pStyle w:val="8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r>
        <w:rPr>
          <w:rFonts w:hint="eastAsia"/>
        </w:rPr>
        <w:t>填表人：        填报日期：       联系电话：          单位负责人签字：</w:t>
      </w:r>
    </w:p>
    <w:p>
      <w:pPr>
        <w:rPr>
          <w:spacing w:val="-13"/>
          <w:sz w:val="22"/>
          <w:szCs w:val="22"/>
        </w:rPr>
      </w:pPr>
      <w:r>
        <w:rPr>
          <w:spacing w:val="-13"/>
          <w:sz w:val="22"/>
          <w:szCs w:val="22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left"/>
        <w:textAlignment w:val="auto"/>
        <w:rPr>
          <w:rFonts w:hint="default" w:ascii="仿宋_GB2312" w:hAnsi="仿宋_GB2312" w:eastAsia="仿宋_GB2312" w:cs="仿宋_GB2312"/>
          <w:spacing w:val="-4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3</w:t>
      </w:r>
    </w:p>
    <w:p>
      <w:pPr>
        <w:spacing w:line="251" w:lineRule="auto"/>
        <w:rPr>
          <w:rFonts w:ascii="Arial"/>
          <w:sz w:val="21"/>
        </w:rPr>
      </w:pPr>
    </w:p>
    <w:p>
      <w:pPr>
        <w:spacing w:line="251" w:lineRule="auto"/>
        <w:rPr>
          <w:rFonts w:ascii="Arial"/>
          <w:sz w:val="21"/>
        </w:rPr>
      </w:pPr>
    </w:p>
    <w:p>
      <w:pPr>
        <w:rPr>
          <w:rFonts w:ascii="Arial"/>
          <w:sz w:val="21"/>
        </w:rPr>
      </w:pPr>
    </w:p>
    <w:p>
      <w:pPr>
        <w:pStyle w:val="8"/>
      </w:pPr>
    </w:p>
    <w:p/>
    <w:p>
      <w:pPr>
        <w:jc w:val="center"/>
        <w:rPr>
          <w:rFonts w:hint="eastAsia" w:asciiTheme="majorEastAsia" w:hAnsiTheme="majorEastAsia" w:eastAsiaTheme="majorEastAsia" w:cstheme="majorEastAsia"/>
          <w:b w:val="0"/>
          <w:bCs w:val="0"/>
          <w:sz w:val="44"/>
          <w:szCs w:val="44"/>
        </w:rPr>
      </w:pPr>
      <w:r>
        <w:rPr>
          <w:rFonts w:hint="eastAsia" w:asciiTheme="majorEastAsia" w:hAnsiTheme="majorEastAsia" w:eastAsiaTheme="majorEastAsia" w:cstheme="majorEastAsia"/>
          <w:b w:val="0"/>
          <w:bCs w:val="0"/>
          <w:sz w:val="44"/>
          <w:szCs w:val="44"/>
        </w:rPr>
        <w:t>2023年度</w:t>
      </w:r>
      <w:r>
        <w:rPr>
          <w:rFonts w:hint="eastAsia" w:asciiTheme="majorEastAsia" w:hAnsiTheme="majorEastAsia" w:eastAsiaTheme="majorEastAsia" w:cstheme="majorEastAsia"/>
          <w:b w:val="0"/>
          <w:bCs w:val="0"/>
          <w:sz w:val="44"/>
          <w:szCs w:val="44"/>
          <w:lang w:eastAsia="zh-CN"/>
        </w:rPr>
        <w:t>华容县三封寺镇人民政府</w:t>
      </w:r>
      <w:r>
        <w:rPr>
          <w:rFonts w:hint="eastAsia" w:asciiTheme="majorEastAsia" w:hAnsiTheme="majorEastAsia" w:eastAsiaTheme="majorEastAsia" w:cstheme="majorEastAsia"/>
          <w:b w:val="0"/>
          <w:bCs w:val="0"/>
          <w:sz w:val="44"/>
          <w:szCs w:val="44"/>
        </w:rPr>
        <w:t>整体支出</w:t>
      </w:r>
    </w:p>
    <w:p>
      <w:pPr>
        <w:jc w:val="center"/>
        <w:rPr>
          <w:rFonts w:hint="eastAsia" w:asciiTheme="majorEastAsia" w:hAnsiTheme="majorEastAsia" w:eastAsiaTheme="majorEastAsia" w:cstheme="majorEastAsia"/>
          <w:b w:val="0"/>
          <w:bCs w:val="0"/>
          <w:sz w:val="44"/>
          <w:szCs w:val="44"/>
        </w:rPr>
      </w:pPr>
      <w:r>
        <w:rPr>
          <w:rFonts w:hint="eastAsia" w:asciiTheme="majorEastAsia" w:hAnsiTheme="majorEastAsia" w:eastAsiaTheme="majorEastAsia" w:cstheme="majorEastAsia"/>
          <w:b w:val="0"/>
          <w:bCs w:val="0"/>
          <w:sz w:val="44"/>
          <w:szCs w:val="44"/>
        </w:rPr>
        <w:t>绩效自评报告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pStyle w:val="8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4" w:lineRule="auto"/>
        <w:rPr>
          <w:rFonts w:ascii="Arial"/>
          <w:sz w:val="21"/>
        </w:rPr>
      </w:pPr>
    </w:p>
    <w:p>
      <w:pPr>
        <w:spacing w:line="244" w:lineRule="auto"/>
        <w:rPr>
          <w:rFonts w:ascii="Arial"/>
          <w:sz w:val="21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00" w:line="221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10"/>
          <w:sz w:val="32"/>
          <w:szCs w:val="32"/>
        </w:rPr>
        <w:t>部门（单位）名称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</w:rPr>
        <w:t>：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  <w:u w:val="single" w:color="auto"/>
          <w:lang w:val="en-US" w:eastAsia="zh-CN"/>
        </w:rPr>
        <w:t>(</w:t>
      </w:r>
      <w:r>
        <w:rPr>
          <w:rFonts w:hint="eastAsia" w:ascii="仿宋_GB2312" w:hAnsi="仿宋_GB2312" w:eastAsia="仿宋_GB2312" w:cs="仿宋_GB2312"/>
          <w:spacing w:val="-118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75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10"/>
          <w:sz w:val="32"/>
          <w:szCs w:val="32"/>
          <w:u w:val="single" w:color="auto"/>
        </w:rPr>
        <w:t>盖章）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</w:rPr>
        <w:t xml:space="preserve">       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  <w:lang w:val="en-US" w:eastAsia="zh-CN"/>
        </w:rPr>
        <w:t xml:space="preserve">     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</w:rPr>
        <w:t xml:space="preserve">  </w:t>
      </w:r>
    </w:p>
    <w:p>
      <w:pPr>
        <w:spacing w:before="228" w:line="222" w:lineRule="auto"/>
        <w:ind w:firstLine="2432" w:firstLineChars="800"/>
        <w:jc w:val="both"/>
        <w:rPr>
          <w:rFonts w:hint="eastAsia" w:asciiTheme="majorEastAsia" w:hAnsiTheme="majorEastAsia" w:eastAsiaTheme="majorEastAsia" w:cstheme="majorEastAsia"/>
          <w:sz w:val="32"/>
          <w:szCs w:val="32"/>
        </w:rPr>
      </w:pPr>
      <w:r>
        <w:rPr>
          <w:rFonts w:hint="eastAsia" w:asciiTheme="majorEastAsia" w:hAnsiTheme="majorEastAsia" w:eastAsiaTheme="majorEastAsia" w:cstheme="majorEastAsia"/>
          <w:spacing w:val="-8"/>
          <w:sz w:val="32"/>
          <w:szCs w:val="32"/>
          <w:lang w:val="en-US" w:eastAsia="zh-CN"/>
        </w:rPr>
        <w:t>2024</w:t>
      </w:r>
      <w:r>
        <w:rPr>
          <w:rFonts w:hint="eastAsia" w:asciiTheme="majorEastAsia" w:hAnsiTheme="majorEastAsia" w:eastAsiaTheme="majorEastAsia" w:cstheme="majorEastAsia"/>
          <w:spacing w:val="-8"/>
          <w:sz w:val="32"/>
          <w:szCs w:val="32"/>
        </w:rPr>
        <w:t>年</w:t>
      </w:r>
      <w:r>
        <w:rPr>
          <w:rFonts w:hint="eastAsia" w:asciiTheme="majorEastAsia" w:hAnsiTheme="majorEastAsia" w:eastAsiaTheme="majorEastAsia" w:cstheme="majorEastAsia"/>
          <w:spacing w:val="21"/>
          <w:sz w:val="32"/>
          <w:szCs w:val="32"/>
        </w:rPr>
        <w:t xml:space="preserve">  </w:t>
      </w:r>
      <w:r>
        <w:rPr>
          <w:rFonts w:hint="eastAsia" w:asciiTheme="majorEastAsia" w:hAnsiTheme="majorEastAsia" w:eastAsiaTheme="majorEastAsia" w:cstheme="majorEastAsia"/>
          <w:spacing w:val="21"/>
          <w:sz w:val="32"/>
          <w:szCs w:val="32"/>
          <w:lang w:val="en-US" w:eastAsia="zh-CN"/>
        </w:rPr>
        <w:t>5</w:t>
      </w:r>
      <w:r>
        <w:rPr>
          <w:rFonts w:hint="eastAsia" w:asciiTheme="majorEastAsia" w:hAnsiTheme="majorEastAsia" w:eastAsiaTheme="majorEastAsia" w:cstheme="majorEastAsia"/>
          <w:spacing w:val="-8"/>
          <w:sz w:val="32"/>
          <w:szCs w:val="32"/>
        </w:rPr>
        <w:t>月</w:t>
      </w:r>
      <w:r>
        <w:rPr>
          <w:rFonts w:hint="eastAsia" w:asciiTheme="majorEastAsia" w:hAnsiTheme="majorEastAsia" w:eastAsiaTheme="majorEastAsia" w:cstheme="majorEastAsia"/>
          <w:spacing w:val="43"/>
          <w:sz w:val="32"/>
          <w:szCs w:val="32"/>
        </w:rPr>
        <w:t xml:space="preserve"> </w:t>
      </w:r>
      <w:r>
        <w:rPr>
          <w:rFonts w:hint="eastAsia" w:asciiTheme="majorEastAsia" w:hAnsiTheme="majorEastAsia" w:eastAsiaTheme="majorEastAsia" w:cstheme="majorEastAsia"/>
          <w:spacing w:val="43"/>
          <w:sz w:val="32"/>
          <w:szCs w:val="32"/>
          <w:lang w:val="en-US" w:eastAsia="zh-CN"/>
        </w:rPr>
        <w:t>23</w:t>
      </w:r>
      <w:r>
        <w:rPr>
          <w:rFonts w:hint="eastAsia" w:asciiTheme="majorEastAsia" w:hAnsiTheme="majorEastAsia" w:eastAsiaTheme="majorEastAsia" w:cstheme="majorEastAsia"/>
          <w:spacing w:val="43"/>
          <w:sz w:val="32"/>
          <w:szCs w:val="32"/>
        </w:rPr>
        <w:t xml:space="preserve"> </w:t>
      </w:r>
      <w:r>
        <w:rPr>
          <w:rFonts w:hint="eastAsia" w:asciiTheme="majorEastAsia" w:hAnsiTheme="majorEastAsia" w:eastAsiaTheme="majorEastAsia" w:cstheme="majorEastAsia"/>
          <w:spacing w:val="-8"/>
          <w:sz w:val="32"/>
          <w:szCs w:val="32"/>
        </w:rPr>
        <w:t>日</w:t>
      </w:r>
    </w:p>
    <w:p>
      <w:pPr>
        <w:spacing w:line="335" w:lineRule="auto"/>
        <w:rPr>
          <w:rFonts w:hint="eastAsia" w:asciiTheme="majorEastAsia" w:hAnsiTheme="majorEastAsia" w:eastAsiaTheme="majorEastAsia" w:cstheme="majorEastAsia"/>
          <w:sz w:val="32"/>
          <w:szCs w:val="32"/>
        </w:rPr>
      </w:pPr>
    </w:p>
    <w:p>
      <w:r>
        <w:br w:type="page"/>
      </w:r>
    </w:p>
    <w:p>
      <w:pPr>
        <w:pStyle w:val="8"/>
        <w:sectPr>
          <w:footerReference r:id="rId3" w:type="default"/>
          <w:pgSz w:w="11905" w:h="16838"/>
          <w:pgMar w:top="1984" w:right="1701" w:bottom="1984" w:left="1701" w:header="850" w:footer="1587" w:gutter="0"/>
          <w:pgNumType w:fmt="numberInDash" w:start="7"/>
          <w:cols w:space="0" w:num="1"/>
          <w:rtlGutter w:val="0"/>
          <w:docGrid w:type="lines" w:linePitch="314" w:charSpace="0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</w:pPr>
    </w:p>
    <w:p>
      <w:pPr>
        <w:pStyle w:val="8"/>
        <w:rPr>
          <w:rFonts w:hint="eastAsia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jc w:val="center"/>
        <w:textAlignment w:val="auto"/>
        <w:rPr>
          <w:rFonts w:hint="eastAsia" w:ascii="宋体" w:hAnsi="宋体" w:eastAsia="宋体" w:cs="宋体"/>
          <w:sz w:val="44"/>
          <w:szCs w:val="44"/>
        </w:rPr>
      </w:pPr>
      <w:r>
        <w:rPr>
          <w:rFonts w:hint="eastAsia" w:ascii="宋体" w:hAnsi="宋体" w:eastAsia="宋体" w:cs="宋体"/>
          <w:sz w:val="44"/>
          <w:szCs w:val="44"/>
        </w:rPr>
        <w:t>202</w:t>
      </w:r>
      <w:r>
        <w:rPr>
          <w:rFonts w:hint="eastAsia" w:ascii="宋体" w:hAnsi="宋体" w:eastAsia="宋体" w:cs="宋体"/>
          <w:sz w:val="44"/>
          <w:szCs w:val="44"/>
          <w:lang w:val="en-US" w:eastAsia="zh-CN"/>
        </w:rPr>
        <w:t>3</w:t>
      </w:r>
      <w:r>
        <w:rPr>
          <w:rFonts w:hint="eastAsia" w:ascii="宋体" w:hAnsi="宋体" w:eastAsia="宋体" w:cs="宋体"/>
          <w:sz w:val="44"/>
          <w:szCs w:val="44"/>
        </w:rPr>
        <w:t>年度</w:t>
      </w:r>
      <w:r>
        <w:rPr>
          <w:rFonts w:hint="eastAsia" w:ascii="宋体" w:hAnsi="宋体" w:eastAsia="宋体" w:cs="宋体"/>
          <w:sz w:val="44"/>
          <w:szCs w:val="44"/>
          <w:lang w:eastAsia="zh-CN"/>
        </w:rPr>
        <w:t>华容县三封寺镇人民政府</w:t>
      </w:r>
      <w:r>
        <w:rPr>
          <w:rFonts w:hint="eastAsia" w:ascii="宋体" w:hAnsi="宋体" w:eastAsia="宋体" w:cs="宋体"/>
          <w:sz w:val="44"/>
          <w:szCs w:val="44"/>
        </w:rPr>
        <w:t>整体支出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jc w:val="center"/>
        <w:textAlignment w:val="auto"/>
        <w:rPr>
          <w:rFonts w:hint="eastAsia" w:ascii="宋体" w:hAnsi="宋体" w:eastAsia="宋体" w:cs="宋体"/>
          <w:sz w:val="44"/>
          <w:szCs w:val="44"/>
        </w:rPr>
      </w:pPr>
      <w:r>
        <w:rPr>
          <w:rFonts w:hint="eastAsia" w:ascii="宋体" w:hAnsi="宋体" w:eastAsia="宋体" w:cs="宋体"/>
          <w:sz w:val="44"/>
          <w:szCs w:val="44"/>
        </w:rPr>
        <w:t>绩效自评报告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600" w:lineRule="exact"/>
        <w:ind w:firstLine="640" w:firstLineChars="200"/>
        <w:textAlignment w:val="auto"/>
        <w:rPr>
          <w:rFonts w:hint="eastAsia" w:ascii="宋体" w:hAnsi="宋体" w:eastAsia="宋体" w:cs="宋体"/>
          <w:sz w:val="32"/>
          <w:lang w:val="en-US" w:eastAsia="zh-CN"/>
        </w:rPr>
      </w:pPr>
      <w:r>
        <w:rPr>
          <w:rFonts w:hint="eastAsia" w:ascii="宋体" w:hAnsi="宋体" w:eastAsia="宋体" w:cs="宋体"/>
          <w:sz w:val="32"/>
          <w:lang w:val="en-US" w:eastAsia="zh-CN"/>
        </w:rPr>
        <w:t>根据《华容县财政局关于开展2023年度部门整体支出绩效自评工作的通知》（华财函〔2024〕103号）的相关规定和要求，现对我部门2023年度整体支出开展绩效自评，现将情况汇报如下：</w:t>
      </w:r>
    </w:p>
    <w:p>
      <w:pPr>
        <w:pStyle w:val="8"/>
        <w:rPr>
          <w:rFonts w:hint="eastAsia" w:ascii="宋体" w:hAnsi="宋体" w:eastAsia="宋体" w:cs="宋体"/>
        </w:rPr>
      </w:pPr>
    </w:p>
    <w:p>
      <w:pPr>
        <w:numPr>
          <w:ilvl w:val="0"/>
          <w:numId w:val="1"/>
        </w:numPr>
        <w:spacing w:before="101" w:line="228" w:lineRule="auto"/>
        <w:ind w:left="648"/>
        <w:rPr>
          <w:rFonts w:hint="eastAsia" w:ascii="宋体" w:hAnsi="宋体" w:eastAsia="宋体" w:cs="宋体"/>
          <w:spacing w:val="5"/>
          <w:sz w:val="32"/>
          <w:szCs w:val="32"/>
        </w:rPr>
      </w:pPr>
      <w:r>
        <w:rPr>
          <w:rFonts w:hint="eastAsia" w:ascii="宋体" w:hAnsi="宋体" w:eastAsia="宋体" w:cs="宋体"/>
          <w:spacing w:val="5"/>
          <w:sz w:val="32"/>
          <w:szCs w:val="32"/>
        </w:rPr>
        <w:t>部门基本情况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600" w:lineRule="exact"/>
        <w:ind w:firstLine="640" w:firstLineChars="200"/>
        <w:textAlignment w:val="auto"/>
        <w:rPr>
          <w:rFonts w:hint="eastAsia" w:ascii="宋体" w:hAnsi="宋体" w:eastAsia="宋体" w:cs="宋体"/>
          <w:sz w:val="32"/>
          <w:lang w:val="en-US" w:eastAsia="zh-CN"/>
        </w:rPr>
      </w:pPr>
      <w:r>
        <w:rPr>
          <w:rFonts w:hint="eastAsia" w:ascii="宋体" w:hAnsi="宋体" w:eastAsia="宋体" w:cs="宋体"/>
          <w:sz w:val="32"/>
          <w:lang w:val="en-US" w:eastAsia="zh-CN"/>
        </w:rPr>
        <w:t>华容县三封寺镇人民政府共有</w:t>
      </w:r>
      <w:r>
        <w:rPr>
          <w:rFonts w:hint="eastAsia" w:ascii="宋体" w:hAnsi="宋体" w:eastAsia="宋体" w:cs="宋体"/>
          <w:sz w:val="32"/>
          <w:lang w:val="zh-CN" w:eastAsia="zh-CN"/>
        </w:rPr>
        <w:t>镇政府机关、镇财政所、镇农业综合服务中心、镇社会事业综合服务中心、镇退役军人服务站、镇综合行政执法大队、镇水利服务站</w:t>
      </w:r>
      <w:r>
        <w:rPr>
          <w:rFonts w:hint="eastAsia" w:ascii="宋体" w:hAnsi="宋体" w:eastAsia="宋体" w:cs="宋体"/>
          <w:sz w:val="32"/>
          <w:lang w:val="en-US" w:eastAsia="zh-CN"/>
        </w:rPr>
        <w:t>7个独立核算工作机构。现有人员编制84名（其中：行政编制33名，事业全额编制51名），实有在职干部、职工84人。</w:t>
      </w:r>
    </w:p>
    <w:p>
      <w:pPr>
        <w:spacing w:before="216" w:line="226" w:lineRule="auto"/>
        <w:ind w:left="648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pacing w:val="-2"/>
          <w:sz w:val="32"/>
          <w:szCs w:val="32"/>
        </w:rPr>
        <w:t>二、一般公共预算支出情况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3" w:firstLineChars="200"/>
        <w:textAlignment w:val="auto"/>
        <w:rPr>
          <w:rFonts w:hint="eastAsia" w:ascii="宋体" w:hAnsi="宋体" w:eastAsia="宋体" w:cs="宋体"/>
          <w:b/>
          <w:bCs/>
          <w:sz w:val="32"/>
          <w:szCs w:val="32"/>
        </w:rPr>
      </w:pPr>
      <w:r>
        <w:rPr>
          <w:rFonts w:hint="eastAsia" w:ascii="宋体" w:hAnsi="宋体" w:eastAsia="宋体" w:cs="宋体"/>
          <w:b/>
          <w:bCs/>
          <w:sz w:val="32"/>
          <w:szCs w:val="32"/>
        </w:rPr>
        <w:t>（一）基本支出情况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600" w:lineRule="exact"/>
        <w:ind w:firstLine="640" w:firstLineChars="200"/>
        <w:textAlignment w:val="auto"/>
        <w:rPr>
          <w:rFonts w:hint="eastAsia" w:ascii="宋体" w:hAnsi="宋体" w:eastAsia="宋体" w:cs="宋体"/>
          <w:sz w:val="32"/>
          <w:lang w:val="en-US" w:eastAsia="zh-CN"/>
        </w:rPr>
      </w:pPr>
      <w:r>
        <w:rPr>
          <w:rFonts w:hint="eastAsia" w:ascii="宋体" w:hAnsi="宋体" w:eastAsia="宋体" w:cs="宋体"/>
          <w:sz w:val="32"/>
          <w:lang w:val="en-US" w:eastAsia="zh-CN"/>
        </w:rPr>
        <w:t>2023年我单位基本支出共1099.80万元，主要用于职工的工资福利支出、五险一金支出及商品服务支出；其中人员经费943.31万元，日常公用经费156.49万元。2022年基本支出中人员经费832.76万元，本年比上年增加110.55万元，增幅13.27%，主要原因是人员的增加；日常公用经费159.21万元，本年上年度减少2.72万元，减幅1.71%，主要原因是厉行节约，减少公用经费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43" w:firstLineChars="200"/>
        <w:textAlignment w:val="auto"/>
        <w:rPr>
          <w:rFonts w:hint="eastAsia" w:ascii="宋体" w:hAnsi="宋体" w:eastAsia="宋体" w:cs="宋体"/>
          <w:b/>
          <w:bCs/>
          <w:sz w:val="32"/>
          <w:szCs w:val="32"/>
        </w:rPr>
      </w:pPr>
      <w:r>
        <w:rPr>
          <w:rFonts w:hint="eastAsia" w:ascii="宋体" w:hAnsi="宋体" w:eastAsia="宋体" w:cs="宋体"/>
          <w:b/>
          <w:bCs/>
          <w:sz w:val="32"/>
          <w:szCs w:val="32"/>
        </w:rPr>
        <w:t>项目支出情况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600" w:lineRule="exact"/>
        <w:ind w:firstLine="640" w:firstLineChars="200"/>
        <w:textAlignment w:val="auto"/>
        <w:rPr>
          <w:rFonts w:hint="eastAsia" w:ascii="宋体" w:hAnsi="宋体" w:eastAsia="宋体" w:cs="宋体"/>
          <w:sz w:val="32"/>
          <w:lang w:val="en-US" w:eastAsia="zh-CN"/>
        </w:rPr>
      </w:pPr>
      <w:r>
        <w:rPr>
          <w:rFonts w:hint="eastAsia" w:ascii="宋体" w:hAnsi="宋体" w:eastAsia="宋体" w:cs="宋体"/>
          <w:sz w:val="32"/>
          <w:lang w:val="en-US" w:eastAsia="zh-CN"/>
        </w:rPr>
        <w:t>2023年项目支出为2200.87万元，占总支出的66.68%，主要是项目建设支付的办公费、印刷费、差旅费、会议费、培训费、劳务费、对企事业单位的补贴、基础设施建设、拆迁补偿、大型修缮等商品和服务支出。其中商品和服务支出28.30万元,对个人和家庭的补助293.29万元，资本性支出1879.28万元。</w:t>
      </w:r>
    </w:p>
    <w:p>
      <w:pPr>
        <w:numPr>
          <w:ilvl w:val="0"/>
          <w:numId w:val="1"/>
        </w:numPr>
        <w:spacing w:before="224" w:line="227" w:lineRule="auto"/>
        <w:ind w:left="648" w:leftChars="0" w:firstLine="0" w:firstLineChars="0"/>
        <w:rPr>
          <w:rFonts w:hint="eastAsia" w:ascii="宋体" w:hAnsi="宋体" w:eastAsia="宋体" w:cs="宋体"/>
          <w:spacing w:val="8"/>
          <w:sz w:val="32"/>
          <w:szCs w:val="32"/>
        </w:rPr>
      </w:pPr>
      <w:r>
        <w:rPr>
          <w:rFonts w:hint="eastAsia" w:ascii="宋体" w:hAnsi="宋体" w:eastAsia="宋体" w:cs="宋体"/>
          <w:spacing w:val="8"/>
          <w:sz w:val="32"/>
          <w:szCs w:val="32"/>
        </w:rPr>
        <w:t>政府性基金预算支出情况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600" w:lineRule="exact"/>
        <w:ind w:firstLine="640" w:firstLineChars="200"/>
        <w:textAlignment w:val="auto"/>
        <w:rPr>
          <w:rFonts w:hint="eastAsia" w:ascii="宋体" w:hAnsi="宋体" w:eastAsia="宋体" w:cs="宋体"/>
          <w:sz w:val="32"/>
          <w:szCs w:val="32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highlight w:val="none"/>
          <w:lang w:val="en-US" w:eastAsia="zh-CN"/>
        </w:rPr>
        <w:t>2023年政府性基金预算支出590.16万元,主要是移民补助、基础设施建设等商品和服务支出。其中对个人和家庭的补助43.76万元，资本性支出546.40万元。</w:t>
      </w:r>
    </w:p>
    <w:p>
      <w:pPr>
        <w:numPr>
          <w:ilvl w:val="0"/>
          <w:numId w:val="1"/>
        </w:numPr>
        <w:spacing w:before="219" w:line="600" w:lineRule="exact"/>
        <w:ind w:left="648" w:leftChars="0" w:firstLine="0" w:firstLineChars="0"/>
        <w:rPr>
          <w:rFonts w:hint="eastAsia" w:ascii="宋体" w:hAnsi="宋体" w:eastAsia="宋体" w:cs="宋体"/>
          <w:spacing w:val="7"/>
          <w:position w:val="21"/>
          <w:sz w:val="32"/>
          <w:szCs w:val="32"/>
        </w:rPr>
      </w:pPr>
      <w:r>
        <w:rPr>
          <w:rFonts w:hint="eastAsia" w:ascii="宋体" w:hAnsi="宋体" w:eastAsia="宋体" w:cs="宋体"/>
          <w:spacing w:val="7"/>
          <w:position w:val="21"/>
          <w:sz w:val="32"/>
          <w:szCs w:val="32"/>
        </w:rPr>
        <w:t>国有资本经营预算支出情况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600" w:lineRule="exact"/>
        <w:ind w:firstLine="640" w:firstLineChars="200"/>
        <w:textAlignment w:val="auto"/>
        <w:rPr>
          <w:rFonts w:hint="eastAsia" w:ascii="宋体" w:hAnsi="宋体" w:eastAsia="宋体" w:cs="宋体"/>
          <w:sz w:val="32"/>
          <w:lang w:val="en-US" w:eastAsia="zh-CN"/>
        </w:rPr>
      </w:pPr>
      <w:r>
        <w:rPr>
          <w:rFonts w:hint="eastAsia" w:ascii="宋体" w:hAnsi="宋体" w:eastAsia="宋体" w:cs="宋体"/>
          <w:sz w:val="32"/>
          <w:lang w:val="en-US" w:eastAsia="zh-CN"/>
        </w:rPr>
        <w:t>2023年无国有资本经营预算支出。</w:t>
      </w:r>
    </w:p>
    <w:p>
      <w:pPr>
        <w:numPr>
          <w:ilvl w:val="0"/>
          <w:numId w:val="1"/>
        </w:numPr>
        <w:spacing w:line="227" w:lineRule="auto"/>
        <w:ind w:left="648" w:leftChars="0" w:firstLine="0" w:firstLineChars="0"/>
        <w:rPr>
          <w:rFonts w:hint="eastAsia" w:ascii="宋体" w:hAnsi="宋体" w:eastAsia="宋体" w:cs="宋体"/>
          <w:spacing w:val="8"/>
          <w:sz w:val="32"/>
          <w:szCs w:val="32"/>
        </w:rPr>
      </w:pPr>
      <w:r>
        <w:rPr>
          <w:rFonts w:hint="eastAsia" w:ascii="宋体" w:hAnsi="宋体" w:eastAsia="宋体" w:cs="宋体"/>
          <w:spacing w:val="8"/>
          <w:sz w:val="32"/>
          <w:szCs w:val="32"/>
        </w:rPr>
        <w:t>社会保险基金预算支出情况</w:t>
      </w:r>
    </w:p>
    <w:p>
      <w:pPr>
        <w:pStyle w:val="10"/>
        <w:numPr>
          <w:ilvl w:val="0"/>
          <w:numId w:val="0"/>
        </w:numPr>
        <w:ind w:left="648" w:leftChars="0"/>
        <w:rPr>
          <w:rFonts w:hint="eastAsia" w:ascii="宋体" w:hAnsi="宋体" w:eastAsia="宋体" w:cs="宋体"/>
          <w:kern w:val="2"/>
          <w:sz w:val="32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32"/>
          <w:szCs w:val="24"/>
          <w:lang w:val="en-US" w:eastAsia="zh-CN" w:bidi="ar-SA"/>
        </w:rPr>
        <w:t>2023年无社会保险基金预算支出。</w:t>
      </w:r>
    </w:p>
    <w:p>
      <w:pPr>
        <w:numPr>
          <w:ilvl w:val="0"/>
          <w:numId w:val="1"/>
        </w:numPr>
        <w:spacing w:before="219" w:line="226" w:lineRule="auto"/>
        <w:ind w:left="648" w:leftChars="0" w:firstLine="0" w:firstLineChars="0"/>
        <w:rPr>
          <w:rFonts w:hint="eastAsia" w:ascii="宋体" w:hAnsi="宋体" w:eastAsia="宋体" w:cs="宋体"/>
          <w:spacing w:val="8"/>
          <w:sz w:val="32"/>
          <w:szCs w:val="32"/>
        </w:rPr>
      </w:pPr>
      <w:r>
        <w:rPr>
          <w:rFonts w:hint="eastAsia" w:ascii="宋体" w:hAnsi="宋体" w:eastAsia="宋体" w:cs="宋体"/>
          <w:spacing w:val="8"/>
          <w:sz w:val="32"/>
          <w:szCs w:val="32"/>
        </w:rPr>
        <w:t>部门整体支出绩效情况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600" w:lineRule="exact"/>
        <w:ind w:firstLine="643" w:firstLineChars="200"/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  <w:t>（一）底线工作完成情况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600" w:lineRule="exact"/>
        <w:ind w:firstLine="640" w:firstLineChars="200"/>
        <w:textAlignment w:val="auto"/>
        <w:rPr>
          <w:rFonts w:hint="eastAsia" w:ascii="宋体" w:hAnsi="宋体" w:eastAsia="宋体" w:cs="宋体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1.粮食生产方面。五大粮食生产示范带均做到了“三无六统一”，全镇累计落实早稻4.5万亩，晚稻4.6万亩，</w:t>
      </w:r>
      <w:r>
        <w:rPr>
          <w:rFonts w:hint="eastAsia" w:ascii="宋体" w:hAnsi="宋体" w:eastAsia="宋体" w:cs="宋体"/>
          <w:sz w:val="32"/>
          <w:szCs w:val="32"/>
          <w:highlight w:val="none"/>
        </w:rPr>
        <w:t>早稻集中育秧示范主体</w:t>
      </w:r>
      <w:r>
        <w:rPr>
          <w:rFonts w:hint="eastAsia" w:ascii="宋体" w:hAnsi="宋体" w:eastAsia="宋体" w:cs="宋体"/>
          <w:sz w:val="32"/>
          <w:szCs w:val="32"/>
          <w:highlight w:val="none"/>
          <w:lang w:val="en-US" w:eastAsia="zh-CN"/>
        </w:rPr>
        <w:t>88</w:t>
      </w:r>
      <w:r>
        <w:rPr>
          <w:rFonts w:hint="eastAsia" w:ascii="宋体" w:hAnsi="宋体" w:eastAsia="宋体" w:cs="宋体"/>
          <w:sz w:val="32"/>
          <w:szCs w:val="32"/>
          <w:highlight w:val="none"/>
        </w:rPr>
        <w:t>家，集中育秧面积</w:t>
      </w:r>
      <w:r>
        <w:rPr>
          <w:rFonts w:hint="eastAsia" w:ascii="宋体" w:hAnsi="宋体" w:eastAsia="宋体" w:cs="宋体"/>
          <w:sz w:val="32"/>
          <w:szCs w:val="32"/>
          <w:highlight w:val="none"/>
          <w:lang w:val="en-US" w:eastAsia="zh-CN"/>
        </w:rPr>
        <w:t>615.87</w:t>
      </w:r>
      <w:r>
        <w:rPr>
          <w:rFonts w:hint="eastAsia" w:ascii="宋体" w:hAnsi="宋体" w:eastAsia="宋体" w:cs="宋体"/>
          <w:sz w:val="32"/>
          <w:szCs w:val="32"/>
          <w:highlight w:val="none"/>
        </w:rPr>
        <w:t>亩，示范线路面积1.1万亩，示范线路10.2公里</w:t>
      </w:r>
      <w:r>
        <w:rPr>
          <w:rFonts w:hint="eastAsia" w:ascii="宋体" w:hAnsi="宋体" w:eastAsia="宋体" w:cs="宋体"/>
          <w:sz w:val="32"/>
          <w:szCs w:val="32"/>
          <w:highlight w:val="none"/>
          <w:lang w:eastAsia="zh-CN"/>
        </w:rPr>
        <w:t>。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打造镇级万亩示范片，严格整改耕地图斑，防止耕地“非农化”“非粮化”。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600" w:lineRule="exact"/>
        <w:ind w:firstLine="643" w:firstLineChars="200"/>
        <w:textAlignment w:val="auto"/>
        <w:rPr>
          <w:rFonts w:hint="eastAsia" w:ascii="宋体" w:hAnsi="宋体" w:eastAsia="宋体" w:cs="宋体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  <w:t>2.人居环境方面。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各</w:t>
      </w:r>
      <w:r>
        <w:rPr>
          <w:rFonts w:hint="eastAsia" w:ascii="宋体" w:hAnsi="宋体" w:eastAsia="宋体" w:cs="宋体"/>
          <w:sz w:val="32"/>
          <w:szCs w:val="32"/>
        </w:rPr>
        <w:t>村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均</w:t>
      </w:r>
      <w:r>
        <w:rPr>
          <w:rFonts w:hint="eastAsia" w:ascii="宋体" w:hAnsi="宋体" w:eastAsia="宋体" w:cs="宋体"/>
          <w:sz w:val="32"/>
          <w:szCs w:val="32"/>
        </w:rPr>
        <w:t>打造</w:t>
      </w:r>
      <w:r>
        <w:rPr>
          <w:rFonts w:hint="eastAsia" w:ascii="宋体" w:hAnsi="宋体" w:eastAsia="宋体" w:cs="宋体"/>
          <w:sz w:val="32"/>
          <w:szCs w:val="32"/>
          <w:lang w:eastAsia="zh-CN"/>
        </w:rPr>
        <w:t>了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1个示范组和1</w:t>
      </w:r>
      <w:r>
        <w:rPr>
          <w:rFonts w:hint="eastAsia" w:ascii="宋体" w:hAnsi="宋体" w:eastAsia="宋体" w:cs="宋体"/>
          <w:sz w:val="32"/>
          <w:szCs w:val="32"/>
        </w:rPr>
        <w:t>公里美化路，全年累计美化路段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9</w:t>
      </w:r>
      <w:r>
        <w:rPr>
          <w:rFonts w:hint="eastAsia" w:ascii="宋体" w:hAnsi="宋体" w:eastAsia="宋体" w:cs="宋体"/>
          <w:sz w:val="32"/>
          <w:szCs w:val="32"/>
        </w:rPr>
        <w:t>公里</w:t>
      </w:r>
      <w:r>
        <w:rPr>
          <w:rFonts w:hint="eastAsia" w:ascii="宋体" w:hAnsi="宋体" w:eastAsia="宋体" w:cs="宋体"/>
          <w:sz w:val="32"/>
          <w:szCs w:val="32"/>
          <w:lang w:eastAsia="zh-CN"/>
        </w:rPr>
        <w:t>；</w:t>
      </w:r>
      <w:r>
        <w:rPr>
          <w:rFonts w:hint="eastAsia" w:ascii="宋体" w:hAnsi="宋体" w:eastAsia="宋体" w:cs="宋体"/>
          <w:sz w:val="32"/>
          <w:lang w:val="en-US" w:eastAsia="zh-CN"/>
        </w:rPr>
        <w:t>升级打造垃圾分类宣讲中心，目前初步设计方案已出台。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采用明察和暗访两种方式，对人居环境整治考工作进行检查和考评，严格实行好坏两上台。</w:t>
      </w:r>
    </w:p>
    <w:p>
      <w:pPr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N/>
        <w:bidi w:val="0"/>
        <w:adjustRightInd/>
        <w:snapToGrid/>
        <w:spacing w:beforeAutospacing="0" w:afterAutospacing="0" w:line="600" w:lineRule="exact"/>
        <w:ind w:left="0" w:right="0" w:firstLine="643" w:firstLineChars="200"/>
        <w:jc w:val="both"/>
        <w:rPr>
          <w:rFonts w:hint="eastAsia" w:ascii="宋体" w:hAnsi="宋体" w:eastAsia="宋体" w:cs="宋体"/>
          <w:kern w:val="2"/>
          <w:sz w:val="32"/>
          <w:szCs w:val="32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  <w:t>3.安全底线方面。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"/>
        </w:rPr>
        <w:t>坚持防汛抗旱两手抓、两手硬，强化应急值守和物资储备，清洗淤积沟渠12公里，增设提水机埠4处，切实保障生产、生活用水安全。扎实开展“三调联动”矛盾调解工作及信访积案大化解行动，累计化解矛盾纠纷20余件。</w:t>
      </w:r>
    </w:p>
    <w:p>
      <w:pPr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N/>
        <w:bidi w:val="0"/>
        <w:adjustRightInd/>
        <w:snapToGrid/>
        <w:spacing w:beforeAutospacing="0" w:afterAutospacing="0" w:line="600" w:lineRule="exact"/>
        <w:ind w:left="0" w:right="0" w:firstLine="643" w:firstLineChars="200"/>
        <w:jc w:val="both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2"/>
          <w:sz w:val="32"/>
          <w:szCs w:val="32"/>
          <w:lang w:val="en-US" w:eastAsia="zh-CN" w:bidi="ar"/>
        </w:rPr>
        <w:t>4.为民服务方面。</w:t>
      </w:r>
      <w:r>
        <w:rPr>
          <w:rFonts w:hint="eastAsia" w:ascii="宋体" w:hAnsi="宋体" w:eastAsia="宋体" w:cs="宋体"/>
          <w:color w:val="auto"/>
          <w:kern w:val="2"/>
          <w:sz w:val="32"/>
          <w:szCs w:val="32"/>
          <w:lang w:val="en-US" w:eastAsia="zh-CN" w:bidi="ar-SA"/>
        </w:rPr>
        <w:t>认真开展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“一月一课一片一实践”“群英断是非”大走访等活动，梳理形成为民办实事清单，</w:t>
      </w:r>
      <w:r>
        <w:rPr>
          <w:rFonts w:hint="eastAsia" w:ascii="宋体" w:hAnsi="宋体" w:eastAsia="宋体" w:cs="宋体"/>
          <w:color w:val="auto"/>
          <w:kern w:val="2"/>
          <w:sz w:val="32"/>
          <w:szCs w:val="32"/>
          <w:lang w:val="en-US" w:eastAsia="zh-CN" w:bidi="ar-SA"/>
        </w:rPr>
        <w:t>截至当前</w:t>
      </w:r>
      <w:r>
        <w:rPr>
          <w:rFonts w:hint="eastAsia" w:ascii="宋体" w:hAnsi="宋体" w:eastAsia="宋体" w:cs="宋体"/>
          <w:b w:val="0"/>
          <w:bCs w:val="0"/>
          <w:color w:val="auto"/>
          <w:kern w:val="2"/>
          <w:sz w:val="32"/>
          <w:szCs w:val="32"/>
          <w:lang w:val="en-US" w:eastAsia="zh-CN" w:bidi="ar-SA"/>
        </w:rPr>
        <w:t>共收集各类问题25个，</w:t>
      </w:r>
      <w:r>
        <w:rPr>
          <w:rFonts w:hint="eastAsia" w:ascii="宋体" w:hAnsi="宋体" w:eastAsia="宋体" w:cs="宋体"/>
          <w:b w:val="0"/>
          <w:bCs w:val="0"/>
          <w:i w:val="0"/>
          <w:iCs w:val="0"/>
          <w:caps w:val="0"/>
          <w:color w:val="auto"/>
          <w:spacing w:val="0"/>
          <w:sz w:val="32"/>
          <w:szCs w:val="32"/>
          <w:shd w:val="clear" w:color="auto" w:fill="FFFFFF"/>
        </w:rPr>
        <w:t>全部下派明确责任，督促及时推进解决。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600" w:lineRule="exact"/>
        <w:ind w:right="0" w:rightChars="0" w:firstLine="643" w:firstLineChars="200"/>
        <w:jc w:val="both"/>
        <w:textAlignment w:val="baseline"/>
        <w:outlineLvl w:val="9"/>
        <w:rPr>
          <w:rFonts w:hint="eastAsia" w:ascii="宋体" w:hAnsi="宋体" w:eastAsia="宋体" w:cs="宋体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  <w:t>5.防返贫监测方面。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承办全省防返贫监测帮扶现场会，莲花堰村申报为全国巩固拓展脱贫攻坚成果村级实践交流基地。组织党员干部开展全镇所有农户2023年两次防返贫监测帮扶集中排查工作。针对“11类特殊对象”进行“一户一画像”工作。安排185个党员干部对204户脱贫户、监测户进行结对帮扶，并制定针对性帮扶措施，做好每季度收入核算工作。发放雨露计划教育补助29人，一次性交通补助2人，光伏电站公益岗位39人。截止2023年年底，实现每户走访恳谈至少4次以上，监测对象走访恳谈每月1次，全镇新增监测户2户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600" w:lineRule="exact"/>
        <w:ind w:firstLine="643" w:firstLineChars="200"/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  <w:t>（二）重点项目完成情况</w:t>
      </w:r>
    </w:p>
    <w:p>
      <w:pPr>
        <w:pStyle w:val="20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line="600" w:lineRule="exact"/>
        <w:rPr>
          <w:rFonts w:hint="eastAsia" w:ascii="宋体" w:hAnsi="宋体" w:eastAsia="宋体" w:cs="宋体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32"/>
          <w:szCs w:val="32"/>
        </w:rPr>
        <w:t>已完成铁水联运</w:t>
      </w:r>
      <w:r>
        <w:rPr>
          <w:rFonts w:hint="eastAsia" w:ascii="宋体" w:hAnsi="宋体" w:eastAsia="宋体" w:cs="宋体"/>
          <w:color w:val="000000"/>
          <w:sz w:val="32"/>
          <w:szCs w:val="32"/>
          <w:lang w:eastAsia="zh-CN"/>
        </w:rPr>
        <w:t>、</w:t>
      </w:r>
      <w:r>
        <w:rPr>
          <w:rFonts w:hint="eastAsia" w:ascii="宋体" w:hAnsi="宋体" w:eastAsia="宋体" w:cs="宋体"/>
          <w:color w:val="000000"/>
          <w:sz w:val="32"/>
          <w:szCs w:val="32"/>
          <w:lang w:val="en-US" w:eastAsia="zh-CN"/>
        </w:rPr>
        <w:t>墨山旅游度假区项目一期、</w:t>
      </w:r>
      <w:r>
        <w:rPr>
          <w:rFonts w:hint="eastAsia" w:ascii="宋体" w:hAnsi="宋体" w:eastAsia="宋体" w:cs="宋体"/>
          <w:sz w:val="32"/>
          <w:szCs w:val="32"/>
          <w:highlight w:val="none"/>
          <w:lang w:val="en-US" w:eastAsia="zh-CN"/>
        </w:rPr>
        <w:t>汇川产业园项目一期、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洞庭500kv输变电线路工程等项目征地拆迁任务。</w:t>
      </w:r>
      <w:r>
        <w:rPr>
          <w:rFonts w:hint="eastAsia" w:ascii="宋体" w:hAnsi="宋体" w:eastAsia="宋体" w:cs="宋体"/>
          <w:color w:val="000000"/>
          <w:sz w:val="32"/>
          <w:szCs w:val="32"/>
        </w:rPr>
        <w:t>铁水联运</w:t>
      </w:r>
      <w:r>
        <w:rPr>
          <w:rFonts w:hint="eastAsia" w:ascii="宋体" w:hAnsi="宋体" w:eastAsia="宋体" w:cs="宋体"/>
          <w:color w:val="000000"/>
          <w:sz w:val="32"/>
          <w:szCs w:val="32"/>
          <w:lang w:eastAsia="zh-CN"/>
        </w:rPr>
        <w:t>项目、汇川产业园项目二期、柞树采石场前期工程正有序推进。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line="600" w:lineRule="exact"/>
        <w:ind w:firstLine="643" w:firstLineChars="200"/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  <w:t>（三）特色亮点工作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line="600" w:lineRule="exact"/>
        <w:ind w:left="0" w:leftChars="0" w:firstLine="643" w:firstLineChars="200"/>
        <w:textAlignment w:val="auto"/>
        <w:rPr>
          <w:rFonts w:hint="eastAsia" w:ascii="宋体" w:hAnsi="宋体" w:eastAsia="宋体" w:cs="宋体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  <w:t>1.芥菜生产方面。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打造了泰和观光闭环芥菜种植示范区，落实了泰和、辅安高产示范板块。新增高标准芥菜种植基地800亩，落实良繁基地70亩，指导鲜芥菜签订购销活动。今年所有芥菜全部采用标准腌制池腌制，今年将全面取缔存量土窖</w:t>
      </w:r>
      <w:r>
        <w:rPr>
          <w:rFonts w:hint="eastAsia" w:ascii="宋体" w:hAnsi="宋体" w:eastAsia="宋体" w:cs="宋体"/>
          <w:sz w:val="32"/>
          <w:szCs w:val="32"/>
        </w:rPr>
        <w:t>，</w:t>
      </w:r>
      <w:r>
        <w:rPr>
          <w:rFonts w:hint="eastAsia" w:ascii="宋体" w:hAnsi="宋体" w:eastAsia="宋体" w:cs="宋体"/>
          <w:sz w:val="32"/>
          <w:szCs w:val="32"/>
          <w:lang w:eastAsia="zh-CN"/>
        </w:rPr>
        <w:t>为种植大户推送芥菜种植保险，</w:t>
      </w:r>
      <w:r>
        <w:rPr>
          <w:rFonts w:hint="eastAsia" w:ascii="宋体" w:hAnsi="宋体" w:eastAsia="宋体" w:cs="宋体"/>
          <w:sz w:val="32"/>
          <w:szCs w:val="32"/>
        </w:rPr>
        <w:t>最大程度降低种植风险</w:t>
      </w:r>
      <w:r>
        <w:rPr>
          <w:rFonts w:hint="eastAsia" w:ascii="宋体" w:hAnsi="宋体" w:eastAsia="宋体" w:cs="宋体"/>
          <w:sz w:val="32"/>
          <w:szCs w:val="32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 w:val="0"/>
        <w:autoSpaceDN/>
        <w:bidi w:val="0"/>
        <w:adjustRightInd/>
        <w:snapToGrid/>
        <w:spacing w:beforeAutospacing="0" w:afterAutospacing="0" w:line="600" w:lineRule="exact"/>
        <w:ind w:left="0" w:right="0" w:firstLine="643" w:firstLineChars="200"/>
        <w:jc w:val="both"/>
        <w:rPr>
          <w:rFonts w:hint="eastAsia" w:ascii="宋体" w:hAnsi="宋体" w:eastAsia="宋体" w:cs="宋体"/>
          <w:kern w:val="2"/>
          <w:sz w:val="32"/>
          <w:szCs w:val="32"/>
        </w:rPr>
      </w:pPr>
      <w:r>
        <w:rPr>
          <w:rFonts w:hint="eastAsia" w:ascii="宋体" w:hAnsi="宋体" w:eastAsia="宋体" w:cs="宋体"/>
          <w:b/>
          <w:bCs/>
          <w:kern w:val="2"/>
          <w:sz w:val="32"/>
          <w:szCs w:val="32"/>
          <w:lang w:val="en-US" w:eastAsia="zh-CN" w:bidi="ar-SA"/>
        </w:rPr>
        <w:t>2.基层治理方面。</w:t>
      </w:r>
      <w:r>
        <w:rPr>
          <w:rFonts w:hint="eastAsia" w:ascii="宋体" w:hAnsi="宋体" w:eastAsia="宋体" w:cs="宋体"/>
          <w:b/>
          <w:bCs/>
          <w:kern w:val="2"/>
          <w:sz w:val="32"/>
          <w:szCs w:val="32"/>
          <w:lang w:val="en-US" w:eastAsia="zh-CN" w:bidi="ar"/>
        </w:rPr>
        <w:t>一是“微协会”促自治。</w:t>
      </w:r>
      <w:r>
        <w:rPr>
          <w:rFonts w:hint="eastAsia" w:ascii="宋体" w:hAnsi="宋体" w:eastAsia="宋体" w:cs="宋体"/>
          <w:sz w:val="32"/>
          <w:szCs w:val="32"/>
          <w:highlight w:val="none"/>
          <w:lang w:val="en-US" w:eastAsia="zh-CN"/>
        </w:rPr>
        <w:t>华一村自助互助养老协会举办了第二届长者文化节，成立了雨花斋老年食堂，每天为会员及全村人员提供免费素食午餐；莲花堰村举办了“堰村美食风俗文化节”</w:t>
      </w:r>
      <w:r>
        <w:rPr>
          <w:rFonts w:hint="eastAsia" w:ascii="宋体" w:hAnsi="宋体" w:eastAsia="宋体" w:cs="宋体"/>
          <w:sz w:val="32"/>
          <w:szCs w:val="32"/>
          <w:lang w:eastAsia="zh-CN"/>
        </w:rPr>
        <w:t>。</w:t>
      </w:r>
      <w:r>
        <w:rPr>
          <w:rFonts w:hint="eastAsia" w:ascii="宋体" w:hAnsi="宋体" w:eastAsia="宋体" w:cs="宋体"/>
          <w:sz w:val="32"/>
          <w:szCs w:val="32"/>
          <w:highlight w:val="none"/>
          <w:lang w:val="en-US" w:eastAsia="zh-CN"/>
        </w:rPr>
        <w:t>辅安村助学助困协会已累计筹措基金16万余元，为今年考上大学和重点高中的11名学生举行了集体升学礼。</w:t>
      </w:r>
      <w:r>
        <w:rPr>
          <w:rFonts w:hint="eastAsia" w:ascii="宋体" w:hAnsi="宋体" w:eastAsia="宋体" w:cs="宋体"/>
          <w:b/>
          <w:bCs/>
          <w:kern w:val="2"/>
          <w:sz w:val="32"/>
          <w:szCs w:val="32"/>
          <w:lang w:val="en-US" w:eastAsia="zh-CN" w:bidi="ar"/>
        </w:rPr>
        <w:t>二是“微网格”夯基础。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"/>
        </w:rPr>
        <w:t>以210个“微网格”为单位，实行“微河长、微路长、微林长制”，加强对重点区域、重点工作、重点对象巡查监管，实施从源头化解问题的精细化管理。</w:t>
      </w:r>
      <w:r>
        <w:rPr>
          <w:rFonts w:hint="eastAsia" w:ascii="宋体" w:hAnsi="宋体" w:eastAsia="宋体" w:cs="宋体"/>
          <w:b/>
          <w:bCs/>
          <w:kern w:val="2"/>
          <w:sz w:val="32"/>
          <w:szCs w:val="32"/>
          <w:lang w:val="en-US" w:eastAsia="zh-CN" w:bidi="ar"/>
        </w:rPr>
        <w:t>三是“微积分”赋动能。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"/>
        </w:rPr>
        <w:t>推广村规民约积分制，搭建积分兑换爱心超市平台，对热心参与村级事务、公共服务、公益事业的村民实行即时计分，并根据分值兑换相应奖励。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600" w:lineRule="exact"/>
        <w:ind w:right="0" w:rightChars="0" w:firstLine="643" w:firstLineChars="200"/>
        <w:jc w:val="both"/>
        <w:textAlignment w:val="baseline"/>
        <w:outlineLvl w:val="9"/>
        <w:rPr>
          <w:rFonts w:hint="eastAsia" w:ascii="宋体" w:hAnsi="宋体" w:eastAsia="宋体" w:cs="宋体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2"/>
          <w:sz w:val="32"/>
          <w:szCs w:val="32"/>
          <w:lang w:val="en-US" w:eastAsia="zh-CN" w:bidi="ar-SA"/>
        </w:rPr>
        <w:t>3.森林防火方面。</w:t>
      </w:r>
      <w:r>
        <w:rPr>
          <w:rFonts w:hint="eastAsia" w:ascii="宋体" w:hAnsi="宋体" w:eastAsia="宋体" w:cs="宋体"/>
          <w:spacing w:val="2"/>
          <w:sz w:val="32"/>
          <w:szCs w:val="32"/>
        </w:rPr>
        <w:t>强化群防群治、网格化管理，严禁无关人员和一切火源进山入林。镇村均成立消防救援队伍，设立专用消防物资仓库，常年储备了适量的风机、2号扑火把、油锯、专业消防救援服等救援物资。</w:t>
      </w:r>
      <w:r>
        <w:rPr>
          <w:rFonts w:hint="eastAsia" w:ascii="宋体" w:hAnsi="宋体" w:eastAsia="宋体" w:cs="宋体"/>
          <w:spacing w:val="2"/>
          <w:sz w:val="32"/>
          <w:szCs w:val="32"/>
          <w:lang w:val="en-US" w:eastAsia="zh-CN"/>
        </w:rPr>
        <w:t>在全县率先增设红外线语音提示机，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在镇高点装设智能火点监测摄像头，实现全天候监测森林火点情况。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600" w:lineRule="exact"/>
        <w:ind w:left="0" w:leftChars="0" w:firstLine="643" w:firstLineChars="200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kern w:val="2"/>
          <w:sz w:val="32"/>
          <w:szCs w:val="32"/>
          <w:lang w:val="en-US" w:eastAsia="zh-CN" w:bidi="ar-SA"/>
        </w:rPr>
        <w:t>4.商会成立方面。一是高站位筹备。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由党政主要负责人牵头、配合，以各村(社区）为主体，实现全镇干群共同参与。</w:t>
      </w:r>
      <w:r>
        <w:rPr>
          <w:rFonts w:hint="eastAsia" w:ascii="宋体" w:hAnsi="宋体" w:eastAsia="宋体" w:cs="宋体"/>
          <w:b/>
          <w:bCs/>
          <w:kern w:val="2"/>
          <w:sz w:val="32"/>
          <w:szCs w:val="32"/>
          <w:lang w:val="en-US" w:eastAsia="zh-CN" w:bidi="ar-SA"/>
        </w:rPr>
        <w:t>二是高标准推进。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组织人员前往外地学习商会建设有益经验。积极进行乡友乡贤摸底行动，由各党政负责人带队多次前往长沙、北京、广州、厦门、深圳等地开展寓外乡友走访工作，并召开筹备会、座谈会。</w:t>
      </w:r>
      <w:r>
        <w:rPr>
          <w:rFonts w:hint="eastAsia" w:ascii="宋体" w:hAnsi="宋体" w:eastAsia="宋体" w:cs="宋体"/>
          <w:b/>
          <w:bCs/>
          <w:kern w:val="2"/>
          <w:sz w:val="32"/>
          <w:szCs w:val="32"/>
          <w:lang w:val="en-US" w:eastAsia="zh-CN" w:bidi="ar-SA"/>
        </w:rPr>
        <w:t>三是高质量完成。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活动邀请了省市县有关领导，安排了镇域特色文艺汇演，播放了展现镇域特色的宣传片、纪录片。宣读了项目认领情况，举行了现场捐赠仪式。会上，各乡友乡贤借乡镇商会成立的契机开展了项目认领活动，截至2023年年底，认领项目及捐资达55个，总金额达4700多万元。</w:t>
      </w:r>
    </w:p>
    <w:p>
      <w:pPr>
        <w:spacing w:before="220" w:line="600" w:lineRule="exact"/>
        <w:ind w:left="641"/>
        <w:rPr>
          <w:rFonts w:hint="eastAsia" w:ascii="宋体" w:hAnsi="宋体" w:eastAsia="宋体" w:cs="宋体"/>
          <w:spacing w:val="9"/>
          <w:position w:val="21"/>
          <w:sz w:val="32"/>
          <w:szCs w:val="32"/>
        </w:rPr>
      </w:pPr>
      <w:r>
        <w:rPr>
          <w:rFonts w:hint="eastAsia" w:ascii="宋体" w:hAnsi="宋体" w:eastAsia="宋体" w:cs="宋体"/>
          <w:spacing w:val="9"/>
          <w:position w:val="21"/>
          <w:sz w:val="32"/>
          <w:szCs w:val="32"/>
        </w:rPr>
        <w:t>七、存在的问题及原因分析</w:t>
      </w:r>
    </w:p>
    <w:p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3" w:lineRule="atLeast"/>
        <w:ind w:firstLine="640" w:firstLineChars="200"/>
        <w:jc w:val="both"/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1.预算绩效指标体系存在进一步完善的空间，我单位现建立的各项预算绩效目标指标仍有不科学、不细致的地方，影响了预算绩效评价的结果。</w:t>
      </w:r>
    </w:p>
    <w:p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3" w:lineRule="atLeast"/>
        <w:ind w:firstLine="640" w:firstLineChars="200"/>
        <w:jc w:val="both"/>
        <w:rPr>
          <w:rFonts w:hint="eastAsia" w:ascii="宋体" w:hAnsi="宋体" w:eastAsia="宋体" w:cs="宋体"/>
          <w:spacing w:val="9"/>
          <w:position w:val="21"/>
          <w:sz w:val="32"/>
          <w:szCs w:val="32"/>
        </w:rPr>
      </w:pP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2.预算绩效管理经验需要进一步积累。因为预算绩效管理工作具有政策性强、专业性强、涉及面广、操作难度大等特点，经验不足，导致工作多走许多弯路，影响工作效果。</w:t>
      </w:r>
    </w:p>
    <w:p>
      <w:pPr>
        <w:spacing w:line="227" w:lineRule="auto"/>
        <w:ind w:left="643"/>
        <w:rPr>
          <w:rFonts w:hint="eastAsia" w:ascii="宋体" w:hAnsi="宋体" w:eastAsia="宋体" w:cs="宋体"/>
          <w:spacing w:val="8"/>
          <w:sz w:val="32"/>
          <w:szCs w:val="32"/>
        </w:rPr>
      </w:pPr>
      <w:r>
        <w:rPr>
          <w:rFonts w:hint="eastAsia" w:ascii="宋体" w:hAnsi="宋体" w:eastAsia="宋体" w:cs="宋体"/>
          <w:spacing w:val="8"/>
          <w:sz w:val="32"/>
          <w:szCs w:val="32"/>
        </w:rPr>
        <w:t>八、下一步改进措施</w:t>
      </w:r>
    </w:p>
    <w:p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3" w:lineRule="atLeast"/>
        <w:ind w:firstLine="640" w:firstLineChars="200"/>
        <w:jc w:val="both"/>
        <w:rPr>
          <w:rFonts w:hint="default" w:ascii="宋体" w:hAnsi="宋体" w:eastAsia="宋体" w:cs="宋体"/>
          <w:kern w:val="2"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我单位应立足实际，坚持推行精细化管理，强化预算绩效目标管理、细化绩效目标，并将绩效目标细化分解为具体工作计划，同时，计划应明确规定在一定时间内完成的目标、任务和和应达到的要求，任务和要求应具体明确任务数量、质量。建立健全财政各项资金管理制度，严格执行财务管理制度，做到了财务处理及时，会计核算规范，严格按照计划进度支付。各项目资金严格实行专款专用，保证更规范严要求使用资金。在下年度的预算编制工作中，我们会时刻跟踪项目的进度，更好地完成预算资金，做好绩效评价工作。</w:t>
      </w:r>
    </w:p>
    <w:p>
      <w:pPr>
        <w:pStyle w:val="10"/>
        <w:rPr>
          <w:rFonts w:hint="eastAsia"/>
        </w:rPr>
      </w:pPr>
    </w:p>
    <w:p>
      <w:pPr>
        <w:numPr>
          <w:ilvl w:val="0"/>
          <w:numId w:val="3"/>
        </w:numPr>
        <w:spacing w:before="220" w:line="600" w:lineRule="exact"/>
        <w:ind w:left="210" w:leftChars="0" w:firstLineChars="0"/>
        <w:rPr>
          <w:rFonts w:hint="eastAsia" w:ascii="宋体" w:hAnsi="宋体" w:eastAsia="宋体" w:cs="宋体"/>
          <w:spacing w:val="9"/>
          <w:position w:val="21"/>
          <w:sz w:val="32"/>
          <w:szCs w:val="32"/>
        </w:rPr>
      </w:pPr>
      <w:r>
        <w:rPr>
          <w:rFonts w:hint="eastAsia" w:ascii="宋体" w:hAnsi="宋体" w:eastAsia="宋体" w:cs="宋体"/>
          <w:spacing w:val="9"/>
          <w:position w:val="21"/>
          <w:sz w:val="32"/>
          <w:szCs w:val="32"/>
        </w:rPr>
        <w:t>部门整体支出绩效自评结果拟应用和公开情况</w:t>
      </w:r>
    </w:p>
    <w:p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3" w:lineRule="atLeast"/>
        <w:ind w:firstLine="640" w:firstLineChars="200"/>
        <w:jc w:val="both"/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1、在下一年度制定绩效目标时，将对往年的工作程序进行反馈，关注最新的发展变化，制定与时俱进的绩效目标，提高绩效目标的可操作性。</w:t>
      </w:r>
    </w:p>
    <w:p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3" w:lineRule="atLeast"/>
        <w:ind w:firstLine="640" w:firstLineChars="200"/>
        <w:jc w:val="both"/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2、</w:t>
      </w:r>
      <w:r>
        <w:rPr>
          <w:rFonts w:hint="default" w:ascii="宋体" w:hAnsi="宋体" w:eastAsia="宋体" w:cs="宋体"/>
          <w:kern w:val="2"/>
          <w:sz w:val="32"/>
          <w:szCs w:val="32"/>
          <w:lang w:val="en-US" w:eastAsia="zh-CN" w:bidi="ar-SA"/>
        </w:rPr>
        <w:t>拟与预算安排相结合的情况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在</w:t>
      </w:r>
      <w:r>
        <w:rPr>
          <w:rFonts w:hint="default" w:ascii="宋体" w:hAnsi="宋体" w:eastAsia="宋体" w:cs="宋体"/>
          <w:kern w:val="2"/>
          <w:sz w:val="32"/>
          <w:szCs w:val="32"/>
          <w:lang w:val="en-US" w:eastAsia="zh-CN" w:bidi="ar-SA"/>
        </w:rPr>
        <w:t>制定合理、可操作的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绩</w:t>
      </w:r>
      <w:r>
        <w:rPr>
          <w:rFonts w:hint="default" w:ascii="宋体" w:hAnsi="宋体" w:eastAsia="宋体" w:cs="宋体"/>
          <w:kern w:val="2"/>
          <w:sz w:val="32"/>
          <w:szCs w:val="32"/>
          <w:lang w:val="en-US" w:eastAsia="zh-CN" w:bidi="ar-SA"/>
        </w:rPr>
        <w:t>效目标基础上，将根据年度预算情况，加强对预算执行的监控，提高与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相关部门</w:t>
      </w:r>
      <w:r>
        <w:rPr>
          <w:rFonts w:hint="default" w:ascii="宋体" w:hAnsi="宋体" w:eastAsia="宋体" w:cs="宋体"/>
          <w:kern w:val="2"/>
          <w:sz w:val="32"/>
          <w:szCs w:val="32"/>
          <w:lang w:val="en-US" w:eastAsia="zh-CN" w:bidi="ar-SA"/>
        </w:rPr>
        <w:t>的协调配合，跟进资金使用情况，保证资金的执行率，提高资金的使用效益。定期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找</w:t>
      </w:r>
      <w:r>
        <w:rPr>
          <w:rFonts w:hint="default" w:ascii="宋体" w:hAnsi="宋体" w:eastAsia="宋体" w:cs="宋体"/>
          <w:kern w:val="2"/>
          <w:sz w:val="32"/>
          <w:szCs w:val="32"/>
          <w:lang w:val="en-US" w:eastAsia="zh-CN" w:bidi="ar-SA"/>
        </w:rPr>
        <w:t>准资金使用过程中与绩效存在差异的地方，及时修正，保证年度目标绩效能按时完成。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 xml:space="preserve">          </w:t>
      </w:r>
    </w:p>
    <w:p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3" w:lineRule="atLeast"/>
        <w:ind w:firstLine="640" w:firstLineChars="200"/>
        <w:jc w:val="both"/>
        <w:rPr>
          <w:rFonts w:hint="default" w:ascii="宋体" w:hAnsi="宋体" w:eastAsia="宋体" w:cs="宋体"/>
          <w:kern w:val="2"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3、</w:t>
      </w:r>
      <w:r>
        <w:rPr>
          <w:rFonts w:hint="default" w:ascii="宋体" w:hAnsi="宋体" w:eastAsia="宋体" w:cs="宋体"/>
          <w:kern w:val="2"/>
          <w:sz w:val="32"/>
          <w:szCs w:val="32"/>
          <w:lang w:val="en-US" w:eastAsia="zh-CN" w:bidi="ar-SA"/>
        </w:rPr>
        <w:t>拟公开情况按照政府信息公开相关要求，将绩效自评结果在本单位网站上公开。</w:t>
      </w:r>
    </w:p>
    <w:p>
      <w:pPr>
        <w:pStyle w:val="10"/>
        <w:numPr>
          <w:ilvl w:val="0"/>
          <w:numId w:val="0"/>
        </w:numPr>
        <w:ind w:leftChars="400"/>
        <w:rPr>
          <w:rFonts w:hint="eastAsia" w:ascii="宋体" w:hAnsi="宋体" w:eastAsia="宋体" w:cs="宋体"/>
          <w:spacing w:val="9"/>
          <w:position w:val="21"/>
          <w:sz w:val="32"/>
          <w:szCs w:val="32"/>
        </w:rPr>
      </w:pPr>
      <w:r>
        <w:rPr>
          <w:rFonts w:hint="eastAsia" w:ascii="宋体" w:hAnsi="宋体" w:eastAsia="宋体" w:cs="宋体"/>
          <w:spacing w:val="9"/>
          <w:position w:val="21"/>
          <w:sz w:val="32"/>
          <w:szCs w:val="32"/>
        </w:rPr>
        <w:t>十、其他需要说明的情况</w:t>
      </w:r>
    </w:p>
    <w:p>
      <w:pPr>
        <w:spacing w:before="220" w:line="600" w:lineRule="exact"/>
        <w:ind w:left="641"/>
        <w:rPr>
          <w:rFonts w:hint="eastAsia" w:ascii="宋体" w:hAnsi="宋体" w:eastAsia="宋体" w:cs="宋体"/>
          <w:spacing w:val="9"/>
          <w:position w:val="21"/>
          <w:sz w:val="32"/>
          <w:szCs w:val="32"/>
        </w:rPr>
      </w:pPr>
      <w:r>
        <w:rPr>
          <w:rFonts w:hint="eastAsia" w:ascii="宋体" w:hAnsi="宋体" w:eastAsia="宋体" w:cs="宋体"/>
          <w:spacing w:val="9"/>
          <w:position w:val="21"/>
          <w:sz w:val="32"/>
          <w:szCs w:val="32"/>
          <w:lang w:eastAsia="zh-CN"/>
        </w:rPr>
        <w:t>无</w:t>
      </w:r>
      <w:r>
        <w:rPr>
          <w:rFonts w:hint="eastAsia" w:ascii="宋体" w:hAnsi="宋体" w:eastAsia="宋体" w:cs="宋体"/>
          <w:spacing w:val="9"/>
          <w:position w:val="21"/>
          <w:sz w:val="32"/>
          <w:szCs w:val="32"/>
        </w:rPr>
        <w:br w:type="page"/>
      </w:r>
    </w:p>
    <w:p>
      <w:pPr>
        <w:spacing w:before="220" w:line="600" w:lineRule="exact"/>
        <w:ind w:left="641"/>
        <w:rPr>
          <w:rFonts w:hint="eastAsia" w:ascii="宋体" w:hAnsi="宋体" w:eastAsia="宋体" w:cs="宋体"/>
          <w:spacing w:val="9"/>
          <w:position w:val="21"/>
          <w:sz w:val="32"/>
          <w:szCs w:val="32"/>
        </w:rPr>
        <w:sectPr>
          <w:footerReference r:id="rId4" w:type="default"/>
          <w:pgSz w:w="11905" w:h="16838"/>
          <w:pgMar w:top="1984" w:right="1701" w:bottom="1984" w:left="1701" w:header="850" w:footer="992" w:gutter="0"/>
          <w:pgNumType w:fmt="numberInDash"/>
          <w:cols w:space="0" w:num="1"/>
          <w:rtlGutter w:val="0"/>
          <w:docGrid w:type="lines" w:linePitch="314" w:charSpace="0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left"/>
        <w:textAlignment w:val="auto"/>
        <w:rPr>
          <w:rFonts w:hint="eastAsia" w:ascii="宋体" w:hAnsi="宋体" w:eastAsia="宋体" w:cs="宋体"/>
          <w:spacing w:val="-4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spacing w:val="-4"/>
          <w:sz w:val="32"/>
          <w:szCs w:val="32"/>
        </w:rPr>
        <w:t>附件</w:t>
      </w:r>
      <w:r>
        <w:rPr>
          <w:rFonts w:hint="eastAsia" w:ascii="宋体" w:hAnsi="宋体" w:eastAsia="宋体" w:cs="宋体"/>
          <w:spacing w:val="-4"/>
          <w:sz w:val="32"/>
          <w:szCs w:val="32"/>
          <w:lang w:val="en-US" w:eastAsia="zh-CN"/>
        </w:rPr>
        <w:t>4</w:t>
      </w:r>
    </w:p>
    <w:p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80" w:lineRule="exact"/>
        <w:textAlignment w:val="auto"/>
        <w:rPr>
          <w:rFonts w:hint="eastAsia" w:ascii="宋体" w:hAnsi="宋体" w:eastAsia="宋体" w:cs="宋体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宋体" w:hAnsi="宋体" w:eastAsia="宋体" w:cs="宋体"/>
          <w:spacing w:val="6"/>
          <w:sz w:val="44"/>
          <w:szCs w:val="44"/>
        </w:rPr>
      </w:pPr>
      <w:r>
        <w:rPr>
          <w:rFonts w:hint="eastAsia" w:ascii="宋体" w:hAnsi="宋体" w:eastAsia="宋体" w:cs="宋体"/>
          <w:spacing w:val="6"/>
          <w:sz w:val="44"/>
          <w:szCs w:val="44"/>
        </w:rPr>
        <w:t>2023年度部门整体支出绩效自评表</w:t>
      </w:r>
    </w:p>
    <w:p>
      <w:pPr>
        <w:spacing w:line="132" w:lineRule="exact"/>
        <w:rPr>
          <w:rFonts w:hint="eastAsia" w:ascii="宋体" w:hAnsi="宋体" w:eastAsia="宋体" w:cs="宋体"/>
        </w:rPr>
      </w:pPr>
    </w:p>
    <w:tbl>
      <w:tblPr>
        <w:tblStyle w:val="18"/>
        <w:tblW w:w="8609" w:type="dxa"/>
        <w:jc w:val="center"/>
        <w:tblInd w:w="0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21"/>
        <w:gridCol w:w="988"/>
        <w:gridCol w:w="961"/>
        <w:gridCol w:w="33"/>
        <w:gridCol w:w="988"/>
        <w:gridCol w:w="2"/>
        <w:gridCol w:w="1054"/>
        <w:gridCol w:w="997"/>
        <w:gridCol w:w="692"/>
        <w:gridCol w:w="718"/>
        <w:gridCol w:w="1355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</w:tblPrEx>
        <w:trPr>
          <w:trHeight w:val="1029" w:hRule="atLeast"/>
          <w:jc w:val="center"/>
        </w:trPr>
        <w:tc>
          <w:tcPr>
            <w:tcW w:w="277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省级预算部门、单位名称</w:t>
            </w:r>
          </w:p>
        </w:tc>
        <w:tc>
          <w:tcPr>
            <w:tcW w:w="5839" w:type="dxa"/>
            <w:gridSpan w:val="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华容县三封寺镇人民政府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20" w:hRule="atLeast"/>
          <w:jc w:val="center"/>
        </w:trPr>
        <w:tc>
          <w:tcPr>
            <w:tcW w:w="821" w:type="dxa"/>
            <w:vMerge w:val="restart"/>
            <w:tcBorders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年度预算申请（万元）</w:t>
            </w:r>
          </w:p>
        </w:tc>
        <w:tc>
          <w:tcPr>
            <w:tcW w:w="1949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102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年初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预算数</w:t>
            </w:r>
          </w:p>
        </w:tc>
        <w:tc>
          <w:tcPr>
            <w:tcW w:w="1056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全年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预算数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全年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执行数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分值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执行率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自评得分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821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1949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年度资金总额</w:t>
            </w:r>
          </w:p>
        </w:tc>
        <w:tc>
          <w:tcPr>
            <w:tcW w:w="102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903.81</w:t>
            </w:r>
          </w:p>
        </w:tc>
        <w:tc>
          <w:tcPr>
            <w:tcW w:w="1056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3300.67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3300.67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10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821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4026" w:type="dxa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58" w:firstLineChars="28"/>
              <w:jc w:val="both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按收入性质分：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3300.67</w:t>
            </w:r>
          </w:p>
        </w:tc>
        <w:tc>
          <w:tcPr>
            <w:tcW w:w="3762" w:type="dxa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按支出性质分：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3300.67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821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4026" w:type="dxa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firstLine="210" w:firstLineChars="100"/>
              <w:jc w:val="both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其中：一般公共预算：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2710.51</w:t>
            </w:r>
          </w:p>
        </w:tc>
        <w:tc>
          <w:tcPr>
            <w:tcW w:w="3762" w:type="dxa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firstLine="210" w:firstLineChars="100"/>
              <w:jc w:val="left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其中：基本支出：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1099.80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821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4026" w:type="dxa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840" w:firstLineChars="400"/>
              <w:jc w:val="both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政府性基金拨款：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590.16</w:t>
            </w:r>
          </w:p>
        </w:tc>
        <w:tc>
          <w:tcPr>
            <w:tcW w:w="3762" w:type="dxa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firstLine="840" w:firstLineChars="400"/>
              <w:jc w:val="left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项目支出：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2200.87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821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4026" w:type="dxa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840" w:firstLineChars="400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纳入专户管理的非税收入拨款：</w:t>
            </w:r>
          </w:p>
        </w:tc>
        <w:tc>
          <w:tcPr>
            <w:tcW w:w="3762" w:type="dxa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821" w:type="dxa"/>
            <w:vMerge w:val="continue"/>
            <w:tcBorders>
              <w:top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4026" w:type="dxa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840" w:firstLineChars="400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其他资金：</w:t>
            </w:r>
          </w:p>
        </w:tc>
        <w:tc>
          <w:tcPr>
            <w:tcW w:w="3762" w:type="dxa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821" w:type="dxa"/>
            <w:vMerge w:val="restart"/>
            <w:tcBorders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年度</w:t>
            </w: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总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体目标</w:t>
            </w:r>
          </w:p>
        </w:tc>
        <w:tc>
          <w:tcPr>
            <w:tcW w:w="4026" w:type="dxa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预期目标</w:t>
            </w:r>
          </w:p>
        </w:tc>
        <w:tc>
          <w:tcPr>
            <w:tcW w:w="3762" w:type="dxa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实际完成情况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821" w:type="dxa"/>
            <w:vMerge w:val="continue"/>
            <w:tcBorders>
              <w:top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4026" w:type="dxa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1、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铁水联运</w:t>
            </w: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、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墨山旅游度假区项目一期、汇川产业园项目一期、洞庭500kv输变电线路工程等项目征地拆迁任务；2、打造了泰和观光闭环芥菜种植示范区；3、各村均打造了1个示范组和1公里美化路；4、承办全省防返贫监测帮扶现场会，莲花堰村申报为全国巩固拓展脱贫攻坚成果村级实践交流基地</w:t>
            </w:r>
          </w:p>
        </w:tc>
        <w:tc>
          <w:tcPr>
            <w:tcW w:w="3762" w:type="dxa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840" w:firstLineChars="400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按要求已完成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60" w:hRule="atLeast"/>
          <w:jc w:val="center"/>
        </w:trPr>
        <w:tc>
          <w:tcPr>
            <w:tcW w:w="821" w:type="dxa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绩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效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标</w:t>
            </w:r>
          </w:p>
        </w:tc>
        <w:tc>
          <w:tcPr>
            <w:tcW w:w="988" w:type="dxa"/>
            <w:tcBorders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一级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994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二级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99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三级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年度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指标值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实际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完成值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分值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自评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得分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偏差原因分析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及改进措施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产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出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(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3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0分</w:t>
            </w: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）</w:t>
            </w:r>
          </w:p>
        </w:tc>
        <w:tc>
          <w:tcPr>
            <w:tcW w:w="994" w:type="dxa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数量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99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各村均打造了1个示范组和1公里美化路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&gt;=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9公里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9公里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1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早稻集中育秧示范主体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&gt;=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88家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88家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集中育秧面积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&gt;=600亩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615.87亩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质量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99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办公设备利用率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&gt;=90%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0" w:type="dxa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leftChars="0" w:right="0" w:rightChars="0"/>
              <w:jc w:val="left"/>
              <w:textAlignment w:val="center"/>
              <w:rPr>
                <w:rFonts w:hint="eastAsia" w:ascii="新宋体" w:hAnsi="新宋体" w:eastAsia="新宋体" w:cs="新宋体"/>
                <w:color w:val="00000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考核指标对标对表率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&gt;=90%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vMerge w:val="continue"/>
            <w:tcBorders>
              <w:top w:val="nil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完成工作及时率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leftChars="0" w:right="0" w:rightChars="0"/>
              <w:jc w:val="center"/>
              <w:textAlignment w:val="center"/>
              <w:rPr>
                <w:rFonts w:hint="eastAsia" w:ascii="新宋体" w:hAnsi="新宋体" w:eastAsia="新宋体" w:cs="新宋体"/>
                <w:color w:val="00000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&gt;=98%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时效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990" w:type="dxa"/>
            <w:gridSpan w:val="2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leftChars="0" w:right="0" w:rightChars="0"/>
              <w:jc w:val="left"/>
              <w:textAlignment w:val="center"/>
              <w:rPr>
                <w:rFonts w:hint="eastAsia" w:ascii="新宋体" w:hAnsi="新宋体" w:eastAsia="新宋体" w:cs="新宋体"/>
                <w:i w:val="0"/>
                <w:iCs w:val="0"/>
                <w:color w:val="00000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12月30日前预算执行支出率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&gt;=95%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821" w:type="dxa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绩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效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标</w:t>
            </w:r>
          </w:p>
        </w:tc>
        <w:tc>
          <w:tcPr>
            <w:tcW w:w="988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效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益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（30分）</w:t>
            </w:r>
          </w:p>
        </w:tc>
        <w:tc>
          <w:tcPr>
            <w:tcW w:w="9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经济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效益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990" w:type="dxa"/>
            <w:gridSpan w:val="2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商会成立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&gt;=总金额达4700多万元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4700万元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社会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效益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99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  <w:t>社会和谐稳定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  <w:t>=信访维稳，促进和谐稳定%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</w:tblPrEx>
        <w:trPr>
          <w:trHeight w:val="510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生态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效益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99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  <w:t>各村均打造了1个示范组和1公里美化路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  <w:t>=人居环境得到改善%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</w:tblPrEx>
        <w:trPr>
          <w:trHeight w:val="510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可持续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影响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99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  <w:t>全镇经济发展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  <w:t>=促进全镇经济发展%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0" w:lineRule="atLeast"/>
              <w:ind w:left="0" w:leftChars="0" w:right="0" w:rightChars="0"/>
              <w:jc w:val="center"/>
              <w:textAlignment w:val="auto"/>
              <w:rPr>
                <w:rFonts w:hint="default" w:ascii="新宋体" w:hAnsi="新宋体" w:eastAsia="新宋体" w:cs="新宋体"/>
                <w:i w:val="0"/>
                <w:iCs w:val="0"/>
                <w:color w:val="00000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</w:tblPrEx>
        <w:trPr>
          <w:trHeight w:val="510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满意度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（10分）</w:t>
            </w:r>
          </w:p>
        </w:tc>
        <w:tc>
          <w:tcPr>
            <w:tcW w:w="994" w:type="dxa"/>
            <w:gridSpan w:val="2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服务对象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满意度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指标</w:t>
            </w:r>
          </w:p>
        </w:tc>
        <w:tc>
          <w:tcPr>
            <w:tcW w:w="990" w:type="dxa"/>
            <w:gridSpan w:val="2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社会公众满意度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&gt;=95%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93%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8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restart"/>
            <w:tcBorders>
              <w:top w:val="single" w:color="auto" w:sz="4" w:space="0"/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成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本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（2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0分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）</w:t>
            </w:r>
          </w:p>
        </w:tc>
        <w:tc>
          <w:tcPr>
            <w:tcW w:w="994" w:type="dxa"/>
            <w:gridSpan w:val="2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经济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成本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990" w:type="dxa"/>
            <w:gridSpan w:val="2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预算内成本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&gt;=903.81万元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3300.67万元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8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</w:tblPrEx>
        <w:trPr>
          <w:trHeight w:val="510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社会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成本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990" w:type="dxa"/>
            <w:gridSpan w:val="2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财政拨款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=3300.67万元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3300.67万元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821" w:type="dxa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88" w:type="dxa"/>
            <w:vMerge w:val="continue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94" w:type="dxa"/>
            <w:gridSpan w:val="2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生态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环境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成本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990" w:type="dxa"/>
            <w:gridSpan w:val="2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i w:val="0"/>
                <w:iCs w:val="0"/>
                <w:color w:val="000000"/>
                <w:sz w:val="21"/>
                <w:szCs w:val="21"/>
                <w:lang w:val="en-US" w:eastAsia="zh-CN"/>
              </w:rPr>
              <w:t>上级补助收入</w:t>
            </w:r>
          </w:p>
        </w:tc>
        <w:tc>
          <w:tcPr>
            <w:tcW w:w="105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&gt;=95%</w:t>
            </w:r>
          </w:p>
        </w:tc>
        <w:tc>
          <w:tcPr>
            <w:tcW w:w="99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</w:tblPrEx>
        <w:trPr>
          <w:trHeight w:val="510" w:hRule="atLeast"/>
          <w:jc w:val="center"/>
        </w:trPr>
        <w:tc>
          <w:tcPr>
            <w:tcW w:w="5844" w:type="dxa"/>
            <w:gridSpan w:val="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总分</w:t>
            </w:r>
          </w:p>
        </w:tc>
        <w:tc>
          <w:tcPr>
            <w:tcW w:w="69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100</w:t>
            </w:r>
          </w:p>
        </w:tc>
        <w:tc>
          <w:tcPr>
            <w:tcW w:w="7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96</w:t>
            </w:r>
          </w:p>
        </w:tc>
        <w:tc>
          <w:tcPr>
            <w:tcW w:w="13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</w:tbl>
    <w:p>
      <w:pPr>
        <w:rPr>
          <w:rFonts w:hint="eastAsia" w:ascii="宋体" w:hAnsi="宋体" w:eastAsia="宋体" w:cs="宋体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</w:rPr>
        <w:t>填表人：     填报日期：         联系电话：           单位负责人签字：</w:t>
      </w:r>
    </w:p>
    <w:sectPr>
      <w:footerReference r:id="rId5" w:type="default"/>
      <w:pgSz w:w="11905" w:h="16838"/>
      <w:pgMar w:top="1984" w:right="1701" w:bottom="1984" w:left="1701" w:header="850" w:footer="1587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numberInDash"/>
      <w:cols w:space="0" w:num="1"/>
      <w:rtlGutter w:val="0"/>
      <w:docGrid w:type="lines" w:linePitch="314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B98C56C2-EA26-4F0E-B898-638CDCB9EADC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1CE8559D-9B45-4A6E-B6B4-C44E9D9C6E05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E293BD2D-DE17-4947-B9B2-3EA603CFFA74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230E7317-3466-464A-9727-9DA7748FBAD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33C99DE4-0074-4760-9D48-65B44E4389E5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A4190B9D-A019-4D7C-AA6C-255D89504598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auto"/>
    <w:pitch w:val="default"/>
    <w:sig w:usb0="00000000" w:usb1="00000000" w:usb2="00000000" w:usb3="00000000" w:csb0="00000000" w:csb1="00000000"/>
    <w:embedRegular r:id="rId7" w:fontKey="{B8B2FA6F-E414-4B09-9DD3-38C1E5E3F4E2}"/>
  </w:font>
  <w:font w:name="???-18030">
    <w:altName w:val="Segoe Print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方正小标宋简体">
    <w:panose1 w:val="03000509000000000000"/>
    <w:charset w:val="86"/>
    <w:family w:val="auto"/>
    <w:pitch w:val="default"/>
    <w:sig w:usb0="00000000" w:usb1="00000000" w:usb2="00000000" w:usb3="00000000" w:csb0="00000000" w:csb1="00000000"/>
    <w:embedRegular r:id="rId8" w:fontKey="{B6F60B4A-7F34-4331-9AF4-49FD1AD4CF7F}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  <w:embedRegular r:id="rId9" w:fontKey="{B4208B24-C371-45C7-A8F8-C9D2F535375D}"/>
  </w:font>
  <w:font w:name="华文仿宋">
    <w:panose1 w:val="02010600040101010101"/>
    <w:charset w:val="86"/>
    <w:family w:val="auto"/>
    <w:pitch w:val="default"/>
    <w:sig w:usb0="00000000" w:usb1="00000000" w:usb2="00000000" w:usb3="00000000" w:csb0="00000000" w:csb1="00000000"/>
    <w:embedRegular r:id="rId10" w:fontKey="{256111DB-11B6-4330-BB9D-7621B8BCA9D9}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  <w:embedRegular r:id="rId11" w:fontKey="{62B96336-8467-454C-8525-35DEE1964654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spacing w:before="1" w:line="174" w:lineRule="auto"/>
      <w:jc w:val="center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t>7</w:t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s0lY7tAAAAAFAQAADwAAAAAAAAABACAA&#10;AAAiAAAAZHJzL2Rvd25yZXYueG1sUEsBAhQAFAAAAAgAh07iQI3F45UVAgAAFQQAAA4AAAAAAAAA&#10;AQAgAAAAHwEAAGRycy9lMm9Eb2MueG1sUEsFBgAAAAAGAAYAWQEAAKY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</w:pP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t>7</w:t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spacing w:before="1" w:line="174" w:lineRule="auto"/>
      <w:ind w:left="8576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10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s0lY7tAAAAAFAQAADwAAAAAAAAABACAAAAAi&#10;AAAAZHJzL2Rvd25yZXYueG1sUEsBAhQAFAAAAAgAh07iQM9tdHoSAgAAFQQAAA4AAAAAAAAAAQAg&#10;AAAAHwEAAGRycy9lMm9Eb2MueG1sUEsFBgAAAAAGAAYAWQEAAKM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10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spacing w:before="1" w:line="174" w:lineRule="auto"/>
      <w:ind w:left="574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15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zSVju0AAAAAUBAAAPAAAAAAAAAAEAIAAA&#10;ACIAAABkcnMvZG93bnJldi54bWxQSwECFAAUAAAACACHTuJAB2hfnRQCAAAVBAAADgAAAAAAAAAB&#10;ACAAAAAfAQAAZHJzL2Uyb0RvYy54bWxQSwUGAAAAAAYABgBZAQAAp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15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59DE3BD"/>
    <w:multiLevelType w:val="singleLevel"/>
    <w:tmpl w:val="C59DE3BD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E9320B48"/>
    <w:multiLevelType w:val="singleLevel"/>
    <w:tmpl w:val="E9320B48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202DF6D3"/>
    <w:multiLevelType w:val="singleLevel"/>
    <w:tmpl w:val="202DF6D3"/>
    <w:lvl w:ilvl="0" w:tentative="0">
      <w:start w:val="9"/>
      <w:numFmt w:val="chineseCounting"/>
      <w:suff w:val="nothing"/>
      <w:lvlText w:val="%1、"/>
      <w:lvlJc w:val="left"/>
      <w:pPr>
        <w:ind w:left="-431"/>
      </w:pPr>
      <w:rPr>
        <w:rFonts w:hint="eastAsia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bordersDoNotSurroundHeader w:val="0"/>
  <w:bordersDoNotSurroundFooter w:val="0"/>
  <w:documentProtection w:enforcement="0"/>
  <w:defaultTabStop w:val="420"/>
  <w:drawingGridHorizontalSpacing w:val="210"/>
  <w:drawingGridVerticalSpacing w:val="157"/>
  <w:displayHorizontalDrawingGridEvery w:val="1"/>
  <w:displayVerticalDrawingGridEvery w:val="2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NlZWRlN2MwMDUyOTViMmNiNTVjNGIwZmNmOWVjNjMifQ=="/>
    <w:docVar w:name="KSO_WPS_MARK_KEY" w:val="55841f92-a021-4380-99ac-9bd8fcfd3d41"/>
  </w:docVars>
  <w:rsids>
    <w:rsidRoot w:val="0CCB7736"/>
    <w:rsid w:val="00047FEF"/>
    <w:rsid w:val="000A3906"/>
    <w:rsid w:val="001776F1"/>
    <w:rsid w:val="006F0A16"/>
    <w:rsid w:val="00773328"/>
    <w:rsid w:val="00821883"/>
    <w:rsid w:val="00917857"/>
    <w:rsid w:val="00951882"/>
    <w:rsid w:val="00A755C2"/>
    <w:rsid w:val="00D06DD6"/>
    <w:rsid w:val="011D2710"/>
    <w:rsid w:val="016A347B"/>
    <w:rsid w:val="01B42948"/>
    <w:rsid w:val="01BF20E7"/>
    <w:rsid w:val="01E4322D"/>
    <w:rsid w:val="021138F7"/>
    <w:rsid w:val="02B50488"/>
    <w:rsid w:val="0338470A"/>
    <w:rsid w:val="034822A9"/>
    <w:rsid w:val="03D86621"/>
    <w:rsid w:val="04153D40"/>
    <w:rsid w:val="04EE6171"/>
    <w:rsid w:val="05315F6B"/>
    <w:rsid w:val="05395EA9"/>
    <w:rsid w:val="0616597F"/>
    <w:rsid w:val="06426ACC"/>
    <w:rsid w:val="07A62D33"/>
    <w:rsid w:val="086B5F82"/>
    <w:rsid w:val="09E6794E"/>
    <w:rsid w:val="0A067AB9"/>
    <w:rsid w:val="0A465AEA"/>
    <w:rsid w:val="0ABD557B"/>
    <w:rsid w:val="0BBB5A8D"/>
    <w:rsid w:val="0C104906"/>
    <w:rsid w:val="0C607C21"/>
    <w:rsid w:val="0CCB7736"/>
    <w:rsid w:val="0D9E0E8D"/>
    <w:rsid w:val="0E1F65D3"/>
    <w:rsid w:val="0E3E5716"/>
    <w:rsid w:val="0E6B257C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837AA9"/>
    <w:rsid w:val="11963ADD"/>
    <w:rsid w:val="11EB0F5C"/>
    <w:rsid w:val="11F20483"/>
    <w:rsid w:val="12123C76"/>
    <w:rsid w:val="12831010"/>
    <w:rsid w:val="129038DB"/>
    <w:rsid w:val="13441D7E"/>
    <w:rsid w:val="135C1CDB"/>
    <w:rsid w:val="136F31F8"/>
    <w:rsid w:val="138750E0"/>
    <w:rsid w:val="1396506E"/>
    <w:rsid w:val="13D82A59"/>
    <w:rsid w:val="140E6961"/>
    <w:rsid w:val="15604228"/>
    <w:rsid w:val="15A620D3"/>
    <w:rsid w:val="16A3369E"/>
    <w:rsid w:val="16F5004B"/>
    <w:rsid w:val="17114A8B"/>
    <w:rsid w:val="176B77A7"/>
    <w:rsid w:val="178536BD"/>
    <w:rsid w:val="18952734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A34935"/>
    <w:rsid w:val="1D5A640E"/>
    <w:rsid w:val="1E9351E5"/>
    <w:rsid w:val="1F7640EC"/>
    <w:rsid w:val="20176B8B"/>
    <w:rsid w:val="20D30097"/>
    <w:rsid w:val="20D76C5F"/>
    <w:rsid w:val="20E55C2B"/>
    <w:rsid w:val="21057490"/>
    <w:rsid w:val="214A230E"/>
    <w:rsid w:val="21B052C4"/>
    <w:rsid w:val="226C6BA7"/>
    <w:rsid w:val="22B43877"/>
    <w:rsid w:val="22CA430C"/>
    <w:rsid w:val="22DF2F05"/>
    <w:rsid w:val="22FF5445"/>
    <w:rsid w:val="23201E3D"/>
    <w:rsid w:val="2342170A"/>
    <w:rsid w:val="238D0E57"/>
    <w:rsid w:val="24256710"/>
    <w:rsid w:val="251E7983"/>
    <w:rsid w:val="25FE2B31"/>
    <w:rsid w:val="260D5D83"/>
    <w:rsid w:val="260E1D77"/>
    <w:rsid w:val="277A77CA"/>
    <w:rsid w:val="28043432"/>
    <w:rsid w:val="284A2254"/>
    <w:rsid w:val="28E30DCE"/>
    <w:rsid w:val="29165294"/>
    <w:rsid w:val="292F1467"/>
    <w:rsid w:val="29786927"/>
    <w:rsid w:val="297B51B4"/>
    <w:rsid w:val="29E40467"/>
    <w:rsid w:val="29F527E2"/>
    <w:rsid w:val="2A9A1E2C"/>
    <w:rsid w:val="2BF35971"/>
    <w:rsid w:val="2C487650"/>
    <w:rsid w:val="2C5A7AC4"/>
    <w:rsid w:val="2E4F43C0"/>
    <w:rsid w:val="2EC7368E"/>
    <w:rsid w:val="2EDC05D9"/>
    <w:rsid w:val="2F240CAA"/>
    <w:rsid w:val="2F5137B6"/>
    <w:rsid w:val="2FF62815"/>
    <w:rsid w:val="30FB4B41"/>
    <w:rsid w:val="31621165"/>
    <w:rsid w:val="31D50CD0"/>
    <w:rsid w:val="322E1E8E"/>
    <w:rsid w:val="323C5548"/>
    <w:rsid w:val="33235CE2"/>
    <w:rsid w:val="33A4019B"/>
    <w:rsid w:val="33F22F3B"/>
    <w:rsid w:val="34281B05"/>
    <w:rsid w:val="359F2200"/>
    <w:rsid w:val="35A42962"/>
    <w:rsid w:val="36AD0EA9"/>
    <w:rsid w:val="36FF783F"/>
    <w:rsid w:val="37450F88"/>
    <w:rsid w:val="375F1A7E"/>
    <w:rsid w:val="378B026E"/>
    <w:rsid w:val="37B47BE4"/>
    <w:rsid w:val="37D6106F"/>
    <w:rsid w:val="37F52D97"/>
    <w:rsid w:val="38241593"/>
    <w:rsid w:val="38856E40"/>
    <w:rsid w:val="38BE1DF3"/>
    <w:rsid w:val="38F862EB"/>
    <w:rsid w:val="39343807"/>
    <w:rsid w:val="39887BBC"/>
    <w:rsid w:val="3A0F7AD4"/>
    <w:rsid w:val="3A53023B"/>
    <w:rsid w:val="3AF42D2D"/>
    <w:rsid w:val="3B062751"/>
    <w:rsid w:val="3B3A041F"/>
    <w:rsid w:val="3BAE6BF9"/>
    <w:rsid w:val="3BEE0229"/>
    <w:rsid w:val="3C3568D7"/>
    <w:rsid w:val="3CCA47F2"/>
    <w:rsid w:val="3CDE0708"/>
    <w:rsid w:val="3D33006A"/>
    <w:rsid w:val="3D3954D4"/>
    <w:rsid w:val="3D5877DF"/>
    <w:rsid w:val="3D5C4FEC"/>
    <w:rsid w:val="3DAE53BC"/>
    <w:rsid w:val="3DC55CAA"/>
    <w:rsid w:val="3DD556CA"/>
    <w:rsid w:val="3DFE271A"/>
    <w:rsid w:val="3E5F4AE1"/>
    <w:rsid w:val="3F450429"/>
    <w:rsid w:val="3FB6105E"/>
    <w:rsid w:val="3FBF3F86"/>
    <w:rsid w:val="3FF70715"/>
    <w:rsid w:val="3FFD550C"/>
    <w:rsid w:val="4021030A"/>
    <w:rsid w:val="40226C80"/>
    <w:rsid w:val="40C451A5"/>
    <w:rsid w:val="40C671E5"/>
    <w:rsid w:val="41051ABE"/>
    <w:rsid w:val="4156470B"/>
    <w:rsid w:val="41943ACE"/>
    <w:rsid w:val="42521D88"/>
    <w:rsid w:val="425D4066"/>
    <w:rsid w:val="42605E1E"/>
    <w:rsid w:val="430118BA"/>
    <w:rsid w:val="43173FD4"/>
    <w:rsid w:val="43B27D8E"/>
    <w:rsid w:val="43D00200"/>
    <w:rsid w:val="44143822"/>
    <w:rsid w:val="44654A12"/>
    <w:rsid w:val="44E421C9"/>
    <w:rsid w:val="45320384"/>
    <w:rsid w:val="457C5F26"/>
    <w:rsid w:val="4716830A"/>
    <w:rsid w:val="47BF53CA"/>
    <w:rsid w:val="48B126BB"/>
    <w:rsid w:val="49947DA8"/>
    <w:rsid w:val="49CF255F"/>
    <w:rsid w:val="4A3239D7"/>
    <w:rsid w:val="4B2C5DCD"/>
    <w:rsid w:val="4B46D032"/>
    <w:rsid w:val="4B7D1173"/>
    <w:rsid w:val="4BBDFBDE"/>
    <w:rsid w:val="4BCF5C41"/>
    <w:rsid w:val="4C150E22"/>
    <w:rsid w:val="4C6A38FC"/>
    <w:rsid w:val="4CD520DA"/>
    <w:rsid w:val="4CE74BC3"/>
    <w:rsid w:val="4CEEB85C"/>
    <w:rsid w:val="4CF5000E"/>
    <w:rsid w:val="4D6D6EEB"/>
    <w:rsid w:val="4DB17672"/>
    <w:rsid w:val="4DB27F04"/>
    <w:rsid w:val="4F5D15A2"/>
    <w:rsid w:val="4FCB46B2"/>
    <w:rsid w:val="4FFE57BD"/>
    <w:rsid w:val="50AC44C4"/>
    <w:rsid w:val="50EA6DB9"/>
    <w:rsid w:val="50FC089B"/>
    <w:rsid w:val="51453FF0"/>
    <w:rsid w:val="515661FD"/>
    <w:rsid w:val="51714DE5"/>
    <w:rsid w:val="51CA7471"/>
    <w:rsid w:val="521C2FA3"/>
    <w:rsid w:val="522529B2"/>
    <w:rsid w:val="524806C4"/>
    <w:rsid w:val="5301082D"/>
    <w:rsid w:val="5387476B"/>
    <w:rsid w:val="53910AF4"/>
    <w:rsid w:val="53FBDA3F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F72F7C"/>
    <w:rsid w:val="5717642E"/>
    <w:rsid w:val="57946554"/>
    <w:rsid w:val="57D80A00"/>
    <w:rsid w:val="586243BF"/>
    <w:rsid w:val="58FD3402"/>
    <w:rsid w:val="5968027A"/>
    <w:rsid w:val="5AAF7799"/>
    <w:rsid w:val="5AB04BD0"/>
    <w:rsid w:val="5B5C1753"/>
    <w:rsid w:val="5BE211F7"/>
    <w:rsid w:val="5BF510BE"/>
    <w:rsid w:val="5C6C4B26"/>
    <w:rsid w:val="5D03DFF6"/>
    <w:rsid w:val="5D9C3D56"/>
    <w:rsid w:val="5DD775C7"/>
    <w:rsid w:val="5E134100"/>
    <w:rsid w:val="5F7A1C50"/>
    <w:rsid w:val="5FC69000"/>
    <w:rsid w:val="601C4AB5"/>
    <w:rsid w:val="604F2F3E"/>
    <w:rsid w:val="60624663"/>
    <w:rsid w:val="60BE691E"/>
    <w:rsid w:val="60F838FC"/>
    <w:rsid w:val="61444403"/>
    <w:rsid w:val="62265BDF"/>
    <w:rsid w:val="62E1699A"/>
    <w:rsid w:val="62FBC294"/>
    <w:rsid w:val="63123C13"/>
    <w:rsid w:val="637D5875"/>
    <w:rsid w:val="64147F0D"/>
    <w:rsid w:val="64B713E7"/>
    <w:rsid w:val="64D66362"/>
    <w:rsid w:val="65860217"/>
    <w:rsid w:val="659D5052"/>
    <w:rsid w:val="667E0AA1"/>
    <w:rsid w:val="66AE5CE5"/>
    <w:rsid w:val="66D4191C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8D38AE"/>
    <w:rsid w:val="6BA1010E"/>
    <w:rsid w:val="6BC80F42"/>
    <w:rsid w:val="6CE47E41"/>
    <w:rsid w:val="6CED5810"/>
    <w:rsid w:val="6CF92413"/>
    <w:rsid w:val="6DFE5E04"/>
    <w:rsid w:val="6E0D1F7B"/>
    <w:rsid w:val="6E796921"/>
    <w:rsid w:val="6E87203D"/>
    <w:rsid w:val="6F9278BB"/>
    <w:rsid w:val="6FB7D4E3"/>
    <w:rsid w:val="6FBE0EF0"/>
    <w:rsid w:val="6FFF1C22"/>
    <w:rsid w:val="70EC5DDE"/>
    <w:rsid w:val="71572F19"/>
    <w:rsid w:val="719B7427"/>
    <w:rsid w:val="71E33685"/>
    <w:rsid w:val="71F326B3"/>
    <w:rsid w:val="724A6793"/>
    <w:rsid w:val="72647B59"/>
    <w:rsid w:val="7372FC32"/>
    <w:rsid w:val="73A56E44"/>
    <w:rsid w:val="73B12A87"/>
    <w:rsid w:val="741F26FA"/>
    <w:rsid w:val="74470DF8"/>
    <w:rsid w:val="744E1D52"/>
    <w:rsid w:val="74BD60BB"/>
    <w:rsid w:val="74CF0052"/>
    <w:rsid w:val="74FA3C0D"/>
    <w:rsid w:val="751D6EAE"/>
    <w:rsid w:val="75FD1676"/>
    <w:rsid w:val="7687113B"/>
    <w:rsid w:val="76C3247D"/>
    <w:rsid w:val="76EFC8B0"/>
    <w:rsid w:val="776ACBF9"/>
    <w:rsid w:val="77FF7A21"/>
    <w:rsid w:val="7951325E"/>
    <w:rsid w:val="799536BA"/>
    <w:rsid w:val="7B170752"/>
    <w:rsid w:val="7B382425"/>
    <w:rsid w:val="7B8F681B"/>
    <w:rsid w:val="7BC55225"/>
    <w:rsid w:val="7BFF9B5C"/>
    <w:rsid w:val="7C3B673F"/>
    <w:rsid w:val="7CED5089"/>
    <w:rsid w:val="7D8636B9"/>
    <w:rsid w:val="7DD96C0E"/>
    <w:rsid w:val="7E352599"/>
    <w:rsid w:val="7E474F7B"/>
    <w:rsid w:val="7E7F4A49"/>
    <w:rsid w:val="7E8F7AC1"/>
    <w:rsid w:val="7F2BE2DA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qFormat="1" w:unhideWhenUsed="0" w:uiPriority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qFormat="1" w:unhideWhenUsed="0" w:uiPriority="0" w:semiHidden="0" w:name="Body Text First Indent 2"/>
    <w:lsdException w:uiPriority="99" w:name="Note Heading"/>
    <w:lsdException w:uiPriority="99" w:name="Body Text 2"/>
    <w:lsdException w:uiPriority="99" w:name="Body Text 3"/>
    <w:lsdException w:qFormat="1" w:unhideWhenUsed="0" w:uiPriority="0" w:semiHidden="0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locked/>
    <w:uiPriority w:val="0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13">
    <w:name w:val="Default Paragraph Font"/>
    <w:semiHidden/>
    <w:qFormat/>
    <w:uiPriority w:val="99"/>
  </w:style>
  <w:style w:type="table" w:default="1" w:styleId="11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eastAsia="Times New Roman" w:cs="Times New Roman"/>
      <w:sz w:val="20"/>
      <w:szCs w:val="20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semiHidden/>
    <w:qFormat/>
    <w:uiPriority w:val="0"/>
    <w:rPr>
      <w:rFonts w:ascii="仿宋" w:hAnsi="仿宋" w:eastAsia="仿宋" w:cs="仿宋"/>
      <w:sz w:val="31"/>
      <w:szCs w:val="31"/>
      <w:lang w:val="en-US" w:eastAsia="en-US" w:bidi="ar-SA"/>
    </w:rPr>
  </w:style>
  <w:style w:type="paragraph" w:styleId="4">
    <w:name w:val="Body Text Indent"/>
    <w:basedOn w:val="1"/>
    <w:qFormat/>
    <w:uiPriority w:val="0"/>
    <w:pPr>
      <w:spacing w:after="120"/>
      <w:ind w:left="420" w:leftChars="200"/>
    </w:pPr>
    <w:rPr>
      <w:rFonts w:ascii="Times New Roman" w:hAnsi="Times New Roman" w:eastAsia="宋体" w:cs="Times New Roman"/>
    </w:rPr>
  </w:style>
  <w:style w:type="paragraph" w:styleId="5">
    <w:name w:val="Body Text Indent 2"/>
    <w:basedOn w:val="1"/>
    <w:qFormat/>
    <w:uiPriority w:val="0"/>
    <w:pPr>
      <w:spacing w:after="120" w:afterAutospacing="0" w:line="480" w:lineRule="auto"/>
      <w:ind w:left="420" w:leftChars="200"/>
    </w:pPr>
  </w:style>
  <w:style w:type="paragraph" w:styleId="6">
    <w:name w:val="footer"/>
    <w:basedOn w:val="1"/>
    <w:link w:val="15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8">
    <w:name w:val="footnote text"/>
    <w:basedOn w:val="1"/>
    <w:next w:val="1"/>
    <w:qFormat/>
    <w:uiPriority w:val="0"/>
    <w:pPr>
      <w:snapToGrid w:val="0"/>
      <w:jc w:val="left"/>
    </w:pPr>
    <w:rPr>
      <w:sz w:val="18"/>
      <w:szCs w:val="18"/>
    </w:rPr>
  </w:style>
  <w:style w:type="paragraph" w:styleId="9">
    <w:name w:val="Normal (Web)"/>
    <w:basedOn w:val="1"/>
    <w:semiHidden/>
    <w:unhideWhenUsed/>
    <w:qFormat/>
    <w:uiPriority w:val="99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paragraph" w:styleId="10">
    <w:name w:val="Body Text First Indent 2"/>
    <w:basedOn w:val="4"/>
    <w:qFormat/>
    <w:uiPriority w:val="0"/>
    <w:pPr>
      <w:spacing w:before="100" w:beforeAutospacing="1" w:after="0"/>
      <w:ind w:left="0" w:firstLine="420" w:firstLineChars="200"/>
    </w:pPr>
    <w:rPr>
      <w:rFonts w:ascii="Calibri" w:hAnsi="Calibri" w:eastAsia="宋体" w:cs="Times New Roman"/>
    </w:rPr>
  </w:style>
  <w:style w:type="table" w:styleId="12">
    <w:name w:val="Table Grid"/>
    <w:basedOn w:val="11"/>
    <w:qFormat/>
    <w:uiPriority w:val="99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14">
    <w:name w:val="page number"/>
    <w:basedOn w:val="13"/>
    <w:qFormat/>
    <w:uiPriority w:val="99"/>
    <w:rPr>
      <w:rFonts w:cs="Times New Roman"/>
    </w:rPr>
  </w:style>
  <w:style w:type="character" w:customStyle="1" w:styleId="15">
    <w:name w:val="Footer Char"/>
    <w:basedOn w:val="13"/>
    <w:link w:val="6"/>
    <w:semiHidden/>
    <w:qFormat/>
    <w:uiPriority w:val="99"/>
    <w:rPr>
      <w:sz w:val="18"/>
      <w:szCs w:val="18"/>
    </w:rPr>
  </w:style>
  <w:style w:type="character" w:customStyle="1" w:styleId="16">
    <w:name w:val="Header Char"/>
    <w:basedOn w:val="13"/>
    <w:link w:val="7"/>
    <w:semiHidden/>
    <w:qFormat/>
    <w:uiPriority w:val="99"/>
    <w:rPr>
      <w:sz w:val="18"/>
      <w:szCs w:val="18"/>
    </w:rPr>
  </w:style>
  <w:style w:type="paragraph" w:styleId="17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table" w:customStyle="1" w:styleId="18">
    <w:name w:val="Table Normal"/>
    <w:semiHidden/>
    <w:unhideWhenUsed/>
    <w:qFormat/>
    <w:uiPriority w:val="0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9">
    <w:name w:val="Table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  <w:style w:type="paragraph" w:customStyle="1" w:styleId="20">
    <w:name w:val="BodyText"/>
    <w:basedOn w:val="1"/>
    <w:next w:val="21"/>
    <w:qFormat/>
    <w:uiPriority w:val="0"/>
    <w:pPr>
      <w:widowControl/>
      <w:spacing w:before="100" w:beforeAutospacing="1" w:after="120" w:line="560" w:lineRule="exact"/>
      <w:ind w:firstLine="640" w:firstLineChars="200"/>
      <w:textAlignment w:val="baseline"/>
    </w:pPr>
    <w:rPr>
      <w:rFonts w:eastAsia="仿宋_GB2312"/>
      <w:sz w:val="32"/>
      <w:szCs w:val="32"/>
    </w:rPr>
  </w:style>
  <w:style w:type="paragraph" w:customStyle="1" w:styleId="21">
    <w:name w:val="UserStyle_3"/>
    <w:basedOn w:val="1"/>
    <w:qFormat/>
    <w:uiPriority w:val="0"/>
    <w:pPr>
      <w:widowControl/>
      <w:pBdr>
        <w:top w:val="single" w:color="000000" w:sz="4" w:space="0"/>
        <w:left w:val="single" w:color="000000" w:sz="8" w:space="0"/>
        <w:bottom w:val="single" w:color="000000" w:sz="4" w:space="0"/>
        <w:right w:val="single" w:color="000000" w:sz="4" w:space="0"/>
      </w:pBdr>
      <w:spacing w:before="100" w:beforeAutospacing="1" w:after="100" w:afterAutospacing="1" w:line="560" w:lineRule="exact"/>
      <w:ind w:firstLine="640" w:firstLineChars="200"/>
      <w:jc w:val="center"/>
      <w:textAlignment w:val="baseline"/>
    </w:pPr>
    <w:rPr>
      <w:rFonts w:ascii="???-18030" w:hAnsi="???-18030" w:eastAsia="仿宋_GB2312"/>
      <w:kern w:val="0"/>
      <w:sz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12</Pages>
  <Words>4148</Words>
  <Characters>4703</Characters>
  <Lines>0</Lines>
  <Paragraphs>0</Paragraphs>
  <TotalTime>15</TotalTime>
  <ScaleCrop>false</ScaleCrop>
  <LinksUpToDate>false</LinksUpToDate>
  <CharactersWithSpaces>4784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2020-06-06T01:07:00Z</dcterms:created>
  <dc:creator>Administrator</dc:creator>
  <cp:lastModifiedBy>Administrator</cp:lastModifiedBy>
  <cp:lastPrinted>2024-05-20T07:59:00Z</cp:lastPrinted>
  <dcterms:modified xsi:type="dcterms:W3CDTF">2024-05-22T21:49:21Z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2052-11.1.0.9021</vt:lpwstr>
  </property>
  <property fmtid="{D5CDD505-2E9C-101B-9397-08002B2CF9AE}" pid="3" name="KSOSaveFontToCloudKey">
    <vt:lpwstr>386772509_embed</vt:lpwstr>
  </property>
  <property fmtid="{D5CDD505-2E9C-101B-9397-08002B2CF9AE}" pid="4" name="ICV">
    <vt:lpwstr>9CC01C7BD4944ED0AB76D6B45FFD8790_13</vt:lpwstr>
  </property>
</Properties>
</file>