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E2E2C">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30900B47">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华容县财政局（本级）部门决算</w:t>
      </w:r>
    </w:p>
    <w:p w14:paraId="692617E2">
      <w:pPr>
        <w:pStyle w:val="14"/>
        <w:spacing w:line="500" w:lineRule="exact"/>
        <w:jc w:val="both"/>
        <w:rPr>
          <w:b/>
          <w:sz w:val="36"/>
          <w:szCs w:val="28"/>
        </w:rPr>
      </w:pPr>
    </w:p>
    <w:p w14:paraId="74C4D5E4">
      <w:pPr>
        <w:pStyle w:val="14"/>
        <w:spacing w:line="500" w:lineRule="exact"/>
        <w:jc w:val="center"/>
        <w:rPr>
          <w:b/>
          <w:sz w:val="36"/>
          <w:szCs w:val="28"/>
        </w:rPr>
      </w:pPr>
      <w:r>
        <w:rPr>
          <w:rFonts w:hint="eastAsia"/>
          <w:b/>
          <w:sz w:val="36"/>
          <w:szCs w:val="28"/>
        </w:rPr>
        <w:t>目录</w:t>
      </w:r>
    </w:p>
    <w:p w14:paraId="26A6CD29">
      <w:pPr>
        <w:pStyle w:val="14"/>
        <w:spacing w:line="500" w:lineRule="exact"/>
        <w:rPr>
          <w:rFonts w:hAnsi="黑体"/>
          <w:bCs/>
          <w:sz w:val="28"/>
          <w:szCs w:val="28"/>
        </w:rPr>
      </w:pPr>
      <w:r>
        <w:rPr>
          <w:rFonts w:hint="eastAsia" w:hAnsi="黑体"/>
          <w:bCs/>
          <w:sz w:val="28"/>
          <w:szCs w:val="28"/>
        </w:rPr>
        <w:t>第一部分华容县财政局（本级）概况</w:t>
      </w:r>
    </w:p>
    <w:p w14:paraId="2E4D8F0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67889B5">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CC7C0AD">
      <w:pPr>
        <w:pStyle w:val="14"/>
        <w:spacing w:line="500" w:lineRule="exact"/>
        <w:rPr>
          <w:rFonts w:hAnsi="黑体"/>
          <w:bCs/>
          <w:sz w:val="28"/>
          <w:szCs w:val="28"/>
        </w:rPr>
      </w:pPr>
      <w:r>
        <w:rPr>
          <w:rFonts w:hint="eastAsia" w:hAnsi="黑体"/>
          <w:bCs/>
          <w:sz w:val="28"/>
          <w:szCs w:val="28"/>
        </w:rPr>
        <w:t>第二部分部门决算表</w:t>
      </w:r>
    </w:p>
    <w:p w14:paraId="1B144B4A">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A201681">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8B37A6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E13B873">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8027DA3">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CC35E7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9D90B7B">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F7EF868">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CF02CD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6438574">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6B7CFA62">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34C0AAB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6484E99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004CE21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2F3A5A1B">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591A737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1907C2C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02BCCAAC">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2CBC9F02">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101FE5F0">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63B4B13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495564F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5A9744B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09251B75">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35806AE7">
      <w:pPr>
        <w:pStyle w:val="14"/>
        <w:spacing w:line="500" w:lineRule="exact"/>
        <w:rPr>
          <w:rFonts w:hAnsi="黑体"/>
          <w:bCs/>
          <w:sz w:val="28"/>
          <w:szCs w:val="28"/>
        </w:rPr>
      </w:pPr>
      <w:r>
        <w:rPr>
          <w:rFonts w:hint="eastAsia" w:hAnsi="黑体"/>
          <w:bCs/>
          <w:sz w:val="28"/>
          <w:szCs w:val="28"/>
        </w:rPr>
        <w:t>第四部分名词解释</w:t>
      </w:r>
    </w:p>
    <w:p w14:paraId="7500FC04">
      <w:pPr>
        <w:pStyle w:val="14"/>
        <w:spacing w:line="500" w:lineRule="exact"/>
        <w:rPr>
          <w:rFonts w:hAnsi="黑体"/>
          <w:bCs/>
          <w:sz w:val="28"/>
          <w:szCs w:val="28"/>
        </w:rPr>
      </w:pPr>
      <w:r>
        <w:rPr>
          <w:rFonts w:hint="eastAsia" w:hAnsi="黑体"/>
          <w:bCs/>
          <w:sz w:val="28"/>
          <w:szCs w:val="28"/>
        </w:rPr>
        <w:t>第五部分附件</w:t>
      </w:r>
    </w:p>
    <w:p w14:paraId="27A09DD2">
      <w:pPr>
        <w:pStyle w:val="14"/>
        <w:spacing w:line="500" w:lineRule="exact"/>
        <w:rPr>
          <w:rFonts w:hAnsi="黑体"/>
          <w:bCs/>
          <w:sz w:val="28"/>
          <w:szCs w:val="28"/>
        </w:rPr>
      </w:pPr>
    </w:p>
    <w:p w14:paraId="4CF18F7B">
      <w:pPr>
        <w:pStyle w:val="14"/>
        <w:jc w:val="center"/>
        <w:rPr>
          <w:rFonts w:ascii="方正小标宋_GBK" w:hAnsi="方正小标宋_GBK" w:eastAsia="方正小标宋_GBK" w:cs="方正小标宋_GBK"/>
          <w:sz w:val="48"/>
          <w:szCs w:val="48"/>
        </w:rPr>
      </w:pPr>
    </w:p>
    <w:p w14:paraId="77C3E53D">
      <w:pPr>
        <w:pStyle w:val="14"/>
        <w:jc w:val="center"/>
        <w:rPr>
          <w:rFonts w:ascii="方正小标宋_GBK" w:hAnsi="方正小标宋_GBK" w:eastAsia="方正小标宋_GBK" w:cs="方正小标宋_GBK"/>
          <w:sz w:val="48"/>
          <w:szCs w:val="48"/>
        </w:rPr>
      </w:pPr>
    </w:p>
    <w:p w14:paraId="7987C86D">
      <w:pPr>
        <w:pStyle w:val="14"/>
        <w:jc w:val="center"/>
        <w:rPr>
          <w:rFonts w:ascii="方正小标宋_GBK" w:hAnsi="方正小标宋_GBK" w:eastAsia="方正小标宋_GBK" w:cs="方正小标宋_GBK"/>
          <w:sz w:val="48"/>
          <w:szCs w:val="48"/>
        </w:rPr>
      </w:pPr>
    </w:p>
    <w:p w14:paraId="54CF499B">
      <w:pPr>
        <w:pStyle w:val="14"/>
        <w:jc w:val="center"/>
        <w:rPr>
          <w:rFonts w:ascii="方正小标宋_GBK" w:hAnsi="方正小标宋_GBK" w:eastAsia="方正小标宋_GBK" w:cs="方正小标宋_GBK"/>
          <w:sz w:val="48"/>
          <w:szCs w:val="48"/>
        </w:rPr>
      </w:pPr>
    </w:p>
    <w:p w14:paraId="18D1997A">
      <w:pPr>
        <w:pStyle w:val="14"/>
        <w:jc w:val="center"/>
        <w:rPr>
          <w:rFonts w:ascii="方正小标宋_GBK" w:hAnsi="方正小标宋_GBK" w:eastAsia="方正小标宋_GBK" w:cs="方正小标宋_GBK"/>
          <w:sz w:val="48"/>
          <w:szCs w:val="48"/>
        </w:rPr>
      </w:pPr>
    </w:p>
    <w:p w14:paraId="3E8744ED">
      <w:pPr>
        <w:pStyle w:val="14"/>
        <w:jc w:val="center"/>
        <w:rPr>
          <w:rFonts w:ascii="方正小标宋_GBK" w:hAnsi="方正小标宋_GBK" w:eastAsia="方正小标宋_GBK" w:cs="方正小标宋_GBK"/>
          <w:sz w:val="48"/>
          <w:szCs w:val="48"/>
        </w:rPr>
      </w:pPr>
    </w:p>
    <w:p w14:paraId="60B33D11">
      <w:pPr>
        <w:pStyle w:val="14"/>
        <w:jc w:val="center"/>
        <w:rPr>
          <w:rFonts w:ascii="方正小标宋_GBK" w:hAnsi="方正小标宋_GBK" w:eastAsia="方正小标宋_GBK" w:cs="方正小标宋_GBK"/>
          <w:sz w:val="48"/>
          <w:szCs w:val="48"/>
        </w:rPr>
      </w:pPr>
    </w:p>
    <w:p w14:paraId="195F742E">
      <w:pPr>
        <w:pStyle w:val="14"/>
        <w:jc w:val="center"/>
        <w:rPr>
          <w:rFonts w:ascii="方正小标宋_GBK" w:hAnsi="方正小标宋_GBK" w:eastAsia="方正小标宋_GBK" w:cs="方正小标宋_GBK"/>
          <w:sz w:val="48"/>
          <w:szCs w:val="48"/>
        </w:rPr>
      </w:pPr>
    </w:p>
    <w:p w14:paraId="018FD265">
      <w:pPr>
        <w:pStyle w:val="14"/>
        <w:jc w:val="center"/>
        <w:rPr>
          <w:rFonts w:ascii="方正小标宋_GBK" w:hAnsi="方正小标宋_GBK" w:eastAsia="方正小标宋_GBK" w:cs="方正小标宋_GBK"/>
          <w:sz w:val="48"/>
          <w:szCs w:val="48"/>
        </w:rPr>
      </w:pPr>
    </w:p>
    <w:p w14:paraId="71941FAE">
      <w:pPr>
        <w:pStyle w:val="14"/>
        <w:jc w:val="center"/>
        <w:rPr>
          <w:rFonts w:ascii="方正小标宋_GBK" w:hAnsi="方正小标宋_GBK" w:eastAsia="方正小标宋_GBK" w:cs="方正小标宋_GBK"/>
          <w:sz w:val="48"/>
          <w:szCs w:val="48"/>
        </w:rPr>
      </w:pPr>
    </w:p>
    <w:p w14:paraId="5F564410">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0455976A">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rPr>
        <w:t>华容县财政局（本级）概况</w:t>
      </w:r>
    </w:p>
    <w:p w14:paraId="784A1DA9">
      <w:pPr>
        <w:pStyle w:val="15"/>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3C2AFEAC">
      <w:pPr>
        <w:shd w:val="clear" w:color="auto" w:fill="FFFFFF"/>
        <w:ind w:firstLine="641"/>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华容县财政局是负责本县财政收支、财税政策、财政监管、政府采购、投资评审、绩效评价等工作的县政府组成部门。主要职责是：组织开展全县财政工作；分析预测宏观经济形势，参与制定各项宏观经济政策；制定和执行财政、财务、会计管理的制度及办法；承担县本级各项财政收支管理的责任，负责编制年度县本级预决算草案并组织执行；受县人民政府委托，向县人大报告全县预算、预算执行情况和财政总决算。组织制订县本级经费开支标准、定额，负责审核批复部门（单位）的年度预决算；负责制定政府采购制度并实施监督管理；负责办理和监督县财政的经济发展支出、县级政府性投资项目的财政拨款，参与拟订县建设投资的有关政策，组织实施基本建设财务制度；负责有关政策性补贴和专项储备资金财政管理工作；管理县财政社会保障和就业及医疗卫生支出，组织实施社会保障资金（基金）的财务管理制度；负责统一管理县政府外债，制定基本管理制度；负责管理全县的会计工作，监督和规范会计行为；监督检查财税法律法规、政策的执行情况；承办县委、县人民政府交办的其他事项。</w:t>
      </w:r>
    </w:p>
    <w:p w14:paraId="29924F36">
      <w:pPr>
        <w:ind w:firstLine="800" w:firstLineChars="250"/>
        <w:jc w:val="left"/>
        <w:rPr>
          <w:rFonts w:ascii="Times New Roman" w:hAnsi="Times New Roman" w:eastAsia="仿宋_GB2312" w:cs="仿宋_GB2312"/>
          <w:sz w:val="32"/>
          <w:szCs w:val="32"/>
        </w:rPr>
      </w:pPr>
    </w:p>
    <w:p w14:paraId="470086CA">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1B588585">
      <w:pPr>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（一）内设机构设置。华容县财政局</w:t>
      </w:r>
      <w:r>
        <w:rPr>
          <w:rFonts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rPr>
        <w:t>本级</w:t>
      </w:r>
      <w:r>
        <w:rPr>
          <w:rFonts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rPr>
        <w:t>单位内设机构包括：财政局机关</w:t>
      </w:r>
      <w:r>
        <w:rPr>
          <w:rFonts w:ascii="Times New Roman" w:hAnsi="Times New Roman" w:eastAsia="仿宋_GB2312" w:cs="仿宋_GB2312"/>
          <w:bCs/>
          <w:kern w:val="0"/>
          <w:sz w:val="32"/>
          <w:szCs w:val="32"/>
        </w:rPr>
        <w:t>18</w:t>
      </w:r>
      <w:r>
        <w:rPr>
          <w:rFonts w:hint="eastAsia" w:ascii="Times New Roman" w:hAnsi="Times New Roman" w:eastAsia="仿宋_GB2312" w:cs="仿宋_GB2312"/>
          <w:bCs/>
          <w:kern w:val="0"/>
          <w:sz w:val="32"/>
          <w:szCs w:val="32"/>
        </w:rPr>
        <w:t>个内设股室。</w:t>
      </w:r>
    </w:p>
    <w:p w14:paraId="35B3DE12">
      <w:pPr>
        <w:widowControl/>
        <w:spacing w:line="600" w:lineRule="exact"/>
        <w:rPr>
          <w:rFonts w:ascii="Times New Roman" w:hAnsi="Times New Roman" w:eastAsia="仿宋_GB2312" w:cs="仿宋_GB2312"/>
          <w:bCs/>
          <w:kern w:val="0"/>
          <w:sz w:val="32"/>
          <w:szCs w:val="32"/>
        </w:rPr>
      </w:pPr>
    </w:p>
    <w:p w14:paraId="6AE901C4">
      <w:pPr>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（二）决算单位构成。华容县财政局</w:t>
      </w:r>
      <w:r>
        <w:rPr>
          <w:rFonts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rPr>
        <w:t>本级</w:t>
      </w:r>
      <w:r>
        <w:rPr>
          <w:rFonts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rPr>
        <w:t>单位</w:t>
      </w:r>
      <w:r>
        <w:rPr>
          <w:rFonts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rPr>
        <w:t>3年部门决算汇总公开单位构成包括：局机关本级决算（根据财政预算管理制度，所属二级机构为一级预算单位，部门决算报表分别单独公开）。</w:t>
      </w:r>
    </w:p>
    <w:p w14:paraId="54584005">
      <w:pPr>
        <w:widowControl/>
        <w:spacing w:line="600" w:lineRule="exact"/>
        <w:rPr>
          <w:rFonts w:ascii="仿宋_GB2312" w:eastAsia="仿宋_GB2312" w:hAnsiTheme="minorEastAsia"/>
          <w:sz w:val="28"/>
          <w:szCs w:val="32"/>
        </w:rPr>
      </w:pPr>
    </w:p>
    <w:p w14:paraId="681C9379">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4E72A4CD">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55D5CD2A">
      <w:pPr>
        <w:pStyle w:val="14"/>
        <w:jc w:val="center"/>
        <w:rPr>
          <w:rFonts w:hAnsi="黑体"/>
          <w:bCs/>
          <w:color w:val="auto"/>
          <w:kern w:val="2"/>
          <w:sz w:val="32"/>
          <w:szCs w:val="32"/>
        </w:rPr>
      </w:pPr>
      <w:r>
        <w:rPr>
          <w:rFonts w:hint="eastAsia" w:hAnsi="黑体"/>
          <w:bCs/>
          <w:color w:val="auto"/>
          <w:kern w:val="2"/>
          <w:sz w:val="32"/>
          <w:szCs w:val="32"/>
        </w:rPr>
        <w:t>详见附件表格</w:t>
      </w:r>
    </w:p>
    <w:p w14:paraId="06B20AC0">
      <w:pPr>
        <w:pStyle w:val="14"/>
        <w:jc w:val="center"/>
        <w:rPr>
          <w:rFonts w:ascii="方正小标宋_GBK" w:hAnsi="方正小标宋_GBK" w:eastAsia="方正小标宋_GBK" w:cs="方正小标宋_GBK"/>
          <w:sz w:val="48"/>
          <w:szCs w:val="48"/>
        </w:rPr>
      </w:pPr>
    </w:p>
    <w:p w14:paraId="6D9ED219">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066A2B9B">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2023年度部门决算情况说明</w:t>
      </w:r>
    </w:p>
    <w:p w14:paraId="0C9851F0">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4396BF57">
      <w:pPr>
        <w:pStyle w:val="14"/>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2023年度收、支总计2291.86万元。与上年相比，减少448.87万元，减少16.38%，主要是因为年度业务工作任务减少。</w:t>
      </w:r>
    </w:p>
    <w:p w14:paraId="5F391EDD">
      <w:pPr>
        <w:pStyle w:val="14"/>
        <w:spacing w:line="600" w:lineRule="exact"/>
        <w:ind w:firstLine="640" w:firstLineChars="200"/>
        <w:rPr>
          <w:rFonts w:hAnsi="黑体"/>
          <w:bCs/>
          <w:sz w:val="32"/>
          <w:szCs w:val="32"/>
        </w:rPr>
      </w:pPr>
      <w:r>
        <w:rPr>
          <w:rFonts w:hint="eastAsia" w:hAnsi="黑体"/>
          <w:bCs/>
          <w:sz w:val="32"/>
          <w:szCs w:val="32"/>
        </w:rPr>
        <w:t>二、收入决算情况说明</w:t>
      </w:r>
    </w:p>
    <w:p w14:paraId="624B0BCD">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2023年度收入合计2279.59万元，其中：财政拨款收入2277.5万元，占99.91%；其他收入2.08万元，占0.09%。</w:t>
      </w:r>
    </w:p>
    <w:p w14:paraId="303CB47A">
      <w:pPr>
        <w:pStyle w:val="14"/>
        <w:spacing w:line="600" w:lineRule="exact"/>
        <w:ind w:firstLine="640" w:firstLineChars="200"/>
        <w:rPr>
          <w:rFonts w:hAnsi="黑体"/>
          <w:bCs/>
          <w:sz w:val="32"/>
          <w:szCs w:val="32"/>
        </w:rPr>
      </w:pPr>
      <w:r>
        <w:rPr>
          <w:rFonts w:hint="eastAsia" w:hAnsi="黑体"/>
          <w:bCs/>
          <w:sz w:val="32"/>
          <w:szCs w:val="32"/>
        </w:rPr>
        <w:t>三、支出决算情况说明</w:t>
      </w:r>
    </w:p>
    <w:p w14:paraId="22A7DA7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2023年度支出合计2284万元，其中：基本支出1692.2万元，占74.09%；项目支出591.8万元，占25.91%。</w:t>
      </w:r>
    </w:p>
    <w:p w14:paraId="2F000514">
      <w:pPr>
        <w:pStyle w:val="14"/>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1E4D5C3B">
      <w:pPr>
        <w:pStyle w:val="14"/>
        <w:spacing w:line="600" w:lineRule="exact"/>
        <w:rPr>
          <w:rFonts w:ascii="Times New Roman" w:hAnsi="Times New Roman" w:eastAsia="仿宋_GB2312"/>
          <w:sz w:val="32"/>
          <w:szCs w:val="32"/>
          <w:highlight w:val="yellow"/>
        </w:rPr>
      </w:pPr>
      <w:r>
        <w:rPr>
          <w:rFonts w:hint="eastAsia" w:ascii="Times New Roman" w:hAnsi="Times New Roman" w:eastAsia="仿宋_GB2312"/>
          <w:sz w:val="32"/>
          <w:szCs w:val="32"/>
        </w:rPr>
        <w:t xml:space="preserve">    2023年度财政拨款收、支总计2289.77万元，与上年相比，减少440.96万元,减少16.15%，主要是因为年度业务工作任务减少。</w:t>
      </w:r>
    </w:p>
    <w:p w14:paraId="3C38EF18">
      <w:pPr>
        <w:pStyle w:val="14"/>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47CA2B83">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584D2A09">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2023年度财政拨款支出2276.92万元，占本年支出合计的99.69%，与上年相比，财政拨款支出减少436.54万元，减少16.09%，主要是因为年度业务工作任务减少。</w:t>
      </w:r>
    </w:p>
    <w:p w14:paraId="20C53B99">
      <w:pPr>
        <w:pStyle w:val="14"/>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6861207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2023年度财政拨款支出2276.92万元，主要用于以下方面：一般公共服务（类）支出2274.2万元，占99.88%；粮油物资储备（类）支出2.71万元，占0.12%。</w:t>
      </w:r>
    </w:p>
    <w:p w14:paraId="2E58F2A5">
      <w:pPr>
        <w:pStyle w:val="14"/>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473C744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2023年度财政拨款支出年初预算数为1652.99万元，支出决算数为2276.92万元，完成年初预算的137.75%，其中：</w:t>
      </w:r>
    </w:p>
    <w:p w14:paraId="03A07B70">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1、一般公共服务支出（类）财政事务（款）行政运行（项）。</w:t>
      </w:r>
    </w:p>
    <w:p w14:paraId="197384C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年初预算为1652.99万元，支出决算为1617.74万元，完成年初预算的97.87%，决算数小于年初预算数的主要原因是：严格按照预算列支行政运行经费。</w:t>
      </w:r>
    </w:p>
    <w:p w14:paraId="38668B25">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2、一般公共服务支出（类）财政事务（款）机关服务（项）。</w:t>
      </w:r>
    </w:p>
    <w:p w14:paraId="0C60B931">
      <w:pPr>
        <w:ind w:firstLine="64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年初预算为0万元，支出决算为29万元，由于年初预算为0，无法计算百分比。决算数大于年初预算数的主要原因是：业务工作任务增加，调整预算，财政追拨机关服务经费。</w:t>
      </w:r>
      <w:r>
        <w:rPr>
          <w:rFonts w:ascii="Times New Roman" w:hAnsi="Times New Roman" w:eastAsia="仿宋_GB2312"/>
          <w:sz w:val="32"/>
          <w:szCs w:val="32"/>
        </w:rPr>
        <w:t xml:space="preserve">  </w:t>
      </w:r>
    </w:p>
    <w:p w14:paraId="53C755C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3、一般公共服务支出（类）财政事务（款）其他财政事务支出（项）。</w:t>
      </w:r>
    </w:p>
    <w:p w14:paraId="4F59B150">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年初预算为0万元，支出决算为9.76万元，由于年初预算为0，无法计算百分比。决算数大于年初预算数的主要原因是：</w:t>
      </w:r>
      <w:r>
        <w:rPr>
          <w:rFonts w:hint="eastAsia" w:ascii="Times New Roman" w:hAnsi="Times New Roman" w:eastAsia="仿宋_GB2312" w:cstheme="minorBidi"/>
          <w:sz w:val="32"/>
          <w:szCs w:val="32"/>
        </w:rPr>
        <w:t>业务工作任务增加，调整预算，财政追拨</w:t>
      </w:r>
      <w:r>
        <w:rPr>
          <w:rFonts w:hint="eastAsia" w:ascii="Times New Roman" w:hAnsi="Times New Roman" w:eastAsia="仿宋_GB2312"/>
          <w:sz w:val="32"/>
          <w:szCs w:val="32"/>
        </w:rPr>
        <w:t>其他财政事务支出</w:t>
      </w:r>
      <w:r>
        <w:rPr>
          <w:rFonts w:hint="eastAsia" w:ascii="Times New Roman" w:hAnsi="Times New Roman" w:eastAsia="仿宋_GB2312" w:cstheme="minorBidi"/>
          <w:sz w:val="32"/>
          <w:szCs w:val="32"/>
        </w:rPr>
        <w:t>经费</w:t>
      </w:r>
      <w:r>
        <w:rPr>
          <w:rFonts w:hint="eastAsia" w:ascii="Times New Roman" w:hAnsi="Times New Roman" w:eastAsia="仿宋_GB2312"/>
          <w:sz w:val="32"/>
          <w:szCs w:val="32"/>
        </w:rPr>
        <w:t>。</w:t>
      </w:r>
    </w:p>
    <w:p w14:paraId="52616C4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4、一般公共服务支出（类）税收事务（款）其他税收事务支出（项）。</w:t>
      </w:r>
    </w:p>
    <w:p w14:paraId="50D925A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年初预算为0万元，支出决算为495.95万元，由于年初预算为0，无法计算百分比。决算数大于年初预算数的主要原因是：</w:t>
      </w:r>
      <w:r>
        <w:rPr>
          <w:rFonts w:hint="eastAsia" w:ascii="Times New Roman" w:hAnsi="Times New Roman" w:eastAsia="仿宋_GB2312" w:cstheme="minorBidi"/>
          <w:sz w:val="32"/>
          <w:szCs w:val="32"/>
        </w:rPr>
        <w:t>业务工作任务增加，调整预算，财政追拨</w:t>
      </w:r>
      <w:r>
        <w:rPr>
          <w:rFonts w:hint="eastAsia" w:ascii="Times New Roman" w:hAnsi="Times New Roman" w:eastAsia="仿宋_GB2312"/>
          <w:sz w:val="32"/>
          <w:szCs w:val="32"/>
        </w:rPr>
        <w:t>其他税收事务支出</w:t>
      </w:r>
      <w:r>
        <w:rPr>
          <w:rFonts w:hint="eastAsia" w:ascii="Times New Roman" w:hAnsi="Times New Roman" w:eastAsia="仿宋_GB2312" w:cstheme="minorBidi"/>
          <w:sz w:val="32"/>
          <w:szCs w:val="32"/>
        </w:rPr>
        <w:t>经费</w:t>
      </w:r>
      <w:r>
        <w:rPr>
          <w:rFonts w:hint="eastAsia" w:ascii="Times New Roman" w:hAnsi="Times New Roman" w:eastAsia="仿宋_GB2312"/>
          <w:sz w:val="32"/>
          <w:szCs w:val="32"/>
        </w:rPr>
        <w:t>。</w:t>
      </w:r>
    </w:p>
    <w:p w14:paraId="1FD2718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5、一般公共服务支出（类）纪检监察事务（款）行政运行（项）。</w:t>
      </w:r>
    </w:p>
    <w:p w14:paraId="605B985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年初预算为0万元，支出决算为1.85万元，由于年初预算为0，无法计算百分比。决算数大于年初预算数的主要原因是：</w:t>
      </w:r>
      <w:r>
        <w:rPr>
          <w:rFonts w:hint="eastAsia" w:ascii="Times New Roman" w:hAnsi="Times New Roman" w:eastAsia="仿宋_GB2312" w:cstheme="minorBidi"/>
          <w:sz w:val="32"/>
          <w:szCs w:val="32"/>
        </w:rPr>
        <w:t>业务工作任务增加，调整预算，财政追拨</w:t>
      </w:r>
      <w:r>
        <w:rPr>
          <w:rFonts w:hint="eastAsia" w:ascii="Times New Roman" w:hAnsi="Times New Roman" w:eastAsia="仿宋_GB2312"/>
          <w:sz w:val="32"/>
          <w:szCs w:val="32"/>
        </w:rPr>
        <w:t>行政运行</w:t>
      </w:r>
      <w:r>
        <w:rPr>
          <w:rFonts w:hint="eastAsia" w:ascii="Times New Roman" w:hAnsi="Times New Roman" w:eastAsia="仿宋_GB2312" w:cstheme="minorBidi"/>
          <w:sz w:val="32"/>
          <w:szCs w:val="32"/>
        </w:rPr>
        <w:t>经费</w:t>
      </w:r>
      <w:r>
        <w:rPr>
          <w:rFonts w:hint="eastAsia" w:ascii="Times New Roman" w:hAnsi="Times New Roman" w:eastAsia="仿宋_GB2312"/>
          <w:sz w:val="32"/>
          <w:szCs w:val="32"/>
        </w:rPr>
        <w:t>。</w:t>
      </w:r>
    </w:p>
    <w:p w14:paraId="6ED3E48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6、一般公共服务支出（类）商贸事务（款）招商引资（项）。</w:t>
      </w:r>
    </w:p>
    <w:p w14:paraId="7711003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年初预算为0万元，支出决算为24.5万元，由于年初预算为0，无法计算百分比。决算数大于年初预算数的主要原因是：</w:t>
      </w:r>
      <w:r>
        <w:rPr>
          <w:rFonts w:hint="eastAsia" w:ascii="Times New Roman" w:hAnsi="Times New Roman" w:eastAsia="仿宋_GB2312" w:cstheme="minorBidi"/>
          <w:sz w:val="32"/>
          <w:szCs w:val="32"/>
        </w:rPr>
        <w:t>业务工作任务增加，调整预算，财政追拨</w:t>
      </w:r>
      <w:r>
        <w:rPr>
          <w:rFonts w:hint="eastAsia" w:ascii="Times New Roman" w:hAnsi="Times New Roman" w:eastAsia="仿宋_GB2312"/>
          <w:sz w:val="32"/>
          <w:szCs w:val="32"/>
        </w:rPr>
        <w:t>招商引资</w:t>
      </w:r>
      <w:r>
        <w:rPr>
          <w:rFonts w:hint="eastAsia" w:ascii="Times New Roman" w:hAnsi="Times New Roman" w:eastAsia="仿宋_GB2312" w:cstheme="minorBidi"/>
          <w:sz w:val="32"/>
          <w:szCs w:val="32"/>
        </w:rPr>
        <w:t>经费</w:t>
      </w:r>
      <w:r>
        <w:rPr>
          <w:rFonts w:hint="eastAsia" w:ascii="Times New Roman" w:hAnsi="Times New Roman" w:eastAsia="仿宋_GB2312"/>
          <w:sz w:val="32"/>
          <w:szCs w:val="32"/>
        </w:rPr>
        <w:t>。</w:t>
      </w:r>
    </w:p>
    <w:p w14:paraId="35A42DA9">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7、一般公共服务支出（类）其他一般公共服务支出（款）其他一般公共服务支出（项）。</w:t>
      </w:r>
    </w:p>
    <w:p w14:paraId="4338F9E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年初预算为0万元，支出决算为95.4万元，由于年初预算为0，无法计算百分比。决算数大于年初预算数的主要原因是：</w:t>
      </w:r>
      <w:r>
        <w:rPr>
          <w:rFonts w:hint="eastAsia" w:ascii="Times New Roman" w:hAnsi="Times New Roman" w:eastAsia="仿宋_GB2312" w:cstheme="minorBidi"/>
          <w:sz w:val="32"/>
          <w:szCs w:val="32"/>
        </w:rPr>
        <w:t>业务工作任务增加，调整预算，财政追拨</w:t>
      </w:r>
      <w:r>
        <w:rPr>
          <w:rFonts w:hint="eastAsia" w:ascii="Times New Roman" w:hAnsi="Times New Roman" w:eastAsia="仿宋_GB2312"/>
          <w:sz w:val="32"/>
          <w:szCs w:val="32"/>
        </w:rPr>
        <w:t>其他一般公共服务支出</w:t>
      </w:r>
      <w:r>
        <w:rPr>
          <w:rFonts w:hint="eastAsia" w:ascii="Times New Roman" w:hAnsi="Times New Roman" w:eastAsia="仿宋_GB2312" w:cstheme="minorBidi"/>
          <w:sz w:val="32"/>
          <w:szCs w:val="32"/>
        </w:rPr>
        <w:t>经费</w:t>
      </w:r>
      <w:r>
        <w:rPr>
          <w:rFonts w:hint="eastAsia" w:ascii="Times New Roman" w:hAnsi="Times New Roman" w:eastAsia="仿宋_GB2312"/>
          <w:sz w:val="32"/>
          <w:szCs w:val="32"/>
        </w:rPr>
        <w:t>。</w:t>
      </w:r>
    </w:p>
    <w:p w14:paraId="0AE1C2B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8、粮油物资储备支出（类）粮油物资事务（款）其他粮油物资事务支出（项）。</w:t>
      </w:r>
    </w:p>
    <w:p w14:paraId="59C0227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年初预算为0万元，支出决算为2.71万元，由于年初预算为0，无法计算百分比。决算数大于年初预算数的主要原因是：</w:t>
      </w:r>
      <w:r>
        <w:rPr>
          <w:rFonts w:hint="eastAsia" w:ascii="Times New Roman" w:hAnsi="Times New Roman" w:eastAsia="仿宋_GB2312" w:cstheme="minorBidi"/>
          <w:sz w:val="32"/>
          <w:szCs w:val="32"/>
        </w:rPr>
        <w:t>业务工作任务增加，调整预算，财政追拨</w:t>
      </w:r>
      <w:r>
        <w:rPr>
          <w:rFonts w:hint="eastAsia" w:ascii="Times New Roman" w:hAnsi="Times New Roman" w:eastAsia="仿宋_GB2312"/>
          <w:sz w:val="32"/>
          <w:szCs w:val="32"/>
        </w:rPr>
        <w:t>其他粮油物资事务支出</w:t>
      </w:r>
      <w:r>
        <w:rPr>
          <w:rFonts w:hint="eastAsia" w:ascii="Times New Roman" w:hAnsi="Times New Roman" w:eastAsia="仿宋_GB2312" w:cstheme="minorBidi"/>
          <w:sz w:val="32"/>
          <w:szCs w:val="32"/>
        </w:rPr>
        <w:t>经费</w:t>
      </w:r>
      <w:r>
        <w:rPr>
          <w:rFonts w:hint="eastAsia" w:ascii="Times New Roman" w:hAnsi="Times New Roman" w:eastAsia="仿宋_GB2312"/>
          <w:sz w:val="32"/>
          <w:szCs w:val="32"/>
        </w:rPr>
        <w:t>。</w:t>
      </w:r>
    </w:p>
    <w:p w14:paraId="59563FBC">
      <w:pPr>
        <w:pStyle w:val="14"/>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7B3C7492">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2023年度财政拨款基本支出1685.12万元，其中：</w:t>
      </w:r>
    </w:p>
    <w:p w14:paraId="3F49069F">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1177.58万元，占基本支出的69.88%,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0C58C43">
      <w:pPr>
        <w:ind w:firstLine="641"/>
        <w:jc w:val="left"/>
        <w:rPr>
          <w:rFonts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507.54万元，占基本支出的30.12%，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60336810">
      <w:pPr>
        <w:pStyle w:val="14"/>
        <w:spacing w:line="600" w:lineRule="exact"/>
        <w:ind w:firstLine="640" w:firstLineChars="200"/>
        <w:rPr>
          <w:rFonts w:ascii="Times New Roman" w:hAnsi="Times New Roman" w:eastAsia="仿宋_GB2312"/>
          <w:b/>
          <w:color w:val="FF0000"/>
          <w:sz w:val="32"/>
          <w:szCs w:val="32"/>
        </w:rPr>
      </w:pPr>
      <w:r>
        <w:rPr>
          <w:rFonts w:hint="eastAsia" w:hAnsi="黑体"/>
          <w:bCs/>
          <w:sz w:val="32"/>
          <w:szCs w:val="32"/>
        </w:rPr>
        <w:t>七、财政拨款三公经费支出决算情况说明</w:t>
      </w:r>
    </w:p>
    <w:p w14:paraId="42AFB7A9">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079637ED">
      <w:pPr>
        <w:ind w:firstLine="640" w:firstLineChars="200"/>
        <w:rPr>
          <w:rFonts w:ascii="宋体" w:hAnsi="宋体"/>
          <w:color w:val="000000"/>
          <w:sz w:val="32"/>
          <w:szCs w:val="24"/>
        </w:rPr>
      </w:pPr>
      <w:r>
        <w:rPr>
          <w:rFonts w:hint="eastAsia" w:ascii="Times New Roman" w:hAnsi="Times New Roman" w:eastAsia="仿宋_GB2312"/>
          <w:sz w:val="32"/>
          <w:szCs w:val="32"/>
        </w:rPr>
        <w:t>“三公”经费财政拨款支出预算为2万元，支出决算为1.87万元，完成预算的93.5%，决算数小于预算数的主要原因是</w:t>
      </w:r>
      <w:r>
        <w:rPr>
          <w:rFonts w:hint="eastAsia" w:ascii="Times New Roman" w:hAnsi="Times New Roman" w:eastAsia="仿宋_GB2312"/>
          <w:color w:val="000000"/>
          <w:sz w:val="32"/>
          <w:szCs w:val="32"/>
        </w:rPr>
        <w:t>认真贯彻落实</w:t>
      </w:r>
      <w:r>
        <w:rPr>
          <w:rFonts w:hint="eastAsia" w:ascii="Times New Roman" w:hAnsi="Times New Roman" w:eastAsia="仿宋_GB2312"/>
          <w:color w:val="000000"/>
          <w:sz w:val="32"/>
          <w:szCs w:val="32"/>
          <w:lang w:eastAsia="zh-CN"/>
        </w:rPr>
        <w:t>中央八项规定</w:t>
      </w:r>
      <w:r>
        <w:rPr>
          <w:rFonts w:hint="eastAsia" w:ascii="Times New Roman" w:hAnsi="Times New Roman" w:eastAsia="仿宋_GB2312"/>
          <w:color w:val="000000"/>
          <w:sz w:val="32"/>
          <w:szCs w:val="32"/>
        </w:rPr>
        <w:t>精神和厉行节约要求，从严控制“三公”经费开支，全年实际支出比预算有所节约。</w:t>
      </w:r>
      <w:r>
        <w:rPr>
          <w:rFonts w:hint="eastAsia" w:ascii="Times New Roman" w:hAnsi="Times New Roman" w:eastAsia="仿宋_GB2312"/>
          <w:sz w:val="32"/>
          <w:szCs w:val="32"/>
        </w:rPr>
        <w:t>与上年相比减少0.05万元，减少2.6%,减少的主要原因是认真贯彻落实</w:t>
      </w:r>
      <w:r>
        <w:rPr>
          <w:rFonts w:hint="eastAsia" w:ascii="Times New Roman" w:hAnsi="Times New Roman" w:eastAsia="仿宋_GB2312"/>
          <w:sz w:val="32"/>
          <w:szCs w:val="32"/>
          <w:lang w:eastAsia="zh-CN"/>
        </w:rPr>
        <w:t>中央八项规定</w:t>
      </w:r>
      <w:r>
        <w:rPr>
          <w:rFonts w:hint="eastAsia" w:ascii="Times New Roman" w:hAnsi="Times New Roman" w:eastAsia="仿宋_GB2312"/>
          <w:sz w:val="32"/>
          <w:szCs w:val="32"/>
        </w:rPr>
        <w:t>精神和厉行节约要求，从严控制“三公”经费开支，全年实际支出比预算有所节约。</w:t>
      </w:r>
    </w:p>
    <w:p w14:paraId="45DEBDA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其中：</w:t>
      </w:r>
    </w:p>
    <w:p w14:paraId="1AACB42C">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因公出国（境）费支出预算为0万元，支出决算为0万元，完成预算的0%，与上年相比减少0元，减少0%。</w:t>
      </w:r>
    </w:p>
    <w:p w14:paraId="3AB983A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公务接待费支出预算为2万元，支出决算为1.87万元，完成预算的93.5%，与上年相比减少0.05万元，减少2.6%,减少的主要原因是认真贯彻落实</w:t>
      </w:r>
      <w:r>
        <w:rPr>
          <w:rFonts w:hint="eastAsia" w:ascii="Times New Roman" w:hAnsi="Times New Roman" w:eastAsia="仿宋_GB2312"/>
          <w:sz w:val="32"/>
          <w:szCs w:val="32"/>
          <w:lang w:eastAsia="zh-CN"/>
        </w:rPr>
        <w:t>中央八项规定</w:t>
      </w:r>
      <w:r>
        <w:rPr>
          <w:rFonts w:hint="eastAsia" w:ascii="Times New Roman" w:hAnsi="Times New Roman" w:eastAsia="仿宋_GB2312"/>
          <w:sz w:val="32"/>
          <w:szCs w:val="32"/>
        </w:rPr>
        <w:t>精神和厉行节约要求，从严控制“三公”经费开支，全年实际支出比预算有所节约。</w:t>
      </w:r>
    </w:p>
    <w:p w14:paraId="13114ED6">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公务用车购置费支出预算为0万元，支出决算为0万元，完成预算的0%，与上年相比减少0万元，减少0%。</w:t>
      </w:r>
    </w:p>
    <w:p w14:paraId="618D6B45">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公务用车运行维护费支出预算为0万元，支出决算为0万元，完成预算的0%，与上年相比减少0万元，减少0%。</w:t>
      </w:r>
    </w:p>
    <w:p w14:paraId="0F18B3D0">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6B7184F0">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2023年度“三公”经费财政拨款支出决算中，公务接待费支出决算1.87万元，占100%,因公出国（境）费支出决算0万元，占0%,公务用车购置费及运行维护费支出决算0万元，占0%。其中：</w:t>
      </w:r>
    </w:p>
    <w:p w14:paraId="26FDAD4E">
      <w:pPr>
        <w:pStyle w:val="14"/>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r>
        <w:rPr>
          <w:rFonts w:hint="eastAsia" w:ascii="楷体" w:hAnsi="楷体" w:eastAsia="楷体" w:cs="楷体"/>
          <w:b/>
          <w:bCs/>
          <w:i/>
          <w:color w:val="auto"/>
          <w:sz w:val="32"/>
          <w:szCs w:val="32"/>
        </w:rPr>
        <w:t>。</w:t>
      </w:r>
    </w:p>
    <w:p w14:paraId="5B3788A5">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2、公务接待费支出决算为1.87万元，全年共接待来访团组20个、来宾135人次，主要是用于与有关单位交流工作情况及接受相关部门检查指导工作发生的接待支出。</w:t>
      </w:r>
    </w:p>
    <w:p w14:paraId="3BA1640F">
      <w:pPr>
        <w:spacing w:line="600" w:lineRule="exact"/>
        <w:ind w:firstLine="800" w:firstLineChars="250"/>
        <w:rPr>
          <w:rFonts w:ascii="楷体" w:hAnsi="楷体" w:eastAsia="楷体" w:cs="楷体"/>
          <w:b/>
          <w:bCs/>
          <w:i/>
          <w:color w:val="FF0000"/>
          <w:kern w:val="0"/>
          <w:sz w:val="32"/>
          <w:szCs w:val="32"/>
        </w:rPr>
      </w:pPr>
      <w:r>
        <w:rPr>
          <w:rFonts w:hint="eastAsia" w:ascii="Times New Roman" w:hAnsi="Times New Roman" w:eastAsia="仿宋_GB2312"/>
          <w:sz w:val="32"/>
          <w:szCs w:val="32"/>
        </w:rPr>
        <w:t>3、公务用车购置费及运行维护费支出决算为0万元，其中：公务用车购置费0万元</w:t>
      </w:r>
      <w:r>
        <w:rPr>
          <w:rFonts w:hint="eastAsia" w:ascii="Times New Roman" w:hAnsi="Times New Roman" w:eastAsia="仿宋_GB2312"/>
          <w:color w:val="000000" w:themeColor="text1"/>
          <w:sz w:val="32"/>
          <w:szCs w:val="32"/>
        </w:rPr>
        <w:t>。</w:t>
      </w:r>
      <w:r>
        <w:rPr>
          <w:rFonts w:hint="eastAsia" w:ascii="Times New Roman" w:hAnsi="Times New Roman" w:eastAsia="仿宋_GB2312"/>
          <w:sz w:val="32"/>
          <w:szCs w:val="32"/>
        </w:rPr>
        <w:t>公务用车运行维护费0万元。</w:t>
      </w:r>
    </w:p>
    <w:p w14:paraId="2128EE51">
      <w:pPr>
        <w:pStyle w:val="14"/>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17F4BAFB">
      <w:pPr>
        <w:pStyle w:val="14"/>
        <w:spacing w:line="600" w:lineRule="exact"/>
        <w:rPr>
          <w:rFonts w:ascii="楷体" w:hAnsi="楷体" w:eastAsia="楷体" w:cs="楷体"/>
          <w:b/>
          <w:bCs/>
          <w:i/>
          <w:color w:val="FF0000"/>
          <w:sz w:val="32"/>
          <w:szCs w:val="32"/>
        </w:rPr>
      </w:pPr>
      <w:r>
        <w:rPr>
          <w:rFonts w:hint="eastAsia" w:ascii="Times New Roman" w:hAnsi="Times New Roman" w:eastAsia="仿宋_GB2312"/>
          <w:sz w:val="32"/>
          <w:szCs w:val="32"/>
        </w:rPr>
        <w:t xml:space="preserve">     2023年度政府性基金预算财政拨款收入5万元；年初结转和结余0万元；支出5万元，其中基本支出5万元，项目支出0万元；年末结转和结余0万元。具体情况如下：</w:t>
      </w:r>
      <w:r>
        <w:rPr>
          <w:rFonts w:ascii="楷体" w:hAnsi="楷体" w:eastAsia="楷体" w:cs="楷体"/>
          <w:b/>
          <w:bCs/>
          <w:i/>
          <w:color w:val="FF0000"/>
          <w:sz w:val="32"/>
          <w:szCs w:val="32"/>
        </w:rPr>
        <w:t xml:space="preserve"> </w:t>
      </w:r>
    </w:p>
    <w:p w14:paraId="153E6466">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1、其他支出（类）彩票公益金安排的支出（款）用于体育事业的彩票公益金支出（项）。</w:t>
      </w:r>
    </w:p>
    <w:p w14:paraId="66738DC1">
      <w:pPr>
        <w:pStyle w:val="14"/>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年初预算为0万元，支出决算为5万元，由于年初预算为0，无法计算百分比。决算数大于年初预算数的主要原因是：工作任务增加，调整预算，财政追拨体育事业的彩票公益金支出经费。</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20B5ED90">
      <w:pPr>
        <w:pStyle w:val="14"/>
        <w:spacing w:line="600" w:lineRule="exact"/>
        <w:ind w:firstLine="640" w:firstLineChars="200"/>
        <w:rPr>
          <w:rFonts w:hint="eastAsia" w:ascii="Times New Roman" w:hAnsi="Times New Roman" w:eastAsia="仿宋_GB2312"/>
          <w:sz w:val="32"/>
          <w:szCs w:val="32"/>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341E18E4">
      <w:pPr>
        <w:pStyle w:val="14"/>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3EF2E4D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本部门2023年度机关运行经费支出507.54万元，比年初预算数增加320.14万元，增长170.83%。主要原因是：工作任务增加，调整预算，财政追拨了经费。</w:t>
      </w:r>
    </w:p>
    <w:p w14:paraId="551B506D">
      <w:pPr>
        <w:pStyle w:val="14"/>
        <w:spacing w:line="600" w:lineRule="exact"/>
        <w:ind w:firstLine="640" w:firstLineChars="200"/>
        <w:rPr>
          <w:rFonts w:hAnsi="黑体"/>
          <w:bCs/>
          <w:sz w:val="32"/>
          <w:szCs w:val="32"/>
        </w:rPr>
      </w:pPr>
      <w:r>
        <w:rPr>
          <w:rFonts w:hint="eastAsia" w:hAnsi="黑体"/>
          <w:bCs/>
          <w:sz w:val="32"/>
          <w:szCs w:val="32"/>
        </w:rPr>
        <w:t>十</w:t>
      </w:r>
      <w:r>
        <w:rPr>
          <w:rFonts w:hint="eastAsia" w:hAnsi="黑体"/>
          <w:bCs/>
          <w:sz w:val="32"/>
          <w:szCs w:val="32"/>
          <w:lang w:val="en-US" w:eastAsia="zh-CN"/>
        </w:rPr>
        <w:t>一</w:t>
      </w:r>
      <w:r>
        <w:rPr>
          <w:rFonts w:hint="eastAsia" w:hAnsi="黑体"/>
          <w:bCs/>
          <w:sz w:val="32"/>
          <w:szCs w:val="32"/>
        </w:rPr>
        <w:t>、一般性支出情况说明</w:t>
      </w:r>
    </w:p>
    <w:p w14:paraId="798F79D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2023年本部门开支会议费0万元；开支培训费8.6万元，用于开展各业务工作培训，人数770人，内容为预算绩效管理工作培训、债务工作培训、政府采购业务培训、其他财政业务等；</w:t>
      </w:r>
      <w:r>
        <w:rPr>
          <w:rFonts w:ascii="Times New Roman" w:hAnsi="Times New Roman" w:eastAsia="仿宋_GB2312"/>
          <w:sz w:val="32"/>
          <w:szCs w:val="32"/>
        </w:rPr>
        <w:t>202</w:t>
      </w:r>
      <w:r>
        <w:rPr>
          <w:rFonts w:hint="eastAsia" w:ascii="Times New Roman" w:hAnsi="Times New Roman" w:eastAsia="仿宋_GB2312"/>
          <w:sz w:val="32"/>
          <w:szCs w:val="32"/>
        </w:rPr>
        <w:t>3年本部门未举办节庆、晚会、论坛、赛事活动，开支</w:t>
      </w:r>
      <w:r>
        <w:rPr>
          <w:rFonts w:ascii="Times New Roman" w:hAnsi="Times New Roman" w:eastAsia="仿宋_GB2312"/>
          <w:sz w:val="32"/>
          <w:szCs w:val="32"/>
        </w:rPr>
        <w:t>0</w:t>
      </w:r>
      <w:r>
        <w:rPr>
          <w:rFonts w:hint="eastAsia" w:ascii="Times New Roman" w:hAnsi="Times New Roman" w:eastAsia="仿宋_GB2312"/>
          <w:sz w:val="32"/>
          <w:szCs w:val="32"/>
        </w:rPr>
        <w:t>万元。</w:t>
      </w:r>
    </w:p>
    <w:p w14:paraId="3AB05596">
      <w:pPr>
        <w:pStyle w:val="14"/>
        <w:spacing w:line="600" w:lineRule="exact"/>
        <w:ind w:firstLine="640" w:firstLineChars="200"/>
        <w:rPr>
          <w:rFonts w:hAnsi="黑体"/>
          <w:bCs/>
          <w:sz w:val="32"/>
          <w:szCs w:val="32"/>
        </w:rPr>
      </w:pPr>
      <w:r>
        <w:rPr>
          <w:rFonts w:hint="eastAsia" w:hAnsi="黑体"/>
          <w:bCs/>
          <w:sz w:val="32"/>
          <w:szCs w:val="32"/>
        </w:rPr>
        <w:t>十</w:t>
      </w:r>
      <w:r>
        <w:rPr>
          <w:rFonts w:hint="eastAsia" w:hAnsi="黑体"/>
          <w:bCs/>
          <w:sz w:val="32"/>
          <w:szCs w:val="32"/>
          <w:lang w:val="en-US" w:eastAsia="zh-CN"/>
        </w:rPr>
        <w:t>二</w:t>
      </w:r>
      <w:r>
        <w:rPr>
          <w:rFonts w:hint="eastAsia" w:hAnsi="黑体"/>
          <w:bCs/>
          <w:sz w:val="32"/>
          <w:szCs w:val="32"/>
        </w:rPr>
        <w:t>、关于政府采购支出说明</w:t>
      </w:r>
    </w:p>
    <w:p w14:paraId="7615FEC9">
      <w:pPr>
        <w:pStyle w:val="14"/>
        <w:spacing w:line="580" w:lineRule="exact"/>
        <w:ind w:firstLine="640" w:firstLineChars="200"/>
        <w:rPr>
          <w:rFonts w:ascii="楷体" w:hAnsi="楷体" w:eastAsia="楷体" w:cs="楷体"/>
          <w:b/>
          <w:bCs/>
          <w:i/>
          <w:color w:val="FF0000"/>
          <w:sz w:val="32"/>
          <w:szCs w:val="32"/>
        </w:rPr>
      </w:pPr>
      <w:r>
        <w:rPr>
          <w:rFonts w:hint="eastAsia" w:ascii="Times New Roman" w:hAnsi="Times New Roman" w:eastAsia="仿宋_GB2312"/>
          <w:sz w:val="32"/>
          <w:szCs w:val="32"/>
        </w:rPr>
        <w:t>本部门2023年度政府采购支出总额260.43万元，其中：政府采购货物支出32.85万元、政府采购工程支出3.61万元、政府采购服务支出223.97万元。授予中小企业合同金额229.57万元，占政府采购支出总额的88.15%，其中：授予小微企业合同金额173.48万元，</w:t>
      </w:r>
      <w:r>
        <w:rPr>
          <w:rFonts w:hint="eastAsia" w:ascii="Times New Roman" w:hAnsi="Times New Roman" w:eastAsia="仿宋_GB2312"/>
          <w:color w:val="auto"/>
          <w:sz w:val="32"/>
          <w:szCs w:val="32"/>
        </w:rPr>
        <w:t>占授予中小企业合同金额的75.57%。货物采购授予中小企业合同金额占货物支出金额的100%，工程采购授予中小企业合同金额占工程支出金额的100%，服务采购授予中小企业合同金额占服务支出金额的86.22%。</w:t>
      </w:r>
    </w:p>
    <w:p w14:paraId="69933985">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7D663858">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1套。</w:t>
      </w:r>
    </w:p>
    <w:p w14:paraId="40015B8E">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bookmarkStart w:id="0" w:name="_GoBack"/>
      <w:bookmarkEnd w:id="0"/>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32FC7EB2">
      <w:pPr>
        <w:pStyle w:val="14"/>
        <w:numPr>
          <w:ilvl w:val="0"/>
          <w:numId w:val="2"/>
        </w:numPr>
        <w:spacing w:line="580" w:lineRule="exact"/>
        <w:rPr>
          <w:rFonts w:ascii="楷体" w:hAnsi="楷体" w:eastAsia="楷体" w:cs="楷体"/>
          <w:b/>
          <w:bCs/>
          <w:sz w:val="32"/>
          <w:szCs w:val="32"/>
        </w:rPr>
      </w:pPr>
      <w:r>
        <w:rPr>
          <w:rFonts w:hint="eastAsia" w:ascii="楷体" w:hAnsi="楷体" w:eastAsia="楷体" w:cs="楷体"/>
          <w:b/>
          <w:bCs/>
          <w:sz w:val="32"/>
          <w:szCs w:val="32"/>
        </w:rPr>
        <w:t>绩效管理工作开展情况</w:t>
      </w:r>
    </w:p>
    <w:p w14:paraId="6703F235">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过去一年，我单位积极推行绩效管理工作，明确了绩效目标和考核标准，实施了定期的绩效评估与反馈机制。通过优化流程、强化沟通，整体绩效呈现良好态势。未来，我们将持续优化绩效管理策略，以进一步提升绩效水平。</w:t>
      </w:r>
    </w:p>
    <w:p w14:paraId="23C3B1C6">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393290C8">
      <w:pPr>
        <w:pStyle w:val="14"/>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执行了预算政策要求。我局工作经费安排严格按照预算来执行，有效防止了超预算；认真学习财经法规，严格执行财经纪律，防止了违法违纪行为的发生；认真落实了有关资金要求，主动及时上缴了年度结转结余资金。</w:t>
      </w:r>
    </w:p>
    <w:p w14:paraId="64FC26C1">
      <w:pPr>
        <w:pStyle w:val="14"/>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、保障了机关有效运转。严格按照厉行节约的要求，精打细算，规范机关事务管理工作，提高服务质量，降低运行成本，合理配置，提高保障能力。保障了干部待遇按政策发放落实。</w:t>
      </w:r>
    </w:p>
    <w:p w14:paraId="5968C081">
      <w:pPr>
        <w:pStyle w:val="14"/>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加强了干部队伍建设。我局党组认真贯彻落实从严治党各项要求，始终坚持把纪律规矩挺在最前面。不定期开展党风廉政建设专题党课活动，全面贯彻落实习近平新时代中国特色社会主义思想和党的二十大精神，深化推进党风廉政建设和反腐败工作纵深发展。</w:t>
      </w:r>
    </w:p>
    <w:p w14:paraId="65D685CD">
      <w:pPr>
        <w:pStyle w:val="14"/>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w:t>
      </w:r>
      <w:r>
        <w:rPr>
          <w:rFonts w:hint="eastAsia" w:ascii="Times New Roman" w:hAnsi="Times New Roman" w:eastAsia="仿宋_GB2312"/>
          <w:color w:val="auto"/>
          <w:sz w:val="32"/>
          <w:szCs w:val="32"/>
        </w:rPr>
        <w:t>、强化了财政职能工作。顺利推进了税制改革、预算改革、</w:t>
      </w:r>
      <w:r>
        <w:rPr>
          <w:rFonts w:ascii="Times New Roman" w:hAnsi="Times New Roman" w:eastAsia="仿宋_GB2312"/>
          <w:color w:val="auto"/>
          <w:sz w:val="32"/>
          <w:szCs w:val="32"/>
        </w:rPr>
        <w:t>PPP</w:t>
      </w:r>
      <w:r>
        <w:rPr>
          <w:rFonts w:hint="eastAsia" w:ascii="Times New Roman" w:hAnsi="Times New Roman" w:eastAsia="仿宋_GB2312"/>
          <w:color w:val="auto"/>
          <w:sz w:val="32"/>
          <w:szCs w:val="32"/>
        </w:rPr>
        <w:t>工作、政府购买服务等。积极化解了财政风险，强化了债务风险。进一步摸清了全县债务情况，规范了地方政府债务管理，综合债务率逐年下降；积极强化了财政监管，提升了管理水平。</w:t>
      </w:r>
    </w:p>
    <w:p w14:paraId="21144E69">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2D9A4021">
      <w:pPr>
        <w:autoSpaceDE w:val="0"/>
        <w:autoSpaceDN w:val="0"/>
        <w:adjustRightInd w:val="0"/>
        <w:ind w:firstLine="640" w:firstLineChars="200"/>
        <w:jc w:val="left"/>
        <w:rPr>
          <w:rFonts w:ascii="Times New Roman" w:hAnsi="Times New Roman" w:eastAsia="仿宋_GB2312" w:cs="黑体"/>
          <w:kern w:val="0"/>
          <w:sz w:val="32"/>
          <w:szCs w:val="32"/>
        </w:rPr>
      </w:pPr>
      <w:r>
        <w:rPr>
          <w:rFonts w:hint="eastAsia" w:ascii="Times New Roman" w:hAnsi="Times New Roman" w:eastAsia="仿宋_GB2312" w:cs="黑体"/>
          <w:kern w:val="0"/>
          <w:sz w:val="32"/>
          <w:szCs w:val="32"/>
        </w:rPr>
        <w:t>我单位财政支出绩效管理工作还存在绩效目标编制不够全面，绩效指标量化不够，绩效评价手段和方法有待优化，在今后的工作中需要进一步加以改进和完善。建议财政局继续加强对各部门的指导，使项目编制更加符合绩效评价相关要求，提高各部门、实施单位对专项资金使用绩效评价工作，重要意义的认识，牢固树立绩效管理理念，同时进一步提高绩效评价工作方式、方法，将已完成的所有工作绩效成果充分体现出来。</w:t>
      </w:r>
    </w:p>
    <w:p w14:paraId="5FAC18B4">
      <w:pPr>
        <w:pStyle w:val="14"/>
        <w:jc w:val="both"/>
        <w:rPr>
          <w:rFonts w:ascii="Times New Roman" w:hAnsi="Times New Roman" w:eastAsia="仿宋_GB2312"/>
          <w:color w:val="auto"/>
          <w:sz w:val="32"/>
          <w:szCs w:val="32"/>
        </w:rPr>
      </w:pPr>
    </w:p>
    <w:p w14:paraId="426341CC">
      <w:pPr>
        <w:pStyle w:val="14"/>
        <w:jc w:val="center"/>
        <w:rPr>
          <w:rFonts w:ascii="方正小标宋_GBK" w:hAnsi="方正小标宋_GBK" w:eastAsia="方正小标宋_GBK" w:cs="方正小标宋_GBK"/>
          <w:sz w:val="48"/>
          <w:szCs w:val="48"/>
        </w:rPr>
      </w:pPr>
    </w:p>
    <w:p w14:paraId="0834BDE4">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635ED79D">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015A8AB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财政拨款收入：指本级财政当年拨付的资金。</w:t>
      </w:r>
    </w:p>
    <w:p w14:paraId="13F44944">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政府性基金预算财政拨款收入：指本级财政当年拨付的政府性基金预算资金。</w:t>
      </w:r>
    </w:p>
    <w:p w14:paraId="39177146">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其他收入：指除上述“财政拨款收入”、“上级补助收入”、“事业收入”、“经营收入”、“附属单位上缴收入”等以外的收入。</w:t>
      </w:r>
    </w:p>
    <w:p w14:paraId="65C893C8">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上年结转和结余：指以前年度尚未完成、结转到本年按有关规定继续使用的资金。</w:t>
      </w:r>
    </w:p>
    <w:p w14:paraId="38A6B482">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年末结转和结余资金：指本年度或以前年度预算安排、因客观条件发生变化无法按原计划实施，需要延迟到以后年度按有关规定继续使用的资金。</w:t>
      </w:r>
    </w:p>
    <w:p w14:paraId="1D25BA7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792BCA6C">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农林水支出（类）：是指用于农林水事务支出，包括保障机构正常运转、完成日常和特定的工作任务或事业发展目标的支出。</w:t>
      </w:r>
    </w:p>
    <w:p w14:paraId="0B1C9A23">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其他支出（类）：是指用于反映除上述项目以外其他不能划分到具体功能科目中的支出项目，包括保障机构正常运转、完成日常和特定的工作任务或事业发展目标的支出。</w:t>
      </w:r>
    </w:p>
    <w:p w14:paraId="22D19319">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基本支出：指保障机构正常运转、完成支日常工作任务而发生的人员支出和公用支出。</w:t>
      </w:r>
    </w:p>
    <w:p w14:paraId="6413851B">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项目支出：指在基本支出之外为完成特定行政任务和事业发展目标所发生的支出。</w:t>
      </w:r>
    </w:p>
    <w:p w14:paraId="1F596FE9">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0DF5654">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政府采购</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：是指国家各级政府为从事日常的政务活动或为了满足公共服务的目的，利用国家财政性资金和政府借款购买货物、工程和服务的行为。</w:t>
      </w:r>
    </w:p>
    <w:p w14:paraId="13427691">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工资福利支出：反映单位开支的在职职工和编制外长期聘用人员的各类劳动报酬，以及为上述人员缴纳的各项社会保险费等。</w:t>
      </w:r>
    </w:p>
    <w:p w14:paraId="5B8D1E89">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基本工资：反映按规定发放的基本工资，包括公务员的职务工资、级别工资；机关工人的岗位工资、技术等级工资；事业单位工作人员的岗位工资、薪级工资；各类学校毕业生试用期</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见习期</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工资、新参加工作工人学徒期、熟练期工资；军队（武警）军官、文职干部的职务（专业技术等级）工资、军衔（级别）工资、基础工资和军龄工资；军队士官的军衔等级工资、基础工资和军龄工资等。</w:t>
      </w:r>
    </w:p>
    <w:p w14:paraId="4641E5EA">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津贴补贴：反映经国家批准建立的机关事业单位艰苦边远地区津贴、机关工作人员地区附加津贴、机关工作人员岗位津贴、事业单位工作人员特殊岗位津贴补贴等。</w:t>
      </w:r>
    </w:p>
    <w:p w14:paraId="1C486E98">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奖金：反映机关工作人员年终一次性奖金。</w:t>
      </w:r>
    </w:p>
    <w:p w14:paraId="1649275A">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伙食补助费：反映单位发给职工的伙食补助费，如误餐补助等。</w:t>
      </w:r>
    </w:p>
    <w:p w14:paraId="117ADBA3">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机关事业单位基本养老保险缴费：反映机关事业单位缴纳的基本养老保险费。由单位代扣的工作人员基本养老保险缴费，不在此科目反映。</w:t>
      </w:r>
    </w:p>
    <w:p w14:paraId="30154341">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职工基本医疗保险缴费：反映单位为职工缴纳的基本医疗保险费。</w:t>
      </w:r>
    </w:p>
    <w:p w14:paraId="7CC47A95">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其他社会保障缴费：反映单位为职工缴纳的基本医疗、失业、工伤、生育等社会保险费，残疾人就业保障金，军队（含武警）为军人缴纳的伤亡、退役医疗等社会保险费。</w:t>
      </w:r>
    </w:p>
    <w:p w14:paraId="39CD86B7">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住房公积金：反映行政事业单位按人力资源和社会保障部、财政部规定的基本工资和津贴补贴以及规定比例为职工缴纳的住房公积金。</w:t>
      </w:r>
    </w:p>
    <w:p w14:paraId="33258BE6">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F169A57">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商品和服务支出：反映单位购买商品和服务的支出（不包括用于购置固定资产的支出、战略性和应急储备支出）。</w:t>
      </w:r>
    </w:p>
    <w:p w14:paraId="50BE567C">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办公费：反映单位购买按财务会计制度规定不符合固定资产确认标准的日常办公用品、书报杂志等支出。</w:t>
      </w:r>
    </w:p>
    <w:p w14:paraId="2C328DFD">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印刷费：反映单位的印刷费支出。</w:t>
      </w:r>
    </w:p>
    <w:p w14:paraId="5242BD97">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咨询费：反映单位咨询方面的支出。</w:t>
      </w:r>
    </w:p>
    <w:p w14:paraId="0F3EB441">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水费：反映单位支付的水费、污水处理费等支出。</w:t>
      </w:r>
    </w:p>
    <w:p w14:paraId="77464107">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电费：反映单位的电费支出。</w:t>
      </w:r>
    </w:p>
    <w:p w14:paraId="0D08268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邮电费：反映单位开支的信函、包裹、货物等物品的邮寄费及电话费、电报费、传真费、网络通讯费等。</w:t>
      </w:r>
    </w:p>
    <w:p w14:paraId="00003D9C">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物业管理费：反映单位开支的办公用房以及未实行职工住宅物业服务改革的在职职工和离退休人员宿舍等的物业管理费，包括综合治理、绿化、卫生等方面的支出。</w:t>
      </w:r>
    </w:p>
    <w:p w14:paraId="596EF616">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差旅费：反映单位工作人员出差发生的城市间交通费、住宿费、伙食补贴费和市内交通费。</w:t>
      </w:r>
    </w:p>
    <w:p w14:paraId="7E1CD5CC">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维修</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护</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费：反映单位日常开支的固定资产（不包括车船等交通工具）修理和维护费用，网络信息系统运行与维护费用，以及按规定提取的修购基金。</w:t>
      </w:r>
    </w:p>
    <w:p w14:paraId="0C47003F">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租赁费：反映租赁办公用房、宿舍、专用通讯网以及其他设备等方面的费用。</w:t>
      </w:r>
    </w:p>
    <w:p w14:paraId="378D6BBA">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会议费：反映会议中按规定开支的住宿费、伙食费、会议室租金、交通费、文件印刷费、医药费等。</w:t>
      </w:r>
    </w:p>
    <w:p w14:paraId="795F1254">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培训费：反映除因公出国（境）培训费以外的各类培训支出。</w:t>
      </w:r>
    </w:p>
    <w:p w14:paraId="2033C2B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公务接待费：反映单位按规定开支的各类公务接待（含外宾接待）费用。</w:t>
      </w:r>
    </w:p>
    <w:p w14:paraId="763FEA0C">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劳务费：反映支付给单位和个人的劳务费用，如临时聘用人员、钟点工工资，稿费、翻译费，评审费等。</w:t>
      </w:r>
    </w:p>
    <w:p w14:paraId="2DCE70D6">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委托业务费：反映因委托外单位办理业务而支付的委托业务费。</w:t>
      </w:r>
    </w:p>
    <w:p w14:paraId="0E863D5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工会经费：反映单位按规定提取的工会经费。</w:t>
      </w:r>
    </w:p>
    <w:p w14:paraId="5E768475">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其他交通费用：反映单位除公务用车运行维护费以外的其他交通费用。如公务交通补贴，租车费用、出租车费用，飞机、船舶等的燃料费、维修费、保险费等。</w:t>
      </w:r>
    </w:p>
    <w:p w14:paraId="71709FA2">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其他商品和服务支出：反映上述科目未包括的日常公用支出。如行政赔偿费和诉讼费、国内组织的会员费、来访费、广告宣传、其他劳务费及离休人员特需费、公用经费等。</w:t>
      </w:r>
    </w:p>
    <w:p w14:paraId="120CE037">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对个人和家庭的补助：反映政府用于对个人和家庭的补助支出。</w:t>
      </w:r>
    </w:p>
    <w:p w14:paraId="4B1A306F">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抚恤金：反映按规定开支的烈士遗属、牺牲病故人员遗属的一次性和定期抚恤金，伤残人员的抚恤金，离退休人员等其他人员的各项抚恤金。</w:t>
      </w:r>
    </w:p>
    <w:p w14:paraId="2EC0280D">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奖励金：反映政府各部门的奖励支出，如对个体私营经济的奖励、计划生育目标责任奖励、独生子女父母奖励等。</w:t>
      </w:r>
    </w:p>
    <w:p w14:paraId="773289BE">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办公设备购置：反映用于购置并按财务会计制度规定纳入固定资产核算范围的办公家具和办公设备的支出，以及按规定提取的修购基金。</w:t>
      </w:r>
    </w:p>
    <w:p w14:paraId="360A1D28">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5ADBCB4C">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信息网络及软件购置更新：反映政府用于信息网络方面的支出。如计算机硬件、软件购置、开发、应用支出等，如果购建的计算机硬件、软件等不符合财务会计制度规定的固定资产确认标准的，不在此科目反映。</w:t>
      </w:r>
    </w:p>
    <w:p w14:paraId="1CA2AEE0">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办公用房物业管理费、</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公务用车运行维护费以及其他费用。</w:t>
      </w:r>
    </w:p>
    <w:p w14:paraId="31D487E9">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第五部分</w:t>
      </w:r>
    </w:p>
    <w:p w14:paraId="45504547">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附件</w:t>
      </w:r>
    </w:p>
    <w:p w14:paraId="02A20EF8">
      <w:pPr>
        <w:pStyle w:val="14"/>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华容县财政局（本级）2023年度部门决算公开表格</w:t>
      </w:r>
    </w:p>
    <w:p w14:paraId="1709DE46">
      <w:pPr>
        <w:pStyle w:val="14"/>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二、</w:t>
      </w:r>
      <w:r>
        <w:rPr>
          <w:rFonts w:hint="eastAsia" w:ascii="Times New Roman" w:hAnsi="Times New Roman" w:eastAsia="仿宋_GB2312"/>
          <w:sz w:val="32"/>
          <w:szCs w:val="32"/>
        </w:rPr>
        <w:t>2023年度华容县财政局（本级)整体支出绩效自评报告。</w:t>
      </w:r>
    </w:p>
    <w:p w14:paraId="37E14D00">
      <w:pPr>
        <w:pStyle w:val="14"/>
        <w:spacing w:line="600" w:lineRule="exact"/>
        <w:ind w:firstLine="640" w:firstLineChars="200"/>
        <w:rPr>
          <w:rFonts w:ascii="Times New Roman" w:hAnsi="Times New Roman" w:eastAsia="仿宋_GB2312"/>
          <w:sz w:val="32"/>
          <w:szCs w:val="32"/>
        </w:rPr>
      </w:pPr>
    </w:p>
    <w:p w14:paraId="7B169AA8">
      <w:pPr>
        <w:pStyle w:val="14"/>
        <w:jc w:val="center"/>
        <w:rPr>
          <w:sz w:val="72"/>
          <w:szCs w:val="72"/>
        </w:rPr>
      </w:pPr>
    </w:p>
    <w:p w14:paraId="40981AB5">
      <w:pPr>
        <w:pStyle w:val="14"/>
        <w:jc w:val="center"/>
        <w:rPr>
          <w:sz w:val="72"/>
          <w:szCs w:val="72"/>
        </w:rPr>
      </w:pPr>
    </w:p>
    <w:p w14:paraId="2E22400B">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C06A00"/>
    <w:multiLevelType w:val="multilevel"/>
    <w:tmpl w:val="6BC06A00"/>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2CDC"/>
    <w:rsid w:val="00074155"/>
    <w:rsid w:val="0008577F"/>
    <w:rsid w:val="00095FC2"/>
    <w:rsid w:val="000A3F69"/>
    <w:rsid w:val="00103957"/>
    <w:rsid w:val="0012135E"/>
    <w:rsid w:val="00134A97"/>
    <w:rsid w:val="001517BA"/>
    <w:rsid w:val="00152C6D"/>
    <w:rsid w:val="00162D39"/>
    <w:rsid w:val="00163B74"/>
    <w:rsid w:val="001678BD"/>
    <w:rsid w:val="00182373"/>
    <w:rsid w:val="001A67DB"/>
    <w:rsid w:val="001B2A51"/>
    <w:rsid w:val="001C3C29"/>
    <w:rsid w:val="001D51E5"/>
    <w:rsid w:val="001E080D"/>
    <w:rsid w:val="001E53D0"/>
    <w:rsid w:val="001F0C3B"/>
    <w:rsid w:val="00202C82"/>
    <w:rsid w:val="00207A36"/>
    <w:rsid w:val="00214427"/>
    <w:rsid w:val="00221051"/>
    <w:rsid w:val="00226CB7"/>
    <w:rsid w:val="002310B0"/>
    <w:rsid w:val="00236C3D"/>
    <w:rsid w:val="00264552"/>
    <w:rsid w:val="00264EF9"/>
    <w:rsid w:val="00265724"/>
    <w:rsid w:val="002732FF"/>
    <w:rsid w:val="0027426B"/>
    <w:rsid w:val="002B084F"/>
    <w:rsid w:val="002C3E16"/>
    <w:rsid w:val="002E0A30"/>
    <w:rsid w:val="0030018F"/>
    <w:rsid w:val="003023EE"/>
    <w:rsid w:val="003130C4"/>
    <w:rsid w:val="00313B01"/>
    <w:rsid w:val="003158E4"/>
    <w:rsid w:val="00316C4B"/>
    <w:rsid w:val="0032192B"/>
    <w:rsid w:val="0032497F"/>
    <w:rsid w:val="003479BD"/>
    <w:rsid w:val="0035714B"/>
    <w:rsid w:val="0037197D"/>
    <w:rsid w:val="003768D5"/>
    <w:rsid w:val="003926B9"/>
    <w:rsid w:val="003949E8"/>
    <w:rsid w:val="003C47E6"/>
    <w:rsid w:val="003C4FC2"/>
    <w:rsid w:val="003D2DAD"/>
    <w:rsid w:val="00416E61"/>
    <w:rsid w:val="0042790C"/>
    <w:rsid w:val="004506F9"/>
    <w:rsid w:val="00462C61"/>
    <w:rsid w:val="00467DE8"/>
    <w:rsid w:val="004717A2"/>
    <w:rsid w:val="00473DF3"/>
    <w:rsid w:val="00487911"/>
    <w:rsid w:val="00491741"/>
    <w:rsid w:val="004A2B21"/>
    <w:rsid w:val="004B0CEE"/>
    <w:rsid w:val="004F28C7"/>
    <w:rsid w:val="00500E5F"/>
    <w:rsid w:val="00503682"/>
    <w:rsid w:val="005122EF"/>
    <w:rsid w:val="0051364C"/>
    <w:rsid w:val="0051441A"/>
    <w:rsid w:val="00517C33"/>
    <w:rsid w:val="00517D5F"/>
    <w:rsid w:val="00523644"/>
    <w:rsid w:val="005255EF"/>
    <w:rsid w:val="0054069E"/>
    <w:rsid w:val="00544866"/>
    <w:rsid w:val="005755AE"/>
    <w:rsid w:val="005767CC"/>
    <w:rsid w:val="00580C7D"/>
    <w:rsid w:val="00590D9F"/>
    <w:rsid w:val="00595D26"/>
    <w:rsid w:val="005A74E6"/>
    <w:rsid w:val="005B331D"/>
    <w:rsid w:val="005B404E"/>
    <w:rsid w:val="005B5A33"/>
    <w:rsid w:val="005C3282"/>
    <w:rsid w:val="005D4D55"/>
    <w:rsid w:val="005E2CFB"/>
    <w:rsid w:val="005E62B2"/>
    <w:rsid w:val="005F2103"/>
    <w:rsid w:val="005F3D1C"/>
    <w:rsid w:val="00616346"/>
    <w:rsid w:val="0062378F"/>
    <w:rsid w:val="006262D2"/>
    <w:rsid w:val="00641842"/>
    <w:rsid w:val="00651EEC"/>
    <w:rsid w:val="0065652E"/>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50094"/>
    <w:rsid w:val="00784CA4"/>
    <w:rsid w:val="00787B42"/>
    <w:rsid w:val="007A4E2D"/>
    <w:rsid w:val="007B68DA"/>
    <w:rsid w:val="007C4539"/>
    <w:rsid w:val="007E70D0"/>
    <w:rsid w:val="007F3657"/>
    <w:rsid w:val="008109BF"/>
    <w:rsid w:val="00812ED5"/>
    <w:rsid w:val="008277D9"/>
    <w:rsid w:val="0084478C"/>
    <w:rsid w:val="0084749F"/>
    <w:rsid w:val="0086638C"/>
    <w:rsid w:val="00870B6F"/>
    <w:rsid w:val="00896D71"/>
    <w:rsid w:val="008A3E8D"/>
    <w:rsid w:val="008B1C75"/>
    <w:rsid w:val="008C6922"/>
    <w:rsid w:val="009144A0"/>
    <w:rsid w:val="009237C4"/>
    <w:rsid w:val="00944287"/>
    <w:rsid w:val="00944C48"/>
    <w:rsid w:val="00950252"/>
    <w:rsid w:val="00967F5D"/>
    <w:rsid w:val="00991A1F"/>
    <w:rsid w:val="009A0F95"/>
    <w:rsid w:val="009B3ADF"/>
    <w:rsid w:val="009C3B52"/>
    <w:rsid w:val="009E6817"/>
    <w:rsid w:val="009E6E9A"/>
    <w:rsid w:val="00A01D2B"/>
    <w:rsid w:val="00A12731"/>
    <w:rsid w:val="00A15738"/>
    <w:rsid w:val="00A17151"/>
    <w:rsid w:val="00A26204"/>
    <w:rsid w:val="00A42218"/>
    <w:rsid w:val="00A45094"/>
    <w:rsid w:val="00A70249"/>
    <w:rsid w:val="00A70B02"/>
    <w:rsid w:val="00A71D9F"/>
    <w:rsid w:val="00A92E9F"/>
    <w:rsid w:val="00AA5F74"/>
    <w:rsid w:val="00AB18FF"/>
    <w:rsid w:val="00B13991"/>
    <w:rsid w:val="00B13A62"/>
    <w:rsid w:val="00B13A9D"/>
    <w:rsid w:val="00B26015"/>
    <w:rsid w:val="00B33BEA"/>
    <w:rsid w:val="00B57C9F"/>
    <w:rsid w:val="00B60743"/>
    <w:rsid w:val="00B63572"/>
    <w:rsid w:val="00B72B05"/>
    <w:rsid w:val="00B76ECD"/>
    <w:rsid w:val="00B845B3"/>
    <w:rsid w:val="00B85D8B"/>
    <w:rsid w:val="00BA2DDE"/>
    <w:rsid w:val="00BA5F8B"/>
    <w:rsid w:val="00BB4A40"/>
    <w:rsid w:val="00BD343F"/>
    <w:rsid w:val="00BD6C3E"/>
    <w:rsid w:val="00BD7CA8"/>
    <w:rsid w:val="00BE3674"/>
    <w:rsid w:val="00C0307B"/>
    <w:rsid w:val="00C10681"/>
    <w:rsid w:val="00C10E92"/>
    <w:rsid w:val="00C3049A"/>
    <w:rsid w:val="00C31B1E"/>
    <w:rsid w:val="00C36BFE"/>
    <w:rsid w:val="00C40BEF"/>
    <w:rsid w:val="00C7459A"/>
    <w:rsid w:val="00C77645"/>
    <w:rsid w:val="00CE04C3"/>
    <w:rsid w:val="00CE76A0"/>
    <w:rsid w:val="00D148C6"/>
    <w:rsid w:val="00D17A8A"/>
    <w:rsid w:val="00D415BA"/>
    <w:rsid w:val="00D5036B"/>
    <w:rsid w:val="00D63780"/>
    <w:rsid w:val="00D644EE"/>
    <w:rsid w:val="00D719AE"/>
    <w:rsid w:val="00DD06FF"/>
    <w:rsid w:val="00DD5FE9"/>
    <w:rsid w:val="00DE3724"/>
    <w:rsid w:val="00DF4035"/>
    <w:rsid w:val="00E00C7A"/>
    <w:rsid w:val="00E15627"/>
    <w:rsid w:val="00E37D6C"/>
    <w:rsid w:val="00E55B68"/>
    <w:rsid w:val="00E561AE"/>
    <w:rsid w:val="00E67BE6"/>
    <w:rsid w:val="00E717C6"/>
    <w:rsid w:val="00E776A5"/>
    <w:rsid w:val="00E8683C"/>
    <w:rsid w:val="00EA2B72"/>
    <w:rsid w:val="00EF0708"/>
    <w:rsid w:val="00EF5926"/>
    <w:rsid w:val="00F74360"/>
    <w:rsid w:val="00FB462F"/>
    <w:rsid w:val="00FD55A0"/>
    <w:rsid w:val="00FE16FA"/>
    <w:rsid w:val="00FE328A"/>
    <w:rsid w:val="00FE4C4E"/>
    <w:rsid w:val="00FE6269"/>
    <w:rsid w:val="00FF5CD6"/>
    <w:rsid w:val="1D97DEFF"/>
    <w:rsid w:val="1DFF72E5"/>
    <w:rsid w:val="1EFC6F07"/>
    <w:rsid w:val="2FDF85B8"/>
    <w:rsid w:val="2FFFEE04"/>
    <w:rsid w:val="34DF85B0"/>
    <w:rsid w:val="3B8F36BC"/>
    <w:rsid w:val="491FF225"/>
    <w:rsid w:val="4E395582"/>
    <w:rsid w:val="4FFD214C"/>
    <w:rsid w:val="54D139DE"/>
    <w:rsid w:val="5777D4F5"/>
    <w:rsid w:val="59DD8326"/>
    <w:rsid w:val="5DEF592A"/>
    <w:rsid w:val="5FC6BB1E"/>
    <w:rsid w:val="5FF720F1"/>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7953</Words>
  <Characters>8349</Characters>
  <Lines>60</Lines>
  <Paragraphs>17</Paragraphs>
  <TotalTime>0</TotalTime>
  <ScaleCrop>false</ScaleCrop>
  <LinksUpToDate>false</LinksUpToDate>
  <CharactersWithSpaces>8365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2024-09-25T08:53:00Z</cp:lastPrinted>
  <dcterms:modified xsi:type="dcterms:W3CDTF">2025-11-11T13:17:08Z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