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0A355">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2023年度</w:t>
      </w:r>
    </w:p>
    <w:p w14:paraId="6F20F39D">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华容县财政局部门决算</w:t>
      </w:r>
    </w:p>
    <w:p w14:paraId="025E8365">
      <w:pPr>
        <w:pStyle w:val="14"/>
        <w:spacing w:line="500" w:lineRule="exact"/>
        <w:jc w:val="both"/>
        <w:rPr>
          <w:b/>
          <w:sz w:val="36"/>
          <w:szCs w:val="28"/>
        </w:rPr>
      </w:pPr>
    </w:p>
    <w:p w14:paraId="2E2F12B0">
      <w:pPr>
        <w:pStyle w:val="14"/>
        <w:spacing w:line="500" w:lineRule="exact"/>
        <w:jc w:val="center"/>
        <w:rPr>
          <w:b/>
          <w:sz w:val="36"/>
          <w:szCs w:val="28"/>
        </w:rPr>
      </w:pPr>
      <w:r>
        <w:rPr>
          <w:rFonts w:hint="eastAsia"/>
          <w:b/>
          <w:sz w:val="36"/>
          <w:szCs w:val="28"/>
        </w:rPr>
        <w:t>目录</w:t>
      </w:r>
    </w:p>
    <w:p w14:paraId="2D216275">
      <w:pPr>
        <w:pStyle w:val="14"/>
        <w:spacing w:line="500" w:lineRule="exact"/>
        <w:rPr>
          <w:rFonts w:hAnsi="黑体"/>
          <w:bCs/>
          <w:sz w:val="28"/>
          <w:szCs w:val="28"/>
        </w:rPr>
      </w:pPr>
      <w:r>
        <w:rPr>
          <w:rFonts w:hint="eastAsia" w:hAnsi="黑体"/>
          <w:bCs/>
          <w:sz w:val="28"/>
          <w:szCs w:val="28"/>
        </w:rPr>
        <w:t>第一部分华容县财政局概况</w:t>
      </w:r>
    </w:p>
    <w:p w14:paraId="25CD3A1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6002E39">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C2F53C5">
      <w:pPr>
        <w:pStyle w:val="14"/>
        <w:spacing w:line="500" w:lineRule="exact"/>
        <w:rPr>
          <w:rFonts w:hAnsi="黑体"/>
          <w:bCs/>
          <w:sz w:val="28"/>
          <w:szCs w:val="28"/>
        </w:rPr>
      </w:pPr>
      <w:r>
        <w:rPr>
          <w:rFonts w:hint="eastAsia" w:hAnsi="黑体"/>
          <w:bCs/>
          <w:sz w:val="28"/>
          <w:szCs w:val="28"/>
        </w:rPr>
        <w:t>第二部分部门决算表</w:t>
      </w:r>
    </w:p>
    <w:p w14:paraId="2CAC3F9E">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D056851">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8397C7F">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C5DC553">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B233DAF">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D425334">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6E3B59E">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AF8B08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DF6225F">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7D802FF6">
      <w:pPr>
        <w:pStyle w:val="14"/>
        <w:spacing w:line="500" w:lineRule="exact"/>
        <w:rPr>
          <w:rFonts w:hAnsi="黑体"/>
          <w:bCs/>
          <w:sz w:val="28"/>
          <w:szCs w:val="28"/>
        </w:rPr>
      </w:pPr>
      <w:r>
        <w:rPr>
          <w:rFonts w:hint="eastAsia" w:hAnsi="黑体"/>
          <w:bCs/>
          <w:sz w:val="28"/>
          <w:szCs w:val="28"/>
        </w:rPr>
        <w:t>第四部分名词解释</w:t>
      </w:r>
    </w:p>
    <w:p w14:paraId="69D967FD">
      <w:pPr>
        <w:pStyle w:val="14"/>
        <w:spacing w:line="500" w:lineRule="exact"/>
        <w:rPr>
          <w:rFonts w:hAnsi="黑体"/>
          <w:bCs/>
          <w:sz w:val="28"/>
          <w:szCs w:val="28"/>
        </w:rPr>
      </w:pPr>
      <w:r>
        <w:rPr>
          <w:rFonts w:hint="eastAsia" w:hAnsi="黑体"/>
          <w:bCs/>
          <w:sz w:val="28"/>
          <w:szCs w:val="28"/>
        </w:rPr>
        <w:t>第五部分附件</w:t>
      </w:r>
    </w:p>
    <w:p w14:paraId="47FF0525">
      <w:pPr>
        <w:pStyle w:val="14"/>
        <w:spacing w:line="500" w:lineRule="exact"/>
        <w:rPr>
          <w:rFonts w:hAnsi="黑体"/>
          <w:bCs/>
          <w:sz w:val="28"/>
          <w:szCs w:val="28"/>
        </w:rPr>
      </w:pPr>
    </w:p>
    <w:p w14:paraId="7DE75D7F">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555FC6DC">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rPr>
        <w:t>华容县财政局概况</w:t>
      </w:r>
    </w:p>
    <w:p w14:paraId="3B664247">
      <w:pPr>
        <w:pStyle w:val="15"/>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28314E81">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华容县财政局是负责本县财政收支、财税政策、财政监管、政府采购、投资评审、绩效评价等工作的县政府组成部门。主要职责是：组织开展全县财政工作；分析预测宏观经济形势，参与制定各项宏观经济政策；制定和执行财政、财务、会计管理的制度及办法；承担县本级各项财政收支管理的责任，负责编制年度县本级预决算草案并组织执行；受县人民政府委托，向县人大报告全县预算、预算执行情况和财政总决算。组织制订县本级经费开支标准、定额，负责审核批复部门（单位）的年度预决算；负责制定政府采购制度并实施监督管理；负责办理和监督县财政的经济发展支出、县级政府性投资项目的财政拨款，参与拟订县建设投资的有关政策，组织实施基本建设财务制度；负责有关政策性补贴和专项储备资金财政管理工作；管理县财政社会保障和就业及医疗卫生支出，组织实施社会保障资金（基金）的财务管理制度；负责统一管理县政府外债，制定基本管理制度；负责管理全县的会计工作，监督和规范会计行为；监督检查财税法律法规、政策的执行情况；承办县委、县人民政府交办的其他事项。</w:t>
      </w:r>
    </w:p>
    <w:p w14:paraId="1FE035D3">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5169EB10">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0AB2E25C">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华容县财政局内设机构包括：财政局机关</w:t>
      </w:r>
      <w:r>
        <w:rPr>
          <w:rFonts w:ascii="Times New Roman" w:hAnsi="Times New Roman" w:eastAsia="仿宋_GB2312" w:cs="仿宋_GB2312"/>
          <w:bCs/>
          <w:kern w:val="0"/>
          <w:sz w:val="32"/>
          <w:szCs w:val="32"/>
        </w:rPr>
        <w:t>18</w:t>
      </w:r>
      <w:r>
        <w:rPr>
          <w:rFonts w:hint="eastAsia" w:ascii="Times New Roman" w:hAnsi="Times New Roman" w:eastAsia="仿宋_GB2312" w:cs="仿宋_GB2312"/>
          <w:bCs/>
          <w:kern w:val="0"/>
          <w:sz w:val="32"/>
          <w:szCs w:val="32"/>
        </w:rPr>
        <w:t>个内设股室， 4个独立核算所属二级机构乡镇财政服务中心、财政事务中心、财政国库集中支付中心、财政投资评审中心。</w:t>
      </w:r>
    </w:p>
    <w:p w14:paraId="585756F8">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11E0C8A3">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华容县财政局单位</w:t>
      </w:r>
      <w:r>
        <w:rPr>
          <w:rFonts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rPr>
        <w:t>3年部门决算汇总公开单位构成包括：局机关本级及4个二级机构乡镇财政服务中心、国库集中支付管理中心、财政事务中心、财政投资评审中心决算。</w:t>
      </w:r>
    </w:p>
    <w:p w14:paraId="148E40DD">
      <w:pPr>
        <w:widowControl/>
        <w:spacing w:line="600" w:lineRule="exact"/>
        <w:rPr>
          <w:rFonts w:ascii="Times New Roman" w:hAnsi="Times New Roman" w:eastAsia="仿宋_GB2312" w:cs="仿宋_GB2312"/>
          <w:bCs/>
          <w:kern w:val="0"/>
          <w:sz w:val="32"/>
          <w:szCs w:val="32"/>
        </w:rPr>
      </w:pPr>
    </w:p>
    <w:p w14:paraId="518D3841">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5E01ECDA">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5BB3296D">
      <w:pPr>
        <w:pStyle w:val="14"/>
        <w:jc w:val="center"/>
        <w:rPr>
          <w:rFonts w:hAnsi="黑体"/>
          <w:bCs/>
          <w:color w:val="auto"/>
          <w:kern w:val="2"/>
          <w:sz w:val="32"/>
          <w:szCs w:val="32"/>
        </w:rPr>
      </w:pPr>
      <w:r>
        <w:rPr>
          <w:rFonts w:hint="eastAsia" w:hAnsi="黑体"/>
          <w:bCs/>
          <w:color w:val="auto"/>
          <w:kern w:val="2"/>
          <w:sz w:val="32"/>
          <w:szCs w:val="32"/>
        </w:rPr>
        <w:t>详见附件表格</w:t>
      </w:r>
    </w:p>
    <w:p w14:paraId="14C8F50E">
      <w:pPr>
        <w:pStyle w:val="14"/>
        <w:jc w:val="center"/>
        <w:rPr>
          <w:rFonts w:ascii="方正小标宋_GBK" w:hAnsi="方正小标宋_GBK" w:eastAsia="方正小标宋_GBK" w:cs="方正小标宋_GBK"/>
          <w:sz w:val="48"/>
          <w:szCs w:val="48"/>
        </w:rPr>
      </w:pPr>
    </w:p>
    <w:p w14:paraId="4C0B5A7E">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6631C925">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2023年度部门决算情况说明</w:t>
      </w:r>
    </w:p>
    <w:p w14:paraId="09CBAA79">
      <w:pPr>
        <w:widowControl/>
        <w:jc w:val="left"/>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70990326">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2023年度收、支总计3280.36万元。与上年相比，减少102.51万元，减少3.03%，主要是因为年度业务工作任务减少。</w:t>
      </w:r>
    </w:p>
    <w:p w14:paraId="1B516871">
      <w:pPr>
        <w:pStyle w:val="14"/>
        <w:spacing w:line="600" w:lineRule="exact"/>
        <w:rPr>
          <w:rFonts w:hAnsi="黑体"/>
          <w:bCs/>
          <w:sz w:val="32"/>
          <w:szCs w:val="32"/>
        </w:rPr>
      </w:pPr>
      <w:r>
        <w:rPr>
          <w:rFonts w:hint="eastAsia" w:hAnsi="黑体"/>
          <w:bCs/>
          <w:sz w:val="32"/>
          <w:szCs w:val="32"/>
        </w:rPr>
        <w:t>二、收入决算情况说明</w:t>
      </w:r>
    </w:p>
    <w:p w14:paraId="581C4B45">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2023年度收入合计3268.09万元，其中：财政拨款收入3266.01万元，占99.94%；其他收入2.08万元，占0.06%。</w:t>
      </w:r>
    </w:p>
    <w:p w14:paraId="4E2087E1">
      <w:pPr>
        <w:pStyle w:val="14"/>
        <w:spacing w:line="600" w:lineRule="exact"/>
        <w:rPr>
          <w:rFonts w:hAnsi="黑体"/>
          <w:bCs/>
          <w:sz w:val="32"/>
          <w:szCs w:val="32"/>
        </w:rPr>
      </w:pPr>
      <w:r>
        <w:rPr>
          <w:rFonts w:hint="eastAsia" w:hAnsi="黑体"/>
          <w:bCs/>
          <w:sz w:val="32"/>
          <w:szCs w:val="32"/>
        </w:rPr>
        <w:t>三、支出决算情况说明</w:t>
      </w:r>
    </w:p>
    <w:p w14:paraId="750A2AE8">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2023年度支出合计3272.5万元，其中：基本支出2380.1万元，占72.73%；项目支出892.4万元，占27.27%。</w:t>
      </w:r>
    </w:p>
    <w:p w14:paraId="12FB8ABF">
      <w:pPr>
        <w:pStyle w:val="14"/>
        <w:spacing w:line="600" w:lineRule="exact"/>
        <w:rPr>
          <w:rFonts w:hAnsi="黑体"/>
          <w:bCs/>
          <w:sz w:val="32"/>
          <w:szCs w:val="32"/>
        </w:rPr>
      </w:pPr>
      <w:r>
        <w:rPr>
          <w:rFonts w:hint="eastAsia" w:hAnsi="黑体"/>
          <w:bCs/>
          <w:sz w:val="32"/>
          <w:szCs w:val="32"/>
        </w:rPr>
        <w:t>四、财政拨款收入支出决算总体情况说明</w:t>
      </w:r>
    </w:p>
    <w:p w14:paraId="4A490429">
      <w:pPr>
        <w:pStyle w:val="14"/>
        <w:spacing w:line="600" w:lineRule="exact"/>
        <w:ind w:firstLine="630"/>
        <w:rPr>
          <w:rFonts w:ascii="Times New Roman" w:hAnsi="Times New Roman" w:eastAsia="仿宋_GB2312"/>
          <w:sz w:val="32"/>
          <w:szCs w:val="32"/>
        </w:rPr>
      </w:pPr>
      <w:r>
        <w:rPr>
          <w:rFonts w:hint="eastAsia" w:ascii="Times New Roman" w:hAnsi="Times New Roman" w:eastAsia="仿宋_GB2312"/>
          <w:sz w:val="32"/>
          <w:szCs w:val="32"/>
        </w:rPr>
        <w:t>2023年度财政拨款收、支总计3278.28万元，与上年相比，减少94.59万元,减少2.8%，主要是因为年度业务工作任务减少。</w:t>
      </w:r>
    </w:p>
    <w:p w14:paraId="166E1AA1">
      <w:pPr>
        <w:pStyle w:val="14"/>
        <w:spacing w:line="600" w:lineRule="exact"/>
        <w:rPr>
          <w:rFonts w:hAnsi="黑体"/>
          <w:bCs/>
          <w:sz w:val="32"/>
          <w:szCs w:val="32"/>
        </w:rPr>
      </w:pPr>
      <w:r>
        <w:rPr>
          <w:rFonts w:hint="eastAsia" w:hAnsi="黑体"/>
          <w:bCs/>
          <w:sz w:val="32"/>
          <w:szCs w:val="32"/>
        </w:rPr>
        <w:t>五、一般公共预算财政拨款支出决算情况说明</w:t>
      </w:r>
    </w:p>
    <w:p w14:paraId="12093CED">
      <w:pPr>
        <w:pStyle w:val="14"/>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4E052E41">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2023年度财政拨款支出3265.42万元，占本年支出合计的99.85%，与上年相比，财政拨款支出减少90.18万元，减少2.69%，主要是因为年度业务工作任务减少。</w:t>
      </w:r>
    </w:p>
    <w:p w14:paraId="28E50B7C">
      <w:pPr>
        <w:pStyle w:val="14"/>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294D4DFF">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2023年度财政拨款支出3265.42万元，主要用于以下方面：一般公共服务（类）支出3230.01万元，占98.92%；文化旅游体育与传媒（类）支出32.7万元，占1%;粮油物资储备（类）支出2.71万元，占0.08%。</w:t>
      </w:r>
    </w:p>
    <w:p w14:paraId="207E713A">
      <w:pPr>
        <w:pStyle w:val="14"/>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6E1B08FC">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2023年度财政拨款支出年初预算数为2262.1万元，支出决算数为3265.42万元，完成年初预算的144.35%，其中：</w:t>
      </w:r>
    </w:p>
    <w:p w14:paraId="5F8685A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1、一般公共服务支出（类）财政事务（款）行政运行（项）。</w:t>
      </w:r>
    </w:p>
    <w:p w14:paraId="62AC1F97">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年初预算为2262.1万元，支出决算为2207.11万元，完成年初预算的97.57%，决算数小于年初预算数的主要原因是：严格按照预算列支行政运行经费。</w:t>
      </w:r>
    </w:p>
    <w:p w14:paraId="0A71498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2、一般公共服务支出（类）财政事务（款）机关服务（项）。</w:t>
      </w:r>
    </w:p>
    <w:p w14:paraId="36362CB3">
      <w:pPr>
        <w:ind w:firstLine="64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年初预算为0万元，支出决算为29万元，</w:t>
      </w:r>
      <w:r>
        <w:rPr>
          <w:rFonts w:hint="eastAsia" w:ascii="Times New Roman" w:hAnsi="Times New Roman" w:eastAsia="仿宋_GB2312" w:cs="黑体"/>
          <w:color w:val="000000"/>
          <w:kern w:val="0"/>
          <w:sz w:val="32"/>
          <w:szCs w:val="32"/>
        </w:rPr>
        <w:t>由于年初预算为0，无法计算百分比</w:t>
      </w:r>
      <w:r>
        <w:rPr>
          <w:rFonts w:hint="eastAsia" w:ascii="Times New Roman" w:hAnsi="Times New Roman" w:eastAsia="仿宋_GB2312"/>
          <w:sz w:val="32"/>
          <w:szCs w:val="32"/>
        </w:rPr>
        <w:t>，决算数大于年初预算数的主要原因是：业务工作任务增加，调整预算，财政追拨机关服务经费。</w:t>
      </w:r>
      <w:r>
        <w:rPr>
          <w:rFonts w:ascii="Times New Roman" w:hAnsi="Times New Roman" w:eastAsia="仿宋_GB2312"/>
          <w:sz w:val="32"/>
          <w:szCs w:val="32"/>
        </w:rPr>
        <w:t xml:space="preserve">  </w:t>
      </w:r>
    </w:p>
    <w:p w14:paraId="39FFF8E1">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3、一般公共服务支出（类）财政事务（款）财政委托业务支出（项）。</w:t>
      </w:r>
    </w:p>
    <w:p w14:paraId="73253091">
      <w:pPr>
        <w:ind w:firstLine="64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年初预算为0万元，支出决算为68.82万元，</w:t>
      </w:r>
      <w:r>
        <w:rPr>
          <w:rFonts w:hint="eastAsia" w:ascii="Times New Roman" w:hAnsi="Times New Roman" w:eastAsia="仿宋_GB2312" w:cs="黑体"/>
          <w:color w:val="000000"/>
          <w:kern w:val="0"/>
          <w:sz w:val="32"/>
          <w:szCs w:val="32"/>
        </w:rPr>
        <w:t>由于年初预算为0，无法计算百分比</w:t>
      </w:r>
      <w:r>
        <w:rPr>
          <w:rFonts w:hint="eastAsia" w:ascii="Times New Roman" w:hAnsi="Times New Roman" w:eastAsia="仿宋_GB2312"/>
          <w:sz w:val="32"/>
          <w:szCs w:val="32"/>
        </w:rPr>
        <w:t>，决算数大于年初预算数的主要原因是：业务工作任务增加，调整预算，财政追拨财政委托业务经费。</w:t>
      </w:r>
      <w:r>
        <w:rPr>
          <w:rFonts w:ascii="Times New Roman" w:hAnsi="Times New Roman" w:eastAsia="仿宋_GB2312"/>
          <w:sz w:val="32"/>
          <w:szCs w:val="32"/>
        </w:rPr>
        <w:t xml:space="preserve">  </w:t>
      </w:r>
    </w:p>
    <w:p w14:paraId="5160151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4、一般公共服务支出（类）财政事务（款）其他财政事务支出（项）。</w:t>
      </w:r>
    </w:p>
    <w:p w14:paraId="2528A57D">
      <w:pPr>
        <w:ind w:firstLine="64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年初预算为0万元，支出决算为9.76万元，</w:t>
      </w:r>
      <w:r>
        <w:rPr>
          <w:rFonts w:hint="eastAsia" w:ascii="Times New Roman" w:hAnsi="Times New Roman" w:eastAsia="仿宋_GB2312" w:cs="黑体"/>
          <w:color w:val="000000"/>
          <w:kern w:val="0"/>
          <w:sz w:val="32"/>
          <w:szCs w:val="32"/>
        </w:rPr>
        <w:t>由于年初预算为0，无法计算百分比</w:t>
      </w:r>
      <w:r>
        <w:rPr>
          <w:rFonts w:hint="eastAsia" w:ascii="Times New Roman" w:hAnsi="Times New Roman" w:eastAsia="仿宋_GB2312"/>
          <w:sz w:val="32"/>
          <w:szCs w:val="32"/>
        </w:rPr>
        <w:t>，决算数大于年初预算数的主要原因是：业务工作任务增加，调整预算，财政追拨其他财政事务经费。</w:t>
      </w:r>
      <w:r>
        <w:rPr>
          <w:rFonts w:ascii="Times New Roman" w:hAnsi="Times New Roman" w:eastAsia="仿宋_GB2312"/>
          <w:sz w:val="32"/>
          <w:szCs w:val="32"/>
        </w:rPr>
        <w:t xml:space="preserve">  </w:t>
      </w:r>
    </w:p>
    <w:p w14:paraId="5B77BBB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5、一般公共服务支出（类）税收事务（款）其他税收事务支出（项）。</w:t>
      </w:r>
    </w:p>
    <w:p w14:paraId="571B9F54">
      <w:pPr>
        <w:ind w:firstLine="64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年初预算为0万元，支出决算为495.95万元，</w:t>
      </w:r>
      <w:r>
        <w:rPr>
          <w:rFonts w:hint="eastAsia" w:ascii="Times New Roman" w:hAnsi="Times New Roman" w:eastAsia="仿宋_GB2312" w:cs="黑体"/>
          <w:color w:val="000000"/>
          <w:kern w:val="0"/>
          <w:sz w:val="32"/>
          <w:szCs w:val="32"/>
        </w:rPr>
        <w:t>由于年初预算为0，无法计算百分比</w:t>
      </w:r>
      <w:r>
        <w:rPr>
          <w:rFonts w:hint="eastAsia" w:ascii="Times New Roman" w:hAnsi="Times New Roman" w:eastAsia="仿宋_GB2312"/>
          <w:sz w:val="32"/>
          <w:szCs w:val="32"/>
        </w:rPr>
        <w:t>，决算数大于年初预算数的主要原因是：业务工作任务增加，调整预算，财政追拨其他税收事务经费。</w:t>
      </w:r>
      <w:r>
        <w:rPr>
          <w:rFonts w:ascii="Times New Roman" w:hAnsi="Times New Roman" w:eastAsia="仿宋_GB2312"/>
          <w:sz w:val="32"/>
          <w:szCs w:val="32"/>
        </w:rPr>
        <w:t xml:space="preserve">  </w:t>
      </w:r>
    </w:p>
    <w:p w14:paraId="2A4DAB7D">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6、一般公共服务支出（类）纪检监察事务（款）行政运行（项）。</w:t>
      </w:r>
    </w:p>
    <w:p w14:paraId="6698F628">
      <w:pPr>
        <w:ind w:firstLine="64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年初预算为0万元，支出决算为1.85万元，</w:t>
      </w:r>
      <w:r>
        <w:rPr>
          <w:rFonts w:hint="eastAsia" w:ascii="Times New Roman" w:hAnsi="Times New Roman" w:eastAsia="仿宋_GB2312" w:cs="黑体"/>
          <w:color w:val="000000"/>
          <w:kern w:val="0"/>
          <w:sz w:val="32"/>
          <w:szCs w:val="32"/>
        </w:rPr>
        <w:t>由于年初预算为0，无法计算百分比</w:t>
      </w:r>
      <w:r>
        <w:rPr>
          <w:rFonts w:hint="eastAsia" w:ascii="Times New Roman" w:hAnsi="Times New Roman" w:eastAsia="仿宋_GB2312"/>
          <w:sz w:val="32"/>
          <w:szCs w:val="32"/>
        </w:rPr>
        <w:t>，决算数大于年初预算数的主要原因是：业务工作任务增加，调整预算，财政追拨行政运行经费。</w:t>
      </w:r>
      <w:r>
        <w:rPr>
          <w:rFonts w:ascii="Times New Roman" w:hAnsi="Times New Roman" w:eastAsia="仿宋_GB2312"/>
          <w:sz w:val="32"/>
          <w:szCs w:val="32"/>
        </w:rPr>
        <w:t xml:space="preserve">  </w:t>
      </w:r>
    </w:p>
    <w:p w14:paraId="1D98245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7、一般公共服务支出（类）商贸事务（款）招商引资（项）。</w:t>
      </w:r>
    </w:p>
    <w:p w14:paraId="3B4EF8CA">
      <w:pPr>
        <w:ind w:firstLine="64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年初预算为0万元，支出决算为24.5万元，</w:t>
      </w:r>
      <w:r>
        <w:rPr>
          <w:rFonts w:hint="eastAsia" w:ascii="Times New Roman" w:hAnsi="Times New Roman" w:eastAsia="仿宋_GB2312" w:cs="黑体"/>
          <w:color w:val="000000"/>
          <w:kern w:val="0"/>
          <w:sz w:val="32"/>
          <w:szCs w:val="32"/>
        </w:rPr>
        <w:t>由于年初预算为0，无法计算百分比</w:t>
      </w:r>
      <w:r>
        <w:rPr>
          <w:rFonts w:hint="eastAsia" w:ascii="Times New Roman" w:hAnsi="Times New Roman" w:eastAsia="仿宋_GB2312"/>
          <w:sz w:val="32"/>
          <w:szCs w:val="32"/>
        </w:rPr>
        <w:t>，决算数大于年初预算数的主要原因是：业务工作任务增加，调整预算，财政追拨招商引资经费。</w:t>
      </w:r>
    </w:p>
    <w:p w14:paraId="6A7657DE">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8、一般公共服务支出（类）其他一般公共服务支出（款）其他一般公共服务支出（项）。</w:t>
      </w:r>
    </w:p>
    <w:p w14:paraId="7D0C5F8B">
      <w:pPr>
        <w:ind w:firstLine="64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年初预算为0万元，支出决算为393.01万元，</w:t>
      </w:r>
      <w:r>
        <w:rPr>
          <w:rFonts w:hint="eastAsia" w:ascii="Times New Roman" w:hAnsi="Times New Roman" w:eastAsia="仿宋_GB2312" w:cs="黑体"/>
          <w:color w:val="000000"/>
          <w:kern w:val="0"/>
          <w:sz w:val="32"/>
          <w:szCs w:val="32"/>
        </w:rPr>
        <w:t>由于年初预算为0，无法计算百分比</w:t>
      </w:r>
      <w:r>
        <w:rPr>
          <w:rFonts w:hint="eastAsia" w:ascii="Times New Roman" w:hAnsi="Times New Roman" w:eastAsia="仿宋_GB2312"/>
          <w:sz w:val="32"/>
          <w:szCs w:val="32"/>
        </w:rPr>
        <w:t>，决算数大于年初预算数的主要原因是：业务工作任务增加，调整预算，财政追拨其他一般公共服务经费。</w:t>
      </w:r>
      <w:r>
        <w:rPr>
          <w:rFonts w:ascii="Times New Roman" w:hAnsi="Times New Roman" w:eastAsia="仿宋_GB2312"/>
          <w:sz w:val="32"/>
          <w:szCs w:val="32"/>
        </w:rPr>
        <w:t xml:space="preserve">  </w:t>
      </w:r>
    </w:p>
    <w:p w14:paraId="448AA1CF">
      <w:pPr>
        <w:pStyle w:val="14"/>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9、文化旅游体育与传媒支出（类）广播电视（款）行政运行（项）。</w:t>
      </w:r>
    </w:p>
    <w:p w14:paraId="74A88270">
      <w:pPr>
        <w:ind w:firstLine="64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年初预算为0万元，支出决算为32.7万元，</w:t>
      </w:r>
      <w:r>
        <w:rPr>
          <w:rFonts w:hint="eastAsia" w:ascii="Times New Roman" w:hAnsi="Times New Roman" w:eastAsia="仿宋_GB2312" w:cs="黑体"/>
          <w:color w:val="000000"/>
          <w:kern w:val="0"/>
          <w:sz w:val="32"/>
          <w:szCs w:val="32"/>
        </w:rPr>
        <w:t>由于年初预算为0，无法计算百分比</w:t>
      </w:r>
      <w:r>
        <w:rPr>
          <w:rFonts w:hint="eastAsia" w:ascii="Times New Roman" w:hAnsi="Times New Roman" w:eastAsia="仿宋_GB2312"/>
          <w:sz w:val="32"/>
          <w:szCs w:val="32"/>
        </w:rPr>
        <w:t>，决算数大于年初预算数的主要原因是：业务工作任务增加，调整预算，财政追拨行政运行经费。</w:t>
      </w:r>
      <w:r>
        <w:rPr>
          <w:rFonts w:ascii="Times New Roman" w:hAnsi="Times New Roman" w:eastAsia="仿宋_GB2312"/>
          <w:sz w:val="32"/>
          <w:szCs w:val="32"/>
        </w:rPr>
        <w:t xml:space="preserve">  </w:t>
      </w:r>
    </w:p>
    <w:p w14:paraId="0943B40B">
      <w:pPr>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10、粮油物资储备支出（类）粮油物资事务（款）其他粮油物资事务支出（项）。</w:t>
      </w:r>
    </w:p>
    <w:p w14:paraId="7F2499D9">
      <w:pPr>
        <w:pStyle w:val="14"/>
        <w:spacing w:line="600" w:lineRule="exact"/>
        <w:ind w:firstLine="800" w:firstLineChars="250"/>
        <w:rPr>
          <w:rFonts w:ascii="Times New Roman" w:hAnsi="Times New Roman" w:eastAsia="仿宋_GB2312"/>
          <w:sz w:val="32"/>
          <w:szCs w:val="32"/>
          <w:highlight w:val="yellow"/>
        </w:rPr>
      </w:pPr>
      <w:r>
        <w:rPr>
          <w:rFonts w:hint="eastAsia" w:ascii="Times New Roman" w:hAnsi="Times New Roman" w:eastAsia="仿宋_GB2312"/>
          <w:sz w:val="32"/>
          <w:szCs w:val="32"/>
        </w:rPr>
        <w:t>年初预算为0万元，支出决算为2.71万元，由于年初预算为0，无法计算百分比，决算数大于年初预算数的主要原因是：业务工作任务增加，调整预算，财政追拨其他粮油物资事务经费。</w:t>
      </w:r>
    </w:p>
    <w:p w14:paraId="49D4B277">
      <w:pPr>
        <w:pStyle w:val="14"/>
        <w:spacing w:line="600" w:lineRule="exact"/>
        <w:rPr>
          <w:rFonts w:hAnsi="黑体"/>
          <w:bCs/>
          <w:sz w:val="32"/>
          <w:szCs w:val="32"/>
        </w:rPr>
      </w:pPr>
      <w:r>
        <w:rPr>
          <w:rFonts w:hint="eastAsia" w:hAnsi="黑体"/>
          <w:bCs/>
          <w:sz w:val="32"/>
          <w:szCs w:val="32"/>
        </w:rPr>
        <w:t>六、一般公共预算财政拨款基本支出决算情况说明</w:t>
      </w:r>
    </w:p>
    <w:p w14:paraId="02CCF76E">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2023年度财政拨款基本支出2373.01万元，其中：</w:t>
      </w:r>
    </w:p>
    <w:p w14:paraId="66B2B3EB">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1657.49万元，占基本支出的69.85%,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49DF1A84">
      <w:pPr>
        <w:ind w:firstLine="641"/>
        <w:jc w:val="left"/>
        <w:rPr>
          <w:rFonts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715.52万元，占基本支出的30.15%，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1A59F617">
      <w:pPr>
        <w:pStyle w:val="14"/>
        <w:spacing w:line="600" w:lineRule="exact"/>
        <w:rPr>
          <w:rFonts w:ascii="Times New Roman" w:hAnsi="Times New Roman" w:eastAsia="仿宋_GB2312"/>
          <w:b/>
          <w:color w:val="FF0000"/>
          <w:sz w:val="32"/>
          <w:szCs w:val="32"/>
        </w:rPr>
      </w:pPr>
      <w:r>
        <w:rPr>
          <w:rFonts w:hint="eastAsia" w:hAnsi="黑体"/>
          <w:bCs/>
          <w:sz w:val="32"/>
          <w:szCs w:val="32"/>
        </w:rPr>
        <w:t>七、财政拨款三公经费支出决算情况说明</w:t>
      </w:r>
    </w:p>
    <w:p w14:paraId="6A62D98E">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2CF78A1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“三公”经费财政拨款支出预算为2万元，支出决算为1.98万元，完成预算的99%，决算数小于预算数的主要原因是认真贯彻落实</w:t>
      </w:r>
      <w:r>
        <w:rPr>
          <w:rFonts w:hint="eastAsia" w:ascii="Times New Roman" w:hAnsi="Times New Roman" w:eastAsia="仿宋_GB2312"/>
          <w:sz w:val="32"/>
          <w:szCs w:val="32"/>
          <w:lang w:eastAsia="zh-CN"/>
        </w:rPr>
        <w:t>中央八项规定</w:t>
      </w:r>
      <w:r>
        <w:rPr>
          <w:rFonts w:hint="eastAsia" w:ascii="Times New Roman" w:hAnsi="Times New Roman" w:eastAsia="仿宋_GB2312"/>
          <w:sz w:val="32"/>
          <w:szCs w:val="32"/>
        </w:rPr>
        <w:t>精神和厉行节约要求，从严控制“三公”经费开支，全年实际支出比预算有所节约。与上年相比增加0.06万元，增加3.13%,增加的主要原因是接待任务增加，其中：</w:t>
      </w:r>
    </w:p>
    <w:p w14:paraId="6D995679">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因公出国（境）费支出预算为0万元，支出决算为0万元，完成预算的0%，与上年相比减少0万元，减少0%。</w:t>
      </w:r>
    </w:p>
    <w:p w14:paraId="627FE605">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公务接待费支出预算为2万元，支出决算为1.98万元，完成预算的99%，决算数小于预算数的主要原因是认真贯彻落实</w:t>
      </w:r>
      <w:r>
        <w:rPr>
          <w:rFonts w:hint="eastAsia" w:ascii="Times New Roman" w:hAnsi="Times New Roman" w:eastAsia="仿宋_GB2312"/>
          <w:sz w:val="32"/>
          <w:szCs w:val="32"/>
          <w:lang w:eastAsia="zh-CN"/>
        </w:rPr>
        <w:t>中央八项规定</w:t>
      </w:r>
      <w:r>
        <w:rPr>
          <w:rFonts w:hint="eastAsia" w:ascii="Times New Roman" w:hAnsi="Times New Roman" w:eastAsia="仿宋_GB2312"/>
          <w:sz w:val="32"/>
          <w:szCs w:val="32"/>
        </w:rPr>
        <w:t>精神和厉行节约要求，从严控制“三公”经费开支，全年实际支出比预算有所节约。与上年相比增加0.06万元，增加3.13%,增加的主要原因是接待任务增加。</w:t>
      </w:r>
    </w:p>
    <w:p w14:paraId="6C1A45A9">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公务用车购置费支出预算为0万元，支出决算为0万元，完成预算的0%，与上年相比减少0万元，减少0%。</w:t>
      </w:r>
    </w:p>
    <w:p w14:paraId="0F87987E">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公务用车运行维护费支出预算为0万元，支出决算为0万元，完成预算的0%，与上年相比减少0万元，减少0%。</w:t>
      </w:r>
    </w:p>
    <w:p w14:paraId="42F4857C">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284A1137">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2023年度“三公”经费财政拨款支出决算中，公务接待费支出决算1.98万元，占100%,因公出国（境）费支出决算0万元，占0%,公务用车购置费及运行维护费支出决算0万元，占0%。其中：</w:t>
      </w:r>
    </w:p>
    <w:p w14:paraId="5B4696A8">
      <w:pPr>
        <w:pStyle w:val="14"/>
        <w:spacing w:line="600" w:lineRule="exact"/>
        <w:ind w:firstLine="800" w:firstLineChars="250"/>
        <w:rPr>
          <w:rFonts w:ascii="Times New Roman" w:hAnsi="Times New Roman" w:eastAsia="仿宋_GB2312"/>
          <w:b/>
          <w:sz w:val="32"/>
          <w:szCs w:val="32"/>
        </w:rPr>
      </w:pPr>
      <w:r>
        <w:rPr>
          <w:rFonts w:hint="eastAsia" w:ascii="Times New Roman" w:hAnsi="Times New Roman" w:eastAsia="仿宋_GB2312"/>
          <w:sz w:val="32"/>
          <w:szCs w:val="32"/>
        </w:rPr>
        <w:t>1、因公出国（境）费支出决算为0万元，全年安排因公出国（境）团组0个，累计0人次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p>
    <w:p w14:paraId="6A2F715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2、公务接待费支出决算为1.98万元，全年共接待来访团组21个、来宾141人次，主要是用于与有关单位交流工作情况及接受相关部门检查指导工作发生的接待支出。</w:t>
      </w:r>
    </w:p>
    <w:p w14:paraId="16621A4A">
      <w:pPr>
        <w:spacing w:line="600" w:lineRule="exact"/>
        <w:ind w:firstLine="800" w:firstLineChars="250"/>
        <w:rPr>
          <w:rFonts w:ascii="楷体" w:hAnsi="楷体" w:eastAsia="楷体" w:cs="楷体"/>
          <w:b/>
          <w:bCs/>
          <w:i/>
          <w:color w:val="FF0000"/>
          <w:kern w:val="0"/>
          <w:sz w:val="32"/>
          <w:szCs w:val="32"/>
        </w:rPr>
      </w:pPr>
      <w:r>
        <w:rPr>
          <w:rFonts w:hint="eastAsia" w:ascii="Times New Roman" w:hAnsi="Times New Roman" w:eastAsia="仿宋_GB2312"/>
          <w:sz w:val="32"/>
          <w:szCs w:val="32"/>
        </w:rPr>
        <w:t>3、公务用车购置费及运行维护费支出决算为0万元，其中：公务用车购置费0万元</w:t>
      </w:r>
      <w:r>
        <w:rPr>
          <w:rFonts w:hint="eastAsia" w:ascii="Times New Roman" w:hAnsi="Times New Roman" w:eastAsia="仿宋_GB2312"/>
          <w:color w:val="000000" w:themeColor="text1"/>
          <w:sz w:val="32"/>
          <w:szCs w:val="32"/>
        </w:rPr>
        <w:t>。</w:t>
      </w:r>
      <w:r>
        <w:rPr>
          <w:rFonts w:hint="eastAsia" w:ascii="Times New Roman" w:hAnsi="Times New Roman" w:eastAsia="仿宋_GB2312"/>
          <w:sz w:val="32"/>
          <w:szCs w:val="32"/>
        </w:rPr>
        <w:t>公务用车运行维护费0万元。</w:t>
      </w:r>
    </w:p>
    <w:p w14:paraId="394EF2B1">
      <w:pPr>
        <w:pStyle w:val="14"/>
        <w:spacing w:line="600" w:lineRule="exact"/>
        <w:rPr>
          <w:rFonts w:hAnsi="黑体"/>
          <w:bCs/>
          <w:sz w:val="32"/>
          <w:szCs w:val="32"/>
        </w:rPr>
      </w:pPr>
      <w:r>
        <w:rPr>
          <w:rFonts w:hint="eastAsia" w:hAnsi="黑体"/>
          <w:bCs/>
          <w:sz w:val="32"/>
          <w:szCs w:val="32"/>
        </w:rPr>
        <w:t>八、政府性基金预算收入支出决算情况</w:t>
      </w:r>
    </w:p>
    <w:p w14:paraId="60B1D8AD">
      <w:pPr>
        <w:pStyle w:val="14"/>
        <w:spacing w:line="600" w:lineRule="exact"/>
        <w:rPr>
          <w:rFonts w:ascii="楷体" w:hAnsi="楷体" w:eastAsia="楷体" w:cs="楷体"/>
          <w:b/>
          <w:bCs/>
          <w:i/>
          <w:color w:val="FF0000"/>
          <w:sz w:val="32"/>
          <w:szCs w:val="32"/>
        </w:rPr>
      </w:pPr>
      <w:r>
        <w:rPr>
          <w:rFonts w:hint="eastAsia" w:ascii="Times New Roman" w:hAnsi="Times New Roman" w:eastAsia="仿宋_GB2312"/>
          <w:sz w:val="32"/>
          <w:szCs w:val="32"/>
        </w:rPr>
        <w:t xml:space="preserve">     2023年度政府性基金预算财政拨款收入5万元；年初结转和结余0万元；支出5万元，其中基本支出5万元，项目支出0万元；年末结转和结余0万元。具体情况如下：</w:t>
      </w:r>
      <w:r>
        <w:rPr>
          <w:rFonts w:ascii="楷体" w:hAnsi="楷体" w:eastAsia="楷体" w:cs="楷体"/>
          <w:b/>
          <w:bCs/>
          <w:i/>
          <w:color w:val="FF0000"/>
          <w:sz w:val="32"/>
          <w:szCs w:val="32"/>
        </w:rPr>
        <w:t xml:space="preserve"> </w:t>
      </w:r>
    </w:p>
    <w:p w14:paraId="2D24CB16">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1、其他支出（类）彩票公益金安排的支出（款）用于体育事业的彩票公益金支出（项）。</w:t>
      </w:r>
    </w:p>
    <w:p w14:paraId="4CC0F67D">
      <w:pPr>
        <w:pStyle w:val="14"/>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年初预算为0万元，支出决算为5万元，由于年初预算为0，无法计算百分比。决算数大于年初预算数的主要原因是：工作任务增加，调整预算，财政追拨体育事业的彩票公益金支出经费。</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right="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4562C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43FE5386">
      <w:pPr>
        <w:pStyle w:val="14"/>
        <w:spacing w:line="600" w:lineRule="exact"/>
        <w:ind w:firstLine="640" w:firstLineChars="200"/>
        <w:rPr>
          <w:rFonts w:hint="eastAsia" w:ascii="Times New Roman" w:hAnsi="Times New Roman" w:eastAsia="仿宋_GB2312"/>
          <w:sz w:val="32"/>
          <w:szCs w:val="32"/>
        </w:rPr>
      </w:pPr>
    </w:p>
    <w:p w14:paraId="4D449464">
      <w:pPr>
        <w:pStyle w:val="14"/>
        <w:spacing w:line="600" w:lineRule="exact"/>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380A70A2">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本部门2023年度机关运行经费支出715.53万元，比年初预算数增加433.08 万元，增长153.33%。主要原因是：工作任务增加，调整预算，财政追拨了经费。</w:t>
      </w:r>
    </w:p>
    <w:p w14:paraId="08090934">
      <w:pPr>
        <w:pStyle w:val="14"/>
        <w:spacing w:line="600" w:lineRule="exact"/>
        <w:rPr>
          <w:rFonts w:hAnsi="黑体"/>
          <w:bCs/>
          <w:sz w:val="32"/>
          <w:szCs w:val="32"/>
        </w:rPr>
      </w:pPr>
      <w:r>
        <w:rPr>
          <w:rFonts w:hint="eastAsia" w:hAnsi="黑体"/>
          <w:bCs/>
          <w:sz w:val="32"/>
          <w:szCs w:val="32"/>
        </w:rPr>
        <w:t>十</w:t>
      </w:r>
      <w:r>
        <w:rPr>
          <w:rFonts w:hint="eastAsia" w:hAnsi="黑体"/>
          <w:bCs/>
          <w:sz w:val="32"/>
          <w:szCs w:val="32"/>
          <w:lang w:val="en-US" w:eastAsia="zh-CN"/>
        </w:rPr>
        <w:t>一</w:t>
      </w:r>
      <w:r>
        <w:rPr>
          <w:rFonts w:hint="eastAsia" w:hAnsi="黑体"/>
          <w:bCs/>
          <w:sz w:val="32"/>
          <w:szCs w:val="32"/>
        </w:rPr>
        <w:t>、一般性支出情况说明</w:t>
      </w:r>
    </w:p>
    <w:p w14:paraId="50B7289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本部门开支会议费1.19万元，用于召开业务工作会议，人数100人，内容为业务工作、调研等会议；开支培训费15.94万元，用于开展各业务培训，人数1140人，内容为预算绩效管理、债务工作、政府采购业务、票据知识技能、乡镇财政业务知识、评审业务等；</w:t>
      </w:r>
      <w:r>
        <w:rPr>
          <w:rFonts w:ascii="Times New Roman" w:hAnsi="Times New Roman" w:eastAsia="仿宋_GB2312"/>
          <w:sz w:val="32"/>
          <w:szCs w:val="32"/>
        </w:rPr>
        <w:t>202</w:t>
      </w:r>
      <w:r>
        <w:rPr>
          <w:rFonts w:hint="eastAsia" w:ascii="Times New Roman" w:hAnsi="Times New Roman" w:eastAsia="仿宋_GB2312"/>
          <w:sz w:val="32"/>
          <w:szCs w:val="32"/>
        </w:rPr>
        <w:t>3年本部门未举办节庆、晚会、论坛、赛事活动，开支</w:t>
      </w:r>
      <w:r>
        <w:rPr>
          <w:rFonts w:ascii="Times New Roman" w:hAnsi="Times New Roman" w:eastAsia="仿宋_GB2312"/>
          <w:sz w:val="32"/>
          <w:szCs w:val="32"/>
        </w:rPr>
        <w:t>0</w:t>
      </w:r>
      <w:r>
        <w:rPr>
          <w:rFonts w:hint="eastAsia" w:ascii="Times New Roman" w:hAnsi="Times New Roman" w:eastAsia="仿宋_GB2312"/>
          <w:sz w:val="32"/>
          <w:szCs w:val="32"/>
        </w:rPr>
        <w:t>万元。</w:t>
      </w:r>
    </w:p>
    <w:p w14:paraId="059BC76A">
      <w:pPr>
        <w:pStyle w:val="14"/>
        <w:spacing w:line="600" w:lineRule="exact"/>
        <w:rPr>
          <w:rFonts w:hAnsi="黑体"/>
          <w:bCs/>
          <w:sz w:val="32"/>
          <w:szCs w:val="32"/>
        </w:rPr>
      </w:pPr>
      <w:r>
        <w:rPr>
          <w:rFonts w:hint="eastAsia" w:hAnsi="黑体"/>
          <w:bCs/>
          <w:sz w:val="32"/>
          <w:szCs w:val="32"/>
        </w:rPr>
        <w:t>十</w:t>
      </w:r>
      <w:r>
        <w:rPr>
          <w:rFonts w:hint="eastAsia" w:hAnsi="黑体"/>
          <w:bCs/>
          <w:sz w:val="32"/>
          <w:szCs w:val="32"/>
          <w:lang w:val="en-US" w:eastAsia="zh-CN"/>
        </w:rPr>
        <w:t>二</w:t>
      </w:r>
      <w:r>
        <w:rPr>
          <w:rFonts w:hint="eastAsia" w:hAnsi="黑体"/>
          <w:bCs/>
          <w:sz w:val="32"/>
          <w:szCs w:val="32"/>
        </w:rPr>
        <w:t>、关于政府采购支出说明</w:t>
      </w:r>
    </w:p>
    <w:p w14:paraId="46153006">
      <w:pPr>
        <w:pStyle w:val="14"/>
        <w:spacing w:line="580" w:lineRule="exact"/>
        <w:ind w:firstLine="640" w:firstLineChars="200"/>
        <w:rPr>
          <w:rFonts w:ascii="楷体" w:hAnsi="楷体" w:eastAsia="楷体" w:cs="楷体"/>
          <w:b/>
          <w:bCs/>
          <w:i/>
          <w:color w:val="FF0000"/>
          <w:sz w:val="32"/>
          <w:szCs w:val="32"/>
        </w:rPr>
      </w:pPr>
      <w:r>
        <w:rPr>
          <w:rFonts w:hint="eastAsia" w:ascii="Times New Roman" w:hAnsi="Times New Roman" w:eastAsia="仿宋_GB2312"/>
          <w:sz w:val="32"/>
          <w:szCs w:val="32"/>
        </w:rPr>
        <w:t>本部门2023年度政府采购支出总额311.59万元，其中：政府采购货物支出45.74 万元、政府采购工程支出3.61万元、政府采购服务支出262.24万元。</w:t>
      </w:r>
    </w:p>
    <w:p w14:paraId="6B8327CF">
      <w:pPr>
        <w:pStyle w:val="14"/>
        <w:spacing w:line="580" w:lineRule="exact"/>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4D4EBB05">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2023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1台（套）。</w:t>
      </w:r>
    </w:p>
    <w:p w14:paraId="45AB8F81">
      <w:pPr>
        <w:pStyle w:val="14"/>
        <w:spacing w:line="580" w:lineRule="exact"/>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bookmarkStart w:id="0" w:name="_GoBack"/>
      <w:bookmarkEnd w:id="0"/>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46201A68">
      <w:pPr>
        <w:pStyle w:val="14"/>
        <w:numPr>
          <w:ilvl w:val="0"/>
          <w:numId w:val="2"/>
        </w:numPr>
        <w:spacing w:line="580" w:lineRule="exact"/>
        <w:rPr>
          <w:rFonts w:ascii="楷体" w:hAnsi="楷体" w:eastAsia="楷体" w:cs="楷体"/>
          <w:b/>
          <w:bCs/>
          <w:sz w:val="32"/>
          <w:szCs w:val="32"/>
        </w:rPr>
      </w:pPr>
      <w:r>
        <w:rPr>
          <w:rFonts w:hint="eastAsia" w:ascii="楷体" w:hAnsi="楷体" w:eastAsia="楷体" w:cs="楷体"/>
          <w:b/>
          <w:bCs/>
          <w:sz w:val="32"/>
          <w:szCs w:val="32"/>
        </w:rPr>
        <w:t>绩效管理工作开展情况</w:t>
      </w:r>
    </w:p>
    <w:p w14:paraId="62D14FC7">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过去一年，我单位积极推行绩效管理工作，明确了绩效目标和考核标准，实施了定期的绩效评估与反馈机制。通过优化流程、强化沟通，整体绩效呈现良好态势。未来，我们将持续优化绩效管理策略，以进一步提升绩效水平。</w:t>
      </w:r>
    </w:p>
    <w:p w14:paraId="68CFEE78">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1F10C500">
      <w:pPr>
        <w:pStyle w:val="14"/>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执行了预算政策要求。我局工作经费安排严格按照预算来执行，有效防止了超预算；认真学习财经法规，严格执行财经纪律，防止了违法违纪行为的发生；认真落实了有关资金要求，主动及时上缴了年度结转结余资金。</w:t>
      </w:r>
    </w:p>
    <w:p w14:paraId="7537F86C">
      <w:pPr>
        <w:pStyle w:val="14"/>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、保障了机关有效运转。严格按照厉行节约的要求，精打细算，规范机关事务管理工作，提高服务质量，降低运行成本，合理配置，提高保障能力。保障了干部待遇按政策发放落实。</w:t>
      </w:r>
    </w:p>
    <w:p w14:paraId="6278E408">
      <w:pPr>
        <w:pStyle w:val="14"/>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w:t>
      </w:r>
      <w:r>
        <w:rPr>
          <w:rFonts w:hint="eastAsia" w:ascii="Times New Roman" w:hAnsi="Times New Roman" w:eastAsia="仿宋_GB2312"/>
          <w:color w:val="auto"/>
          <w:sz w:val="32"/>
          <w:szCs w:val="32"/>
        </w:rPr>
        <w:t>、加强了干部队伍建设。我局党组认真贯彻落实从严治党各项要求，始终坚持把纪律规矩挺在最前面。不定期开展党风廉政建设专题党课活动，全面贯彻落实习近平新时代中国特色社会主义思想和党的二十大精神，深化推进党风廉政建设和反腐败工作纵深发展。</w:t>
      </w:r>
    </w:p>
    <w:p w14:paraId="49568D09">
      <w:pPr>
        <w:pStyle w:val="14"/>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w:t>
      </w:r>
      <w:r>
        <w:rPr>
          <w:rFonts w:hint="eastAsia" w:ascii="Times New Roman" w:hAnsi="Times New Roman" w:eastAsia="仿宋_GB2312"/>
          <w:color w:val="auto"/>
          <w:sz w:val="32"/>
          <w:szCs w:val="32"/>
        </w:rPr>
        <w:t>、强化了财政职能工作。顺利推进了税制改革、预算改革、</w:t>
      </w:r>
      <w:r>
        <w:rPr>
          <w:rFonts w:ascii="Times New Roman" w:hAnsi="Times New Roman" w:eastAsia="仿宋_GB2312"/>
          <w:color w:val="auto"/>
          <w:sz w:val="32"/>
          <w:szCs w:val="32"/>
        </w:rPr>
        <w:t>PPP</w:t>
      </w:r>
      <w:r>
        <w:rPr>
          <w:rFonts w:hint="eastAsia" w:ascii="Times New Roman" w:hAnsi="Times New Roman" w:eastAsia="仿宋_GB2312"/>
          <w:color w:val="auto"/>
          <w:sz w:val="32"/>
          <w:szCs w:val="32"/>
        </w:rPr>
        <w:t>工作、政府购买服务等。积极化解了财政风险，强化了债务风险。进一步摸清了全县债务情况，规范了地方政府债务管理，综合债务率逐年下降；积极强化了财政监管，提升了管理水平。</w:t>
      </w:r>
    </w:p>
    <w:p w14:paraId="0EE43D49">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53F37DEA">
      <w:pPr>
        <w:autoSpaceDE w:val="0"/>
        <w:autoSpaceDN w:val="0"/>
        <w:adjustRightInd w:val="0"/>
        <w:ind w:firstLine="640" w:firstLineChars="200"/>
        <w:jc w:val="left"/>
        <w:rPr>
          <w:rFonts w:ascii="Times New Roman" w:hAnsi="Times New Roman" w:eastAsia="仿宋_GB2312" w:cs="黑体"/>
          <w:kern w:val="0"/>
          <w:sz w:val="32"/>
          <w:szCs w:val="32"/>
        </w:rPr>
      </w:pPr>
      <w:r>
        <w:rPr>
          <w:rFonts w:hint="eastAsia" w:ascii="Times New Roman" w:hAnsi="Times New Roman" w:eastAsia="仿宋_GB2312" w:cs="黑体"/>
          <w:kern w:val="0"/>
          <w:sz w:val="32"/>
          <w:szCs w:val="32"/>
        </w:rPr>
        <w:t>我单位财政支出绩效管理工作还存在绩效目标编制不够全面，绩效指标量化不够，绩效评价手段和方法有待优化，在今后的工作中需要进一步加以改进和完善。建议财政局继续加强对各部门的指导，使项目编制更加符合绩效评价相关要求，提高各部门、实施单位对专项资金使用绩效评价工作，重要意义的认识，牢固树立绩效管理理念，同时进一步提高绩效评价工作方式、方法，将已完成的所有工作绩效成果充分体现出来。</w:t>
      </w:r>
    </w:p>
    <w:p w14:paraId="03C65CD6">
      <w:pPr>
        <w:pStyle w:val="14"/>
        <w:jc w:val="both"/>
        <w:rPr>
          <w:sz w:val="72"/>
          <w:szCs w:val="72"/>
        </w:rPr>
      </w:pPr>
    </w:p>
    <w:p w14:paraId="04C482FB">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6A21A813">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40FB1664">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财政拨款收入：指本级财政当年拨付的资金。</w:t>
      </w:r>
    </w:p>
    <w:p w14:paraId="59A00B76">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政府性基金预算财政拨款收入：指本级财政当年拨付的政府性基金预算资金。</w:t>
      </w:r>
    </w:p>
    <w:p w14:paraId="60B99F9B">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其他收入：指除上述“财政拨款收入”、“上级补助收入”、“事业收入”、“经营收入”、“附属单位上缴收入”等以外的收入。</w:t>
      </w:r>
    </w:p>
    <w:p w14:paraId="467EA9B1">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上年结转和结余：指以前年度尚未完成、结转到本年按有关规定继续使用的资金。</w:t>
      </w:r>
    </w:p>
    <w:p w14:paraId="2E3F99EF">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年末结转和结余资金：指本年度或以前年度预算安排、因客观条件发生变化无法按原计划实施，需要延迟到以后年度按有关规定继续使用的资金。</w:t>
      </w:r>
    </w:p>
    <w:p w14:paraId="5153BC10">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2AF4300A">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农林水支出（类）：是指用于农林水事务支出，包括保障机构正常运转、完成日常和特定的工作任务或事业发展目标的支出。</w:t>
      </w:r>
    </w:p>
    <w:p w14:paraId="1A70A6A8">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其他支出（类）：是指用于反映除上述项目以外其他不能划分到具体功能科目中的支出项目，包括保障机构正常运转、完成日常和特定的工作任务或事业发展目标的支出。</w:t>
      </w:r>
    </w:p>
    <w:p w14:paraId="4B556F14">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基本支出：指保障机构正常运转、完成支日常工作任务而发生的人员支出和公用支出。</w:t>
      </w:r>
    </w:p>
    <w:p w14:paraId="48F01E19">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项目支出：指在基本支出之外为完成特定行政任务和事业发展目标所发生的支出。</w:t>
      </w:r>
    </w:p>
    <w:p w14:paraId="29BD2476">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27068BE">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政府采购</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：是指国家各级政府为从事日常的政务活动或为了满足公共服务的目的，利用国家财政性资金和政府借款购买货物、工程和服务的行为。</w:t>
      </w:r>
    </w:p>
    <w:p w14:paraId="646421F2">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工资福利支出：反映单位开支的在职职工和编制外长期聘用人员的各类劳动报酬，以及为上述人员缴纳的各项社会保险费等。</w:t>
      </w:r>
    </w:p>
    <w:p w14:paraId="09D9FF5C">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基本工资：反映按规定发放的基本工资，包括公务员的职务工资、级别工资；机关工人的岗位工资、技术等级工资；事业单位工作人员的岗位工资、薪级工资；各类学校毕业生试用期</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见习期</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工资、新参加工作工人学徒期、熟练期工资；军队（武警）军官、文职干部的职务（专业技术等级）工资、军衔（级别）工资、基础工资和军龄工资；军队士官的军衔等级工资、基础工资和军龄工资等。</w:t>
      </w:r>
    </w:p>
    <w:p w14:paraId="66B4AB3E">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津贴补贴：反映经国家批准建立的机关事业单位艰苦边远地区津贴、机关工作人员地区附加津贴、机关工作人员岗位津贴、事业单位工作人员特殊岗位津贴补贴等。</w:t>
      </w:r>
    </w:p>
    <w:p w14:paraId="53E66C6E">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奖金：反映机关工作人员年终一次性奖金。</w:t>
      </w:r>
    </w:p>
    <w:p w14:paraId="404FB083">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伙食补助费：反映单位发给职工的伙食补助费，如误餐补助等。</w:t>
      </w:r>
    </w:p>
    <w:p w14:paraId="4065ABBB">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机关事业单位基本养老保险缴费：反映机关事业单位缴纳的基本养老保险费。由单位代扣的工作人员基本养老保险缴费，不在此科目反映。</w:t>
      </w:r>
    </w:p>
    <w:p w14:paraId="4BE46807">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职工基本医疗保险缴费：反映单位为职工缴纳的基本医疗保险费。</w:t>
      </w:r>
    </w:p>
    <w:p w14:paraId="1A5FCBE8">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其他社会保障缴费：反映单位为职工缴纳的基本医疗、失业、工伤、生育等社会保险费，残疾人就业保障金，军队（含武警）为军人缴纳的伤亡、退役医疗等社会保险费。</w:t>
      </w:r>
    </w:p>
    <w:p w14:paraId="59C72608">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住房公积金：反映行政事业单位按人力资源和社会保障部、财政部规定的基本工资和津贴补贴以及规定比例为职工缴纳的住房公积金。</w:t>
      </w:r>
    </w:p>
    <w:p w14:paraId="73794448">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4170E6AE">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商品和服务支出：反映单位购买商品和服务的支出（不包括用于购置固定资产的支出、战略性和应急储备支出）。</w:t>
      </w:r>
    </w:p>
    <w:p w14:paraId="6FCCCE43">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办公费：反映单位购买按财务会计制度规定不符合固定资产确认标准的日常办公用品、书报杂志等支出。</w:t>
      </w:r>
    </w:p>
    <w:p w14:paraId="69CD48E5">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印刷费：反映单位的印刷费支出。</w:t>
      </w:r>
    </w:p>
    <w:p w14:paraId="727688EB">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咨询费：反映单位咨询方面的支出。</w:t>
      </w:r>
    </w:p>
    <w:p w14:paraId="02C6CC0A">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水费：反映单位支付的水费、污水处理费等支出。</w:t>
      </w:r>
    </w:p>
    <w:p w14:paraId="5BCD23ED">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电费：反映单位的电费支出。</w:t>
      </w:r>
    </w:p>
    <w:p w14:paraId="43D67DB8">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邮电费：反映单位开支的信函、包裹、货物等物品的邮寄费及电话费、电报费、传真费、网络通讯费等。</w:t>
      </w:r>
    </w:p>
    <w:p w14:paraId="45278253">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物业管理费：反映单位开支的办公用房以及未实行职工住宅物业服务改革的在职职工和离退休人员宿舍等的物业管理费，包括综合治理、绿化、卫生等方面的支出。</w:t>
      </w:r>
    </w:p>
    <w:p w14:paraId="2EDBA3F1">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差旅费：反映单位工作人员出差发生的城市间交通费、住宿费、伙食补贴费和市内交通费。</w:t>
      </w:r>
    </w:p>
    <w:p w14:paraId="47D11A22">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维修</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护</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费：反映单位日常开支的固定资产（不包括车船等交通工具）修理和维护费用，网络信息系统运行与维护费用，以及按规定提取的修购基金。</w:t>
      </w:r>
    </w:p>
    <w:p w14:paraId="741AD07E">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租赁费：反映租赁办公用房、宿舍、专用通讯网以及其他设备等方面的费用。</w:t>
      </w:r>
    </w:p>
    <w:p w14:paraId="025DC31C">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会议费：反映会议中按规定开支的住宿费、伙食费、会议室租金、交通费、文件印刷费、医药费等。</w:t>
      </w:r>
    </w:p>
    <w:p w14:paraId="0D9E2733">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培训费：反映除因公出国（境）培训费以外的各类培训支出。</w:t>
      </w:r>
    </w:p>
    <w:p w14:paraId="12FDB30F">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公务接待费：反映单位按规定开支的各类公务接待（含外宾接待）费用。</w:t>
      </w:r>
    </w:p>
    <w:p w14:paraId="5A190202">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劳务费：反映支付给单位和个人的劳务费用，如临时聘用人员、钟点工工资，稿费、翻译费，评审费等。</w:t>
      </w:r>
    </w:p>
    <w:p w14:paraId="63E6BB38">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委托业务费：反映因委托外单位办理业务而支付的委托业务费。</w:t>
      </w:r>
    </w:p>
    <w:p w14:paraId="48BD9370">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工会经费：反映单位按规定提取的工会经费。</w:t>
      </w:r>
    </w:p>
    <w:p w14:paraId="560279F5">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其他交通费用：反映单位除公务用车运行维护费以外的其他交通费用。如公务交通补贴，租车费用、出租车费用，飞机、船舶等的燃料费、维修费、保险费等。</w:t>
      </w:r>
    </w:p>
    <w:p w14:paraId="02F11413">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其他商品和服务支出：反映上述科目未包括的日常公用支出。如行政赔偿费和诉讼费、国内组织的会员费、来访费、广告宣传、其他劳务费及离休人员特需费、公用经费等。</w:t>
      </w:r>
    </w:p>
    <w:p w14:paraId="40EBEB87">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对个人和家庭的补助：反映政府用于对个人和家庭的补助支出。</w:t>
      </w:r>
    </w:p>
    <w:p w14:paraId="42BA5FA2">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抚恤金：反映按规定开支的烈士遗属、牺牲病故人员遗属的一次性和定期抚恤金，伤残人员的抚恤金，离退休人员等其他人员的各项抚恤金。</w:t>
      </w:r>
    </w:p>
    <w:p w14:paraId="364BC53A">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奖励金：反映政府各部门的奖励支出，如对个体私营经济的奖励、计划生育目标责任奖励、独生子女父母奖励等。</w:t>
      </w:r>
    </w:p>
    <w:p w14:paraId="612794BA">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办公设备购置：反映用于购置并按财务会计制度规定纳入固定资产核算范围的办公家具和办公设备的支出，以及按规定提取的修购基金。</w:t>
      </w:r>
    </w:p>
    <w:p w14:paraId="5569914D">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12FC7926">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信息网络及软件购置更新：反映政府用于信息网络方面的支出。如计算机硬件、软件购置、开发、应用支出等，如果购建的计算机硬件、软件等不符合财务会计制度规定的固定资产确认标准的，不在此科目反映。</w:t>
      </w:r>
    </w:p>
    <w:p w14:paraId="5CFE319A">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办公用房物业管理费、</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公务用车运行维护费以及其他费用。</w:t>
      </w:r>
    </w:p>
    <w:p w14:paraId="7310DDBB">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第五部分</w:t>
      </w:r>
    </w:p>
    <w:p w14:paraId="3B62D9FE">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附件</w:t>
      </w:r>
    </w:p>
    <w:p w14:paraId="3904483E">
      <w:pPr>
        <w:pStyle w:val="14"/>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华容县财政局2023年度部门决算公开表格</w:t>
      </w:r>
    </w:p>
    <w:p w14:paraId="058949DC">
      <w:pPr>
        <w:pStyle w:val="14"/>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二、</w:t>
      </w:r>
      <w:r>
        <w:rPr>
          <w:rFonts w:hint="eastAsia" w:ascii="Times New Roman" w:hAnsi="Times New Roman" w:eastAsia="仿宋_GB2312"/>
          <w:sz w:val="32"/>
          <w:szCs w:val="32"/>
        </w:rPr>
        <w:t>2023年度华容县财政局整体支出绩效自评报告。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936EF8"/>
    <w:multiLevelType w:val="multilevel"/>
    <w:tmpl w:val="71936EF8"/>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2229B"/>
    <w:rsid w:val="00025D7D"/>
    <w:rsid w:val="000273BD"/>
    <w:rsid w:val="00040CBC"/>
    <w:rsid w:val="000415B7"/>
    <w:rsid w:val="00041E3F"/>
    <w:rsid w:val="00055DAA"/>
    <w:rsid w:val="00061F7B"/>
    <w:rsid w:val="000630DC"/>
    <w:rsid w:val="000658A3"/>
    <w:rsid w:val="00074155"/>
    <w:rsid w:val="000829E1"/>
    <w:rsid w:val="000A3F69"/>
    <w:rsid w:val="000A508F"/>
    <w:rsid w:val="00103957"/>
    <w:rsid w:val="00151C9D"/>
    <w:rsid w:val="00152C6D"/>
    <w:rsid w:val="00162D39"/>
    <w:rsid w:val="001678BD"/>
    <w:rsid w:val="00167E70"/>
    <w:rsid w:val="00181334"/>
    <w:rsid w:val="00182373"/>
    <w:rsid w:val="00190F52"/>
    <w:rsid w:val="001A67DB"/>
    <w:rsid w:val="001C3C29"/>
    <w:rsid w:val="001D0D62"/>
    <w:rsid w:val="001D3B5A"/>
    <w:rsid w:val="001D51E5"/>
    <w:rsid w:val="001E080D"/>
    <w:rsid w:val="001E1738"/>
    <w:rsid w:val="001E53D0"/>
    <w:rsid w:val="001F0C3B"/>
    <w:rsid w:val="001F7A5B"/>
    <w:rsid w:val="00202C82"/>
    <w:rsid w:val="00214427"/>
    <w:rsid w:val="00226CB7"/>
    <w:rsid w:val="002536F8"/>
    <w:rsid w:val="0026397F"/>
    <w:rsid w:val="00264552"/>
    <w:rsid w:val="00264EF9"/>
    <w:rsid w:val="00265724"/>
    <w:rsid w:val="00267175"/>
    <w:rsid w:val="0027426B"/>
    <w:rsid w:val="002A605D"/>
    <w:rsid w:val="002B28B6"/>
    <w:rsid w:val="002C70A2"/>
    <w:rsid w:val="002D4B51"/>
    <w:rsid w:val="002E0A30"/>
    <w:rsid w:val="003130C4"/>
    <w:rsid w:val="0031684B"/>
    <w:rsid w:val="00316C4B"/>
    <w:rsid w:val="0032192B"/>
    <w:rsid w:val="003479BD"/>
    <w:rsid w:val="003649DD"/>
    <w:rsid w:val="0037197D"/>
    <w:rsid w:val="003768D5"/>
    <w:rsid w:val="003926B9"/>
    <w:rsid w:val="003A2B3F"/>
    <w:rsid w:val="003C47E6"/>
    <w:rsid w:val="003C4A89"/>
    <w:rsid w:val="003C4FC2"/>
    <w:rsid w:val="003E272A"/>
    <w:rsid w:val="00411CB2"/>
    <w:rsid w:val="00416E61"/>
    <w:rsid w:val="0042790C"/>
    <w:rsid w:val="00443E4F"/>
    <w:rsid w:val="0044590C"/>
    <w:rsid w:val="004506F9"/>
    <w:rsid w:val="004717A2"/>
    <w:rsid w:val="00473DF3"/>
    <w:rsid w:val="00487911"/>
    <w:rsid w:val="00491741"/>
    <w:rsid w:val="004A0E57"/>
    <w:rsid w:val="004A3532"/>
    <w:rsid w:val="004A3963"/>
    <w:rsid w:val="004B06AD"/>
    <w:rsid w:val="004B0CEE"/>
    <w:rsid w:val="004C0973"/>
    <w:rsid w:val="00500E5F"/>
    <w:rsid w:val="0051056D"/>
    <w:rsid w:val="005122EF"/>
    <w:rsid w:val="0051441A"/>
    <w:rsid w:val="00517C33"/>
    <w:rsid w:val="00517D5F"/>
    <w:rsid w:val="00523644"/>
    <w:rsid w:val="0054069E"/>
    <w:rsid w:val="00544866"/>
    <w:rsid w:val="00567FD9"/>
    <w:rsid w:val="005767CC"/>
    <w:rsid w:val="005876B0"/>
    <w:rsid w:val="00590D9F"/>
    <w:rsid w:val="00595D26"/>
    <w:rsid w:val="005A74E6"/>
    <w:rsid w:val="005A759E"/>
    <w:rsid w:val="005B239C"/>
    <w:rsid w:val="005B404E"/>
    <w:rsid w:val="005D4D55"/>
    <w:rsid w:val="005E2CFB"/>
    <w:rsid w:val="005F2103"/>
    <w:rsid w:val="005F3D1C"/>
    <w:rsid w:val="0062378F"/>
    <w:rsid w:val="0063609A"/>
    <w:rsid w:val="00641842"/>
    <w:rsid w:val="00650D9E"/>
    <w:rsid w:val="00651EEC"/>
    <w:rsid w:val="00684007"/>
    <w:rsid w:val="00684EE5"/>
    <w:rsid w:val="00686673"/>
    <w:rsid w:val="00691E8C"/>
    <w:rsid w:val="006A22C4"/>
    <w:rsid w:val="006A351B"/>
    <w:rsid w:val="006A4476"/>
    <w:rsid w:val="006B0422"/>
    <w:rsid w:val="006C1B53"/>
    <w:rsid w:val="006D7730"/>
    <w:rsid w:val="006E5284"/>
    <w:rsid w:val="006E7D88"/>
    <w:rsid w:val="006F3EB5"/>
    <w:rsid w:val="006F711B"/>
    <w:rsid w:val="00702E34"/>
    <w:rsid w:val="00704395"/>
    <w:rsid w:val="007105CC"/>
    <w:rsid w:val="00710FE7"/>
    <w:rsid w:val="00717621"/>
    <w:rsid w:val="00720FF1"/>
    <w:rsid w:val="007247BC"/>
    <w:rsid w:val="00727A53"/>
    <w:rsid w:val="00741132"/>
    <w:rsid w:val="0074188F"/>
    <w:rsid w:val="00754BE5"/>
    <w:rsid w:val="00775AF2"/>
    <w:rsid w:val="00783DA5"/>
    <w:rsid w:val="00787B42"/>
    <w:rsid w:val="007C040A"/>
    <w:rsid w:val="007C4539"/>
    <w:rsid w:val="007E7159"/>
    <w:rsid w:val="007F3657"/>
    <w:rsid w:val="007F5742"/>
    <w:rsid w:val="0080524B"/>
    <w:rsid w:val="0080704A"/>
    <w:rsid w:val="00812ED5"/>
    <w:rsid w:val="00813F77"/>
    <w:rsid w:val="00822B35"/>
    <w:rsid w:val="008277D9"/>
    <w:rsid w:val="0084478C"/>
    <w:rsid w:val="00865521"/>
    <w:rsid w:val="0086638C"/>
    <w:rsid w:val="00881B7B"/>
    <w:rsid w:val="008903B6"/>
    <w:rsid w:val="008A3E8D"/>
    <w:rsid w:val="008A74E0"/>
    <w:rsid w:val="008D2DAE"/>
    <w:rsid w:val="008E3864"/>
    <w:rsid w:val="008F58DC"/>
    <w:rsid w:val="0092271E"/>
    <w:rsid w:val="009237C4"/>
    <w:rsid w:val="0092391E"/>
    <w:rsid w:val="0093467A"/>
    <w:rsid w:val="00944C48"/>
    <w:rsid w:val="00950252"/>
    <w:rsid w:val="00967F5D"/>
    <w:rsid w:val="00985F9C"/>
    <w:rsid w:val="00986736"/>
    <w:rsid w:val="009A0F95"/>
    <w:rsid w:val="009A2C67"/>
    <w:rsid w:val="009B3ADF"/>
    <w:rsid w:val="009C3B52"/>
    <w:rsid w:val="009E6817"/>
    <w:rsid w:val="009E6E9A"/>
    <w:rsid w:val="009F1F99"/>
    <w:rsid w:val="009F233F"/>
    <w:rsid w:val="00A01D2B"/>
    <w:rsid w:val="00A42218"/>
    <w:rsid w:val="00A424EA"/>
    <w:rsid w:val="00A70249"/>
    <w:rsid w:val="00A70B02"/>
    <w:rsid w:val="00A71D9F"/>
    <w:rsid w:val="00A92E9F"/>
    <w:rsid w:val="00A945F8"/>
    <w:rsid w:val="00A97077"/>
    <w:rsid w:val="00AA1F2B"/>
    <w:rsid w:val="00AB18FF"/>
    <w:rsid w:val="00AE6672"/>
    <w:rsid w:val="00B0212A"/>
    <w:rsid w:val="00B11DCE"/>
    <w:rsid w:val="00B26F0B"/>
    <w:rsid w:val="00B338FC"/>
    <w:rsid w:val="00B33BEA"/>
    <w:rsid w:val="00B5489C"/>
    <w:rsid w:val="00B57C9F"/>
    <w:rsid w:val="00B63572"/>
    <w:rsid w:val="00B64C88"/>
    <w:rsid w:val="00B845B3"/>
    <w:rsid w:val="00B85D8B"/>
    <w:rsid w:val="00BB4A40"/>
    <w:rsid w:val="00BB6D6B"/>
    <w:rsid w:val="00BD6C3E"/>
    <w:rsid w:val="00BE3674"/>
    <w:rsid w:val="00C07FF2"/>
    <w:rsid w:val="00C10681"/>
    <w:rsid w:val="00C175F7"/>
    <w:rsid w:val="00C3049A"/>
    <w:rsid w:val="00C31B1E"/>
    <w:rsid w:val="00C41644"/>
    <w:rsid w:val="00C77645"/>
    <w:rsid w:val="00C8005C"/>
    <w:rsid w:val="00C930DE"/>
    <w:rsid w:val="00CC66D0"/>
    <w:rsid w:val="00CE04C3"/>
    <w:rsid w:val="00CE76A0"/>
    <w:rsid w:val="00D148C6"/>
    <w:rsid w:val="00D17A8A"/>
    <w:rsid w:val="00D306AC"/>
    <w:rsid w:val="00D31B32"/>
    <w:rsid w:val="00D415BA"/>
    <w:rsid w:val="00D434A3"/>
    <w:rsid w:val="00D63780"/>
    <w:rsid w:val="00D63FFC"/>
    <w:rsid w:val="00D644EE"/>
    <w:rsid w:val="00D876D9"/>
    <w:rsid w:val="00DA5539"/>
    <w:rsid w:val="00DD06FF"/>
    <w:rsid w:val="00DD5FE9"/>
    <w:rsid w:val="00E00C7A"/>
    <w:rsid w:val="00E029EC"/>
    <w:rsid w:val="00E07368"/>
    <w:rsid w:val="00E22D25"/>
    <w:rsid w:val="00E31CA9"/>
    <w:rsid w:val="00E37D6C"/>
    <w:rsid w:val="00E5585F"/>
    <w:rsid w:val="00E55B68"/>
    <w:rsid w:val="00E561AE"/>
    <w:rsid w:val="00E67BE6"/>
    <w:rsid w:val="00E7731A"/>
    <w:rsid w:val="00E824CD"/>
    <w:rsid w:val="00E8683C"/>
    <w:rsid w:val="00E96A69"/>
    <w:rsid w:val="00EA2B72"/>
    <w:rsid w:val="00EA7996"/>
    <w:rsid w:val="00EB0A42"/>
    <w:rsid w:val="00EB225F"/>
    <w:rsid w:val="00EB28FF"/>
    <w:rsid w:val="00EB7CF4"/>
    <w:rsid w:val="00EC2F04"/>
    <w:rsid w:val="00EC3099"/>
    <w:rsid w:val="00EC7BDE"/>
    <w:rsid w:val="00F508BD"/>
    <w:rsid w:val="00F50CB6"/>
    <w:rsid w:val="00F63614"/>
    <w:rsid w:val="00F74360"/>
    <w:rsid w:val="00FB0464"/>
    <w:rsid w:val="00FB462F"/>
    <w:rsid w:val="00FE16FA"/>
    <w:rsid w:val="00FE328A"/>
    <w:rsid w:val="00FE6269"/>
    <w:rsid w:val="00FF5CD6"/>
    <w:rsid w:val="1D97DEFF"/>
    <w:rsid w:val="1DFF72E5"/>
    <w:rsid w:val="1EFC6F07"/>
    <w:rsid w:val="2FDF85B8"/>
    <w:rsid w:val="2FFFEE04"/>
    <w:rsid w:val="34DF85B0"/>
    <w:rsid w:val="3B8F36BC"/>
    <w:rsid w:val="491FF225"/>
    <w:rsid w:val="4E395582"/>
    <w:rsid w:val="4FFD214C"/>
    <w:rsid w:val="5777D4F5"/>
    <w:rsid w:val="59DD8326"/>
    <w:rsid w:val="5DEF592A"/>
    <w:rsid w:val="5FC6BB1E"/>
    <w:rsid w:val="5FF720F1"/>
    <w:rsid w:val="67AF5D43"/>
    <w:rsid w:val="67FF5C0B"/>
    <w:rsid w:val="6C3D55CF"/>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unhideWhenUsed/>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8098</Words>
  <Characters>8480</Characters>
  <Lines>61</Lines>
  <Paragraphs>17</Paragraphs>
  <TotalTime>0</TotalTime>
  <ScaleCrop>false</ScaleCrop>
  <LinksUpToDate>false</LinksUpToDate>
  <CharactersWithSpaces>8508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2025-11-11T13:15:36Z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