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F9" w:rsidRDefault="00195EF9" w:rsidP="00195EF9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195EF9" w:rsidRDefault="00195EF9" w:rsidP="00195EF9">
      <w:pPr>
        <w:spacing w:line="251" w:lineRule="auto"/>
        <w:rPr>
          <w:rFonts w:ascii="Arial"/>
        </w:rPr>
      </w:pPr>
    </w:p>
    <w:p w:rsidR="00195EF9" w:rsidRDefault="00195EF9" w:rsidP="00195EF9">
      <w:pPr>
        <w:spacing w:line="251" w:lineRule="auto"/>
        <w:rPr>
          <w:rFonts w:ascii="Arial"/>
        </w:rPr>
      </w:pPr>
    </w:p>
    <w:p w:rsidR="00195EF9" w:rsidRDefault="00195EF9" w:rsidP="00195EF9">
      <w:pPr>
        <w:rPr>
          <w:rFonts w:ascii="Arial"/>
        </w:rPr>
      </w:pPr>
    </w:p>
    <w:p w:rsidR="00195EF9" w:rsidRDefault="00195EF9" w:rsidP="00195EF9">
      <w:pPr>
        <w:pStyle w:val="a0"/>
      </w:pPr>
    </w:p>
    <w:p w:rsidR="00195EF9" w:rsidRDefault="00195EF9" w:rsidP="00195EF9"/>
    <w:p w:rsidR="00195EF9" w:rsidRDefault="00195EF9" w:rsidP="00195EF9">
      <w:pPr>
        <w:spacing w:before="223" w:line="218" w:lineRule="auto"/>
        <w:ind w:firstLineChars="300" w:firstLine="1554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2023年度华容县信访局</w:t>
      </w:r>
    </w:p>
    <w:p w:rsidR="00195EF9" w:rsidRDefault="00195EF9" w:rsidP="00195EF9">
      <w:pPr>
        <w:spacing w:before="223" w:line="218" w:lineRule="auto"/>
        <w:ind w:firstLineChars="250" w:firstLine="1295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pStyle w:val="a0"/>
        <w:rPr>
          <w:rFonts w:ascii="Arial"/>
          <w:sz w:val="21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3" w:lineRule="auto"/>
        <w:rPr>
          <w:rFonts w:ascii="Arial"/>
        </w:rPr>
      </w:pPr>
    </w:p>
    <w:p w:rsidR="00195EF9" w:rsidRDefault="00195EF9" w:rsidP="00195EF9">
      <w:pPr>
        <w:spacing w:line="244" w:lineRule="auto"/>
        <w:rPr>
          <w:rFonts w:ascii="Arial"/>
        </w:rPr>
      </w:pPr>
    </w:p>
    <w:p w:rsidR="00195EF9" w:rsidRDefault="00195EF9" w:rsidP="00195EF9">
      <w:pPr>
        <w:spacing w:line="244" w:lineRule="auto"/>
        <w:rPr>
          <w:rFonts w:ascii="Arial"/>
        </w:rPr>
      </w:pPr>
    </w:p>
    <w:p w:rsidR="00195EF9" w:rsidRDefault="00195EF9" w:rsidP="00195EF9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195EF9" w:rsidRDefault="00195EF9" w:rsidP="00195EF9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195EF9" w:rsidRDefault="00195EF9" w:rsidP="00195EF9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195EF9" w:rsidRDefault="00195EF9" w:rsidP="00195EF9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195EF9" w:rsidRDefault="00195EF9" w:rsidP="00195EF9">
      <w:r>
        <w:br w:type="page"/>
      </w:r>
    </w:p>
    <w:p w:rsidR="00195EF9" w:rsidRDefault="00195EF9" w:rsidP="00195EF9">
      <w:pPr>
        <w:pStyle w:val="a0"/>
        <w:sectPr w:rsidR="00195EF9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195EF9" w:rsidRDefault="00195EF9" w:rsidP="00195EF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195EF9" w:rsidRDefault="00195EF9" w:rsidP="00195EF9">
      <w:pPr>
        <w:pStyle w:val="a0"/>
      </w:pPr>
    </w:p>
    <w:p w:rsidR="00195EF9" w:rsidRDefault="00195EF9" w:rsidP="00195EF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2023年度华容县信访局</w:t>
      </w:r>
    </w:p>
    <w:p w:rsidR="00195EF9" w:rsidRDefault="00195EF9" w:rsidP="00195EF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195EF9" w:rsidRDefault="00195EF9" w:rsidP="00195EF9">
      <w:pPr>
        <w:spacing w:line="283" w:lineRule="auto"/>
        <w:rPr>
          <w:rFonts w:ascii="Arial"/>
        </w:rPr>
      </w:pPr>
    </w:p>
    <w:p w:rsidR="00195EF9" w:rsidRDefault="00195EF9" w:rsidP="00195EF9">
      <w:pPr>
        <w:spacing w:line="284" w:lineRule="auto"/>
        <w:rPr>
          <w:rFonts w:ascii="Arial"/>
        </w:rPr>
      </w:pPr>
    </w:p>
    <w:p w:rsidR="00195EF9" w:rsidRDefault="00195EF9" w:rsidP="00195EF9">
      <w:pPr>
        <w:pStyle w:val="a0"/>
      </w:pPr>
    </w:p>
    <w:p w:rsidR="00195EF9" w:rsidRDefault="00195EF9" w:rsidP="00195EF9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color w:val="000000"/>
          <w:sz w:val="32"/>
          <w:szCs w:val="32"/>
        </w:rPr>
        <w:t>19</w:t>
      </w:r>
      <w:r w:rsidRPr="00F04C19">
        <w:rPr>
          <w:rFonts w:eastAsia="仿宋_GB2312" w:hint="eastAsia"/>
          <w:color w:val="000000"/>
          <w:sz w:val="32"/>
          <w:szCs w:val="32"/>
        </w:rPr>
        <w:t>人，实有人数为</w:t>
      </w:r>
      <w:r>
        <w:rPr>
          <w:rFonts w:eastAsia="仿宋_GB2312" w:hint="eastAsia"/>
          <w:color w:val="000000"/>
          <w:sz w:val="32"/>
          <w:szCs w:val="32"/>
        </w:rPr>
        <w:t>19</w:t>
      </w:r>
      <w:r w:rsidRPr="00F04C19">
        <w:rPr>
          <w:rFonts w:eastAsia="仿宋_GB2312" w:hint="eastAsia"/>
          <w:color w:val="000000"/>
          <w:sz w:val="32"/>
          <w:szCs w:val="32"/>
        </w:rPr>
        <w:t>人。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1</w:t>
      </w:r>
      <w:r w:rsidRPr="00F04C19">
        <w:rPr>
          <w:rFonts w:eastAsia="仿宋_GB2312" w:hint="eastAsia"/>
          <w:color w:val="000000"/>
          <w:sz w:val="32"/>
          <w:szCs w:val="32"/>
        </w:rPr>
        <w:t>、单位职责职能：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（一）贯彻落实上级党委、政府和县委、县政府及县信访工作领导小组关于信访工作的意见、措施、办法。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（二）负责处理人民群众给县委、县政府及其领导同志的来信，接待处理群众来信、来访、网络信访，为领导同志接待上访群众做好组织服务工作。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（三）受理、承办上级部门向县委、县政府交办的信访事项和县委、县政府及其领导交办的信访事项，并及时上报处理结果。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（四）向县委、县政府及其领导提供群众来信来访中的重要信息，及时反映倾向性、动态性问题和影响社会稳定的事件。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（五）综合分析人民来信来访情况，筛选论证群众的批评和建议，提出解决问题的意见和建议，为县委、县政府领</w:t>
      </w:r>
      <w:r w:rsidRPr="00F04C19">
        <w:rPr>
          <w:rFonts w:eastAsia="仿宋_GB2312" w:hint="eastAsia"/>
          <w:color w:val="000000"/>
          <w:sz w:val="32"/>
          <w:szCs w:val="32"/>
        </w:rPr>
        <w:lastRenderedPageBreak/>
        <w:t>导决策当好参谋；对来信来访中反映的热点、难点问题进行调查研究，协助县委、县政府和有关部门研究制定有关政策、措施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（六）按照“属地管理、分级负责”、“谁主管、谁负责”的原则，向有关乡镇和部门转送、交办来信来访事项，并督促检查落实情况，协调办理重要信访问题。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（七）协同有关部门处理跨地区、跨部门的重大信访问题，协调乡镇和部门解决群众反映的突出问题，协调处理群众到县到市赴省进京上访，协调全县各级党政机关的信访工作。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（八）开展信访工作宣传和调研；指导全县信访工作业务，总结推广信访工作经验，提出加强和改进信访工作的意见。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（九）负责全县信访工作的综合管理，负责指导全县信访工作的组织建设和理论建设</w:t>
      </w:r>
      <w:r w:rsidRPr="00F04C19">
        <w:rPr>
          <w:rFonts w:eastAsia="仿宋_GB2312" w:hint="eastAsia"/>
          <w:color w:val="000000"/>
          <w:sz w:val="32"/>
          <w:szCs w:val="32"/>
        </w:rPr>
        <w:t>;</w:t>
      </w:r>
      <w:r w:rsidRPr="00F04C19">
        <w:rPr>
          <w:rFonts w:eastAsia="仿宋_GB2312" w:hint="eastAsia"/>
          <w:color w:val="000000"/>
          <w:sz w:val="32"/>
          <w:szCs w:val="32"/>
        </w:rPr>
        <w:t>制定并组织实施信访工作规划，协助县委、县政府部署、督查信访工作。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（十）掌握全县信访工作队伍建设情况，提出加强信访队伍建设的措施，对信访工作中失职、渎职行为提出处理建议，组织信访干部培训。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（十一）指导全县信访办公自动化建设和信访信息系统的运行、监管。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(</w:t>
      </w:r>
      <w:r w:rsidRPr="00F04C19">
        <w:rPr>
          <w:rFonts w:eastAsia="仿宋_GB2312" w:hint="eastAsia"/>
          <w:color w:val="000000"/>
          <w:sz w:val="32"/>
          <w:szCs w:val="32"/>
        </w:rPr>
        <w:t>十二</w:t>
      </w:r>
      <w:r w:rsidRPr="00F04C19">
        <w:rPr>
          <w:rFonts w:eastAsia="仿宋_GB2312" w:hint="eastAsia"/>
          <w:color w:val="000000"/>
          <w:sz w:val="32"/>
          <w:szCs w:val="32"/>
        </w:rPr>
        <w:t>)</w:t>
      </w:r>
      <w:r w:rsidRPr="00F04C19">
        <w:rPr>
          <w:rFonts w:eastAsia="仿宋_GB2312" w:hint="eastAsia"/>
          <w:color w:val="000000"/>
          <w:sz w:val="32"/>
          <w:szCs w:val="32"/>
        </w:rPr>
        <w:t>完成县委、县政府交办的其他事项。</w:t>
      </w:r>
    </w:p>
    <w:p w:rsidR="00195EF9" w:rsidRPr="00F04C1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lastRenderedPageBreak/>
        <w:tab/>
        <w:t>2</w:t>
      </w:r>
      <w:r w:rsidRPr="00F04C19">
        <w:rPr>
          <w:rFonts w:eastAsia="仿宋_GB2312" w:hint="eastAsia"/>
          <w:color w:val="000000"/>
          <w:sz w:val="32"/>
          <w:szCs w:val="32"/>
        </w:rPr>
        <w:t>、单位内设机构：</w:t>
      </w:r>
    </w:p>
    <w:p w:rsidR="00195EF9" w:rsidRDefault="00195EF9" w:rsidP="00195EF9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04C19">
        <w:rPr>
          <w:rFonts w:eastAsia="仿宋_GB2312" w:hint="eastAsia"/>
          <w:color w:val="000000"/>
          <w:sz w:val="32"/>
          <w:szCs w:val="32"/>
        </w:rPr>
        <w:t>办公室、办信网信室、综合接待室和协调督查室。</w:t>
      </w:r>
    </w:p>
    <w:p w:rsidR="00195EF9" w:rsidRDefault="00195EF9" w:rsidP="00195EF9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195EF9" w:rsidRDefault="00195EF9" w:rsidP="00195EF9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一般公共预算支出</w:t>
      </w:r>
      <w:r w:rsidRPr="00F04C19">
        <w:rPr>
          <w:rFonts w:eastAsia="仿宋_GB2312"/>
          <w:sz w:val="32"/>
          <w:szCs w:val="32"/>
        </w:rPr>
        <w:t>607.61</w:t>
      </w:r>
      <w:r w:rsidRPr="0051312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，具体情况如下：</w:t>
      </w:r>
    </w:p>
    <w:p w:rsidR="00195EF9" w:rsidRDefault="00195EF9" w:rsidP="00195EF9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195EF9" w:rsidRDefault="00195EF9" w:rsidP="00195EF9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年基本支出</w:t>
      </w:r>
      <w:r w:rsidRPr="00F04C19">
        <w:rPr>
          <w:rFonts w:eastAsia="仿宋_GB2312"/>
          <w:sz w:val="32"/>
          <w:szCs w:val="32"/>
        </w:rPr>
        <w:t>592.61</w:t>
      </w:r>
      <w:r w:rsidRPr="00513127">
        <w:rPr>
          <w:rFonts w:eastAsia="仿宋_GB2312" w:hint="eastAsia"/>
          <w:sz w:val="32"/>
          <w:szCs w:val="32"/>
        </w:rPr>
        <w:t>万元，其中：人员支出</w:t>
      </w:r>
      <w:r w:rsidRPr="00F04C19">
        <w:rPr>
          <w:rFonts w:eastAsia="仿宋_GB2312"/>
          <w:sz w:val="32"/>
          <w:szCs w:val="32"/>
        </w:rPr>
        <w:t>303.34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51.19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，公用支出</w:t>
      </w:r>
      <w:r w:rsidRPr="00F04C19">
        <w:rPr>
          <w:rFonts w:eastAsia="仿宋_GB2312"/>
          <w:sz w:val="32"/>
          <w:szCs w:val="32"/>
        </w:rPr>
        <w:t>289.27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48.81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195EF9" w:rsidRDefault="00195EF9" w:rsidP="00195EF9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195EF9" w:rsidRPr="00513127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 w:hint="eastAsia"/>
          <w:color w:val="000000"/>
          <w:sz w:val="32"/>
          <w:szCs w:val="32"/>
        </w:rPr>
        <w:t>15</w:t>
      </w:r>
      <w:r>
        <w:rPr>
          <w:rFonts w:eastAsia="仿宋_GB2312" w:hint="eastAsia"/>
          <w:color w:val="000000"/>
          <w:sz w:val="32"/>
          <w:szCs w:val="32"/>
        </w:rPr>
        <w:t>万元，项目指标下达及时，支付按进度完成，项目资金主要用</w:t>
      </w:r>
      <w:r>
        <w:rPr>
          <w:rFonts w:ascii="宋体" w:hAnsi="宋体" w:cs="宋体" w:hint="eastAsia"/>
          <w:color w:val="000000"/>
          <w:sz w:val="32"/>
          <w:szCs w:val="32"/>
        </w:rPr>
        <w:t>于</w:t>
      </w:r>
      <w:r>
        <w:rPr>
          <w:rFonts w:eastAsia="仿宋_GB2312" w:hint="eastAsia"/>
          <w:color w:val="000000"/>
          <w:sz w:val="32"/>
          <w:szCs w:val="32"/>
        </w:rPr>
        <w:t>疑难信访、信访维稳等业务工作专项支出。项目资金支付都是按照预算执行，实行专款专用，项目实施完成后，达到了预期经济效益及社会效益，圆满的完成了各项任务。</w:t>
      </w:r>
    </w:p>
    <w:p w:rsidR="00195EF9" w:rsidRPr="00F0404C" w:rsidRDefault="00195EF9" w:rsidP="00195EF9">
      <w:pPr>
        <w:pStyle w:val="a0"/>
      </w:pPr>
    </w:p>
    <w:p w:rsidR="00195EF9" w:rsidRDefault="00195EF9" w:rsidP="00195EF9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三、政府性基金预算支出情况</w:t>
      </w:r>
    </w:p>
    <w:p w:rsidR="00195EF9" w:rsidRDefault="00195EF9" w:rsidP="00195EF9">
      <w:pPr>
        <w:spacing w:before="219" w:line="600" w:lineRule="exact"/>
        <w:ind w:left="662"/>
        <w:rPr>
          <w:rFonts w:ascii="黑体" w:eastAsia="黑体" w:hAnsi="黑体" w:cs="黑体"/>
          <w:spacing w:val="7"/>
          <w:position w:val="21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2023年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无</w:t>
      </w: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政府性基金预算支出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。</w:t>
      </w:r>
    </w:p>
    <w:p w:rsidR="00195EF9" w:rsidRDefault="00195EF9" w:rsidP="00195EF9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195EF9" w:rsidRDefault="00195EF9" w:rsidP="00195EF9">
      <w:pPr>
        <w:spacing w:line="227" w:lineRule="auto"/>
        <w:ind w:left="651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t>2023年无国有资本经营预算支出。</w:t>
      </w:r>
    </w:p>
    <w:p w:rsidR="00195EF9" w:rsidRDefault="00195EF9" w:rsidP="00195EF9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195EF9" w:rsidRDefault="00195EF9" w:rsidP="00195EF9">
      <w:pPr>
        <w:spacing w:before="219" w:line="226" w:lineRule="auto"/>
        <w:ind w:left="653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2023年无社会保险基金预算支出。</w:t>
      </w:r>
    </w:p>
    <w:p w:rsidR="00195EF9" w:rsidRDefault="00195EF9" w:rsidP="00195EF9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年度部门整体支出绩效情况如下：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1.</w:t>
      </w:r>
      <w:r w:rsidRPr="00C30392"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2.</w:t>
      </w:r>
      <w:r w:rsidRPr="00C30392"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通过对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 w:rsidRPr="00C30392">
        <w:rPr>
          <w:rFonts w:eastAsia="仿宋_GB2312" w:hint="eastAsia"/>
          <w:sz w:val="32"/>
          <w:szCs w:val="32"/>
        </w:rPr>
        <w:t xml:space="preserve"> 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195EF9" w:rsidRDefault="00195EF9" w:rsidP="00195EF9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195EF9" w:rsidRPr="00513127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195EF9" w:rsidRDefault="00195EF9" w:rsidP="00195EF9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八、下一步改进措施</w:t>
      </w:r>
    </w:p>
    <w:p w:rsidR="00195EF9" w:rsidRPr="00513127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195EF9" w:rsidRDefault="00195EF9" w:rsidP="00195EF9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年整体支出绩效自评随</w:t>
      </w: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年部门决算一起在政府门户网站公开。</w:t>
      </w:r>
    </w:p>
    <w:p w:rsidR="00195EF9" w:rsidRDefault="00195EF9" w:rsidP="00195EF9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195EF9" w:rsidRPr="00C30392" w:rsidRDefault="00195EF9" w:rsidP="00195EF9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无</w:t>
      </w:r>
    </w:p>
    <w:p w:rsidR="00423832" w:rsidRDefault="00423832"/>
    <w:sectPr w:rsidR="00423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832" w:rsidRDefault="00423832" w:rsidP="00195EF9">
      <w:r>
        <w:separator/>
      </w:r>
    </w:p>
  </w:endnote>
  <w:endnote w:type="continuationSeparator" w:id="1">
    <w:p w:rsidR="00423832" w:rsidRDefault="00423832" w:rsidP="00195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80E0000" w:usb2="00000000" w:usb3="00000000" w:csb0="00040000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F9" w:rsidRDefault="00195EF9">
    <w:pPr>
      <w:pStyle w:val="a6"/>
      <w:spacing w:before="1" w:line="174" w:lineRule="auto"/>
      <w:jc w:val="center"/>
      <w:rPr>
        <w:sz w:val="28"/>
        <w:szCs w:val="28"/>
      </w:rPr>
    </w:pPr>
    <w:r w:rsidRPr="001E71B5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14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next-textbox:#_x0000_s1025;mso-fit-shape-to-text:t" inset="0,0,0,0">
            <w:txbxContent>
              <w:p w:rsidR="00195EF9" w:rsidRDefault="00195EF9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195EF9">
                  <w:rPr>
                    <w:rFonts w:eastAsia="华文仿宋"/>
                    <w:noProof/>
                    <w:sz w:val="32"/>
                    <w:szCs w:val="32"/>
                  </w:rPr>
                  <w:t>12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832" w:rsidRDefault="00423832" w:rsidP="00195EF9">
      <w:r>
        <w:separator/>
      </w:r>
    </w:p>
  </w:footnote>
  <w:footnote w:type="continuationSeparator" w:id="1">
    <w:p w:rsidR="00423832" w:rsidRDefault="00423832" w:rsidP="00195E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EF9"/>
    <w:rsid w:val="00195EF9"/>
    <w:rsid w:val="00423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195E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195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195E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195E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qFormat/>
    <w:rsid w:val="00195EF9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195EF9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195EF9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195EF9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195EF9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2024-06-03T06:44:00Z</dcterms:created>
  <dcterms:modified xsi:type="dcterms:W3CDTF">2024-06-03T06:44:00Z</dcterms:modified>
</cp:coreProperties>
</file>