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E03" w:rsidRDefault="00643E03" w:rsidP="00643E03">
      <w:pPr>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附件3</w:t>
      </w:r>
    </w:p>
    <w:p w:rsidR="00643E03" w:rsidRDefault="00643E03" w:rsidP="00643E03">
      <w:pPr>
        <w:spacing w:line="251" w:lineRule="auto"/>
        <w:rPr>
          <w:rFonts w:ascii="Arial"/>
        </w:rPr>
      </w:pPr>
    </w:p>
    <w:p w:rsidR="00643E03" w:rsidRDefault="00643E03" w:rsidP="00643E03">
      <w:pPr>
        <w:spacing w:line="251" w:lineRule="auto"/>
        <w:rPr>
          <w:rFonts w:ascii="Arial"/>
        </w:rPr>
      </w:pPr>
    </w:p>
    <w:p w:rsidR="00643E03" w:rsidRDefault="00643E03" w:rsidP="00643E03">
      <w:pPr>
        <w:rPr>
          <w:rFonts w:ascii="Arial"/>
        </w:rPr>
      </w:pPr>
    </w:p>
    <w:p w:rsidR="00643E03" w:rsidRDefault="00643E03" w:rsidP="00643E03">
      <w:pPr>
        <w:pStyle w:val="a0"/>
      </w:pPr>
    </w:p>
    <w:p w:rsidR="00643E03" w:rsidRDefault="00643E03" w:rsidP="00643E03"/>
    <w:p w:rsidR="00643E03" w:rsidRDefault="00643E03" w:rsidP="00643E03">
      <w:pPr>
        <w:spacing w:before="223" w:line="218" w:lineRule="auto"/>
        <w:ind w:firstLineChars="200" w:firstLine="1036"/>
        <w:rPr>
          <w:rFonts w:ascii="方正小标宋简体" w:eastAsia="方正小标宋简体" w:hAnsi="方正小标宋简体" w:cs="方正小标宋简体"/>
          <w:spacing w:val="-1"/>
          <w:sz w:val="52"/>
          <w:szCs w:val="52"/>
        </w:rPr>
      </w:pPr>
      <w:r>
        <w:rPr>
          <w:rFonts w:ascii="方正小标宋简体" w:eastAsia="方正小标宋简体" w:hAnsi="方正小标宋简体" w:cs="方正小标宋简体" w:hint="eastAsia"/>
          <w:spacing w:val="-1"/>
          <w:sz w:val="52"/>
          <w:szCs w:val="52"/>
        </w:rPr>
        <w:t>2023年度华容县行政审批服务局</w:t>
      </w:r>
    </w:p>
    <w:p w:rsidR="00643E03" w:rsidRDefault="00643E03" w:rsidP="00643E03">
      <w:pPr>
        <w:spacing w:before="223" w:line="218" w:lineRule="auto"/>
        <w:ind w:firstLineChars="250" w:firstLine="1295"/>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pacing w:val="-1"/>
          <w:sz w:val="52"/>
          <w:szCs w:val="52"/>
        </w:rPr>
        <w:t>部门整体支出</w:t>
      </w:r>
      <w:r>
        <w:rPr>
          <w:rFonts w:ascii="方正小标宋简体" w:eastAsia="方正小标宋简体" w:hAnsi="方正小标宋简体" w:cs="方正小标宋简体" w:hint="eastAsia"/>
          <w:spacing w:val="-3"/>
          <w:sz w:val="52"/>
          <w:szCs w:val="52"/>
        </w:rPr>
        <w:t>绩效自评报告</w:t>
      </w: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pStyle w:val="a0"/>
        <w:rPr>
          <w:rFonts w:ascii="Arial"/>
          <w:sz w:val="21"/>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3" w:lineRule="auto"/>
        <w:rPr>
          <w:rFonts w:ascii="Arial"/>
        </w:rPr>
      </w:pPr>
    </w:p>
    <w:p w:rsidR="00643E03" w:rsidRDefault="00643E03" w:rsidP="00643E03">
      <w:pPr>
        <w:spacing w:line="244" w:lineRule="auto"/>
        <w:rPr>
          <w:rFonts w:ascii="Arial"/>
        </w:rPr>
      </w:pPr>
    </w:p>
    <w:p w:rsidR="00643E03" w:rsidRDefault="00643E03" w:rsidP="00643E03">
      <w:pPr>
        <w:spacing w:line="244" w:lineRule="auto"/>
        <w:rPr>
          <w:rFonts w:ascii="Arial"/>
        </w:rPr>
      </w:pPr>
    </w:p>
    <w:p w:rsidR="00643E03" w:rsidRDefault="00643E03" w:rsidP="00643E03">
      <w:pPr>
        <w:pStyle w:val="a6"/>
        <w:spacing w:before="100" w:line="221" w:lineRule="auto"/>
        <w:ind w:firstLineChars="200" w:firstLine="600"/>
        <w:rPr>
          <w:rFonts w:ascii="仿宋_GB2312" w:eastAsia="仿宋_GB2312" w:hAnsi="仿宋_GB2312" w:cs="仿宋_GB2312"/>
          <w:sz w:val="32"/>
          <w:szCs w:val="32"/>
          <w:lang w:eastAsia="zh-CN"/>
        </w:rPr>
      </w:pPr>
      <w:r>
        <w:rPr>
          <w:rFonts w:ascii="仿宋_GB2312" w:eastAsia="仿宋_GB2312" w:hAnsi="仿宋_GB2312" w:cs="仿宋_GB2312" w:hint="eastAsia"/>
          <w:spacing w:val="-10"/>
          <w:sz w:val="32"/>
          <w:szCs w:val="32"/>
          <w:lang w:eastAsia="zh-CN"/>
        </w:rPr>
        <w:t>部门（单位）名称</w:t>
      </w:r>
      <w:r>
        <w:rPr>
          <w:rFonts w:ascii="仿宋_GB2312" w:eastAsia="仿宋_GB2312" w:hAnsi="仿宋_GB2312" w:cs="仿宋_GB2312" w:hint="eastAsia"/>
          <w:spacing w:val="4"/>
          <w:sz w:val="32"/>
          <w:szCs w:val="32"/>
          <w:lang w:eastAsia="zh-CN"/>
        </w:rPr>
        <w:t>：</w:t>
      </w:r>
      <w:r>
        <w:rPr>
          <w:rFonts w:ascii="仿宋_GB2312" w:eastAsia="仿宋_GB2312" w:hAnsi="仿宋_GB2312" w:cs="仿宋_GB2312" w:hint="eastAsia"/>
          <w:spacing w:val="4"/>
          <w:sz w:val="32"/>
          <w:szCs w:val="32"/>
          <w:u w:val="single"/>
          <w:lang w:eastAsia="zh-CN"/>
        </w:rPr>
        <w:t>(</w:t>
      </w:r>
      <w:r>
        <w:rPr>
          <w:rFonts w:ascii="仿宋_GB2312" w:eastAsia="仿宋_GB2312" w:hAnsi="仿宋_GB2312" w:cs="仿宋_GB2312" w:hint="eastAsia"/>
          <w:spacing w:val="-10"/>
          <w:sz w:val="32"/>
          <w:szCs w:val="32"/>
          <w:u w:val="single"/>
          <w:lang w:eastAsia="zh-CN"/>
        </w:rPr>
        <w:t>盖章）</w:t>
      </w:r>
    </w:p>
    <w:p w:rsidR="00643E03" w:rsidRDefault="00643E03" w:rsidP="00643E03">
      <w:pPr>
        <w:spacing w:before="228" w:line="222" w:lineRule="auto"/>
        <w:ind w:firstLineChars="1050" w:firstLine="3192"/>
        <w:rPr>
          <w:rFonts w:ascii="仿宋_GB2312" w:eastAsia="仿宋_GB2312" w:hAnsi="仿宋_GB2312" w:cs="仿宋_GB2312"/>
          <w:sz w:val="32"/>
          <w:szCs w:val="32"/>
        </w:rPr>
      </w:pPr>
      <w:r>
        <w:rPr>
          <w:rFonts w:ascii="仿宋_GB2312" w:eastAsia="仿宋_GB2312" w:hAnsi="仿宋_GB2312" w:cs="仿宋_GB2312" w:hint="eastAsia"/>
          <w:spacing w:val="-8"/>
          <w:sz w:val="32"/>
          <w:szCs w:val="32"/>
        </w:rPr>
        <w:t>2024年 5月  28日</w:t>
      </w:r>
    </w:p>
    <w:p w:rsidR="00643E03" w:rsidRDefault="00643E03" w:rsidP="00643E03">
      <w:pPr>
        <w:spacing w:line="335" w:lineRule="auto"/>
        <w:rPr>
          <w:rFonts w:ascii="仿宋_GB2312" w:eastAsia="仿宋_GB2312" w:hAnsi="仿宋_GB2312" w:cs="仿宋_GB2312"/>
          <w:sz w:val="32"/>
          <w:szCs w:val="32"/>
        </w:rPr>
      </w:pPr>
    </w:p>
    <w:p w:rsidR="00643E03" w:rsidRDefault="00643E03" w:rsidP="00643E03">
      <w:pPr>
        <w:pStyle w:val="a6"/>
        <w:spacing w:before="102" w:line="224" w:lineRule="auto"/>
        <w:ind w:left="3216"/>
        <w:rPr>
          <w:rFonts w:ascii="仿宋_GB2312" w:eastAsia="仿宋_GB2312" w:hAnsi="仿宋_GB2312" w:cs="仿宋_GB2312"/>
          <w:sz w:val="32"/>
          <w:szCs w:val="32"/>
          <w:lang w:eastAsia="zh-CN"/>
        </w:rPr>
      </w:pPr>
      <w:r>
        <w:rPr>
          <w:rFonts w:ascii="仿宋_GB2312" w:eastAsia="仿宋_GB2312" w:hAnsi="仿宋_GB2312" w:cs="仿宋_GB2312" w:hint="eastAsia"/>
          <w:spacing w:val="8"/>
          <w:sz w:val="32"/>
          <w:szCs w:val="32"/>
          <w:lang w:eastAsia="zh-CN"/>
        </w:rPr>
        <w:t>（此页为封面）</w:t>
      </w:r>
    </w:p>
    <w:p w:rsidR="00643E03" w:rsidRDefault="00643E03" w:rsidP="00643E03">
      <w:r>
        <w:br w:type="page"/>
      </w:r>
    </w:p>
    <w:p w:rsidR="00643E03" w:rsidRDefault="00643E03" w:rsidP="00643E03">
      <w:pPr>
        <w:pStyle w:val="a0"/>
        <w:sectPr w:rsidR="00643E03">
          <w:footerReference w:type="default" r:id="rId6"/>
          <w:pgSz w:w="11905" w:h="16838"/>
          <w:pgMar w:top="1984" w:right="1701" w:bottom="1984" w:left="1701" w:header="850" w:footer="1587" w:gutter="0"/>
          <w:pgNumType w:fmt="numberInDash" w:start="7"/>
          <w:cols w:space="0"/>
          <w:docGrid w:type="lines" w:linePitch="314"/>
        </w:sectPr>
      </w:pPr>
    </w:p>
    <w:p w:rsidR="00643E03" w:rsidRDefault="00643E03" w:rsidP="00643E03">
      <w:pPr>
        <w:spacing w:line="580" w:lineRule="exact"/>
        <w:jc w:val="center"/>
        <w:rPr>
          <w:rFonts w:ascii="方正小标宋简体" w:eastAsia="方正小标宋简体" w:hAnsi="方正小标宋简体" w:cs="方正小标宋简体"/>
          <w:spacing w:val="6"/>
          <w:sz w:val="44"/>
          <w:szCs w:val="44"/>
        </w:rPr>
      </w:pPr>
    </w:p>
    <w:p w:rsidR="00643E03" w:rsidRDefault="00643E03" w:rsidP="00643E03">
      <w:pPr>
        <w:pStyle w:val="a0"/>
      </w:pPr>
    </w:p>
    <w:p w:rsidR="00643E03" w:rsidRDefault="00643E03" w:rsidP="00643E03">
      <w:pPr>
        <w:spacing w:line="580" w:lineRule="exact"/>
        <w:jc w:val="center"/>
        <w:rPr>
          <w:rFonts w:ascii="方正小标宋简体" w:eastAsia="方正小标宋简体" w:hAnsi="方正小标宋简体" w:cs="方正小标宋简体"/>
          <w:spacing w:val="6"/>
          <w:sz w:val="44"/>
          <w:szCs w:val="44"/>
        </w:rPr>
      </w:pPr>
      <w:r>
        <w:rPr>
          <w:rFonts w:ascii="方正小标宋简体" w:eastAsia="方正小标宋简体" w:hAnsi="方正小标宋简体" w:cs="方正小标宋简体" w:hint="eastAsia"/>
          <w:spacing w:val="6"/>
          <w:sz w:val="44"/>
          <w:szCs w:val="44"/>
        </w:rPr>
        <w:t>2023年度华容县行政审批服务局</w:t>
      </w:r>
    </w:p>
    <w:p w:rsidR="00643E03" w:rsidRDefault="00643E03" w:rsidP="00643E03">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pacing w:val="6"/>
          <w:sz w:val="44"/>
          <w:szCs w:val="44"/>
        </w:rPr>
        <w:t>部门整体支出</w:t>
      </w:r>
      <w:r>
        <w:rPr>
          <w:rFonts w:ascii="方正小标宋简体" w:eastAsia="方正小标宋简体" w:hAnsi="方正小标宋简体" w:cs="方正小标宋简体" w:hint="eastAsia"/>
          <w:spacing w:val="7"/>
          <w:sz w:val="44"/>
          <w:szCs w:val="44"/>
        </w:rPr>
        <w:t>绩效自评报告</w:t>
      </w:r>
    </w:p>
    <w:p w:rsidR="00643E03" w:rsidRDefault="00643E03" w:rsidP="00643E03">
      <w:pPr>
        <w:spacing w:line="283" w:lineRule="auto"/>
        <w:rPr>
          <w:rFonts w:ascii="Arial"/>
        </w:rPr>
      </w:pPr>
    </w:p>
    <w:p w:rsidR="00643E03" w:rsidRDefault="00643E03" w:rsidP="00643E03">
      <w:pPr>
        <w:spacing w:line="284" w:lineRule="auto"/>
        <w:rPr>
          <w:rFonts w:ascii="Arial"/>
        </w:rPr>
      </w:pPr>
    </w:p>
    <w:p w:rsidR="00643E03" w:rsidRDefault="00643E03" w:rsidP="00643E03">
      <w:pPr>
        <w:pStyle w:val="a0"/>
      </w:pPr>
    </w:p>
    <w:p w:rsidR="00643E03" w:rsidRDefault="00643E03" w:rsidP="00643E03">
      <w:pPr>
        <w:spacing w:before="101" w:line="228" w:lineRule="auto"/>
        <w:ind w:left="648"/>
        <w:rPr>
          <w:rFonts w:ascii="黑体" w:eastAsia="黑体" w:hAnsi="黑体" w:cs="黑体"/>
          <w:sz w:val="32"/>
          <w:szCs w:val="32"/>
        </w:rPr>
      </w:pPr>
      <w:r>
        <w:rPr>
          <w:rFonts w:ascii="黑体" w:eastAsia="黑体" w:hAnsi="黑体" w:cs="黑体" w:hint="eastAsia"/>
          <w:spacing w:val="5"/>
          <w:sz w:val="32"/>
          <w:szCs w:val="32"/>
        </w:rPr>
        <w:t>一、部门基本情况</w:t>
      </w:r>
    </w:p>
    <w:p w:rsidR="00643E03" w:rsidRDefault="00643E03" w:rsidP="00643E03">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单位为财政全额预算拨款单位，核定人员编制</w:t>
      </w:r>
      <w:r>
        <w:rPr>
          <w:rFonts w:eastAsia="仿宋_GB2312" w:hint="eastAsia"/>
          <w:color w:val="000000"/>
          <w:sz w:val="32"/>
          <w:szCs w:val="32"/>
        </w:rPr>
        <w:t>29</w:t>
      </w:r>
      <w:r>
        <w:rPr>
          <w:rFonts w:eastAsia="仿宋_GB2312" w:hint="eastAsia"/>
          <w:color w:val="000000"/>
          <w:sz w:val="32"/>
          <w:szCs w:val="32"/>
        </w:rPr>
        <w:t>人，实有人数为</w:t>
      </w:r>
      <w:r>
        <w:rPr>
          <w:rFonts w:eastAsia="仿宋_GB2312" w:hint="eastAsia"/>
          <w:color w:val="000000"/>
          <w:sz w:val="32"/>
          <w:szCs w:val="32"/>
        </w:rPr>
        <w:t>25</w:t>
      </w:r>
      <w:r>
        <w:rPr>
          <w:rFonts w:eastAsia="仿宋_GB2312" w:hint="eastAsia"/>
          <w:color w:val="000000"/>
          <w:sz w:val="32"/>
          <w:szCs w:val="32"/>
        </w:rPr>
        <w:t>人。</w:t>
      </w:r>
    </w:p>
    <w:p w:rsidR="00643E03" w:rsidRDefault="00643E03" w:rsidP="00643E03">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职责职能：对全县具有行政许可及行政审批职能的部门进行分类管理；主要负责对窗口办理的行政许可和行政审批事项全过程进行监督协调，并进行日常考勤考核管理；负责对乡镇和县直单位的政务公开和政务服务工作进行检查督促。</w:t>
      </w:r>
    </w:p>
    <w:p w:rsidR="00643E03" w:rsidRDefault="00643E03" w:rsidP="00643E03">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内设机构：综合办、行政效能股和政务公开股、电子政务股、</w:t>
      </w:r>
      <w:bookmarkStart w:id="0" w:name="_GoBack"/>
      <w:bookmarkEnd w:id="0"/>
      <w:r>
        <w:rPr>
          <w:rFonts w:eastAsia="仿宋_GB2312" w:hint="eastAsia"/>
          <w:color w:val="000000"/>
          <w:sz w:val="32"/>
          <w:szCs w:val="32"/>
        </w:rPr>
        <w:t>行政审批制度改革股。</w:t>
      </w:r>
    </w:p>
    <w:p w:rsidR="00643E03" w:rsidRDefault="00643E03" w:rsidP="00643E03">
      <w:pPr>
        <w:spacing w:before="216" w:line="226" w:lineRule="auto"/>
        <w:ind w:left="648"/>
        <w:rPr>
          <w:rFonts w:ascii="黑体" w:eastAsia="黑体" w:hAnsi="黑体" w:cs="黑体"/>
          <w:sz w:val="32"/>
          <w:szCs w:val="32"/>
        </w:rPr>
      </w:pPr>
      <w:r>
        <w:rPr>
          <w:rFonts w:ascii="黑体" w:eastAsia="黑体" w:hAnsi="黑体" w:cs="黑体" w:hint="eastAsia"/>
          <w:spacing w:val="-2"/>
          <w:sz w:val="32"/>
          <w:szCs w:val="32"/>
        </w:rPr>
        <w:t>二、一般公共预算支出情况</w:t>
      </w:r>
    </w:p>
    <w:p w:rsidR="00643E03" w:rsidRDefault="00643E03" w:rsidP="00643E03">
      <w:pPr>
        <w:ind w:firstLineChars="200" w:firstLine="640"/>
        <w:rPr>
          <w:rFonts w:ascii="楷体_GB2312" w:eastAsia="楷体_GB2312" w:hAnsi="楷体_GB2312" w:cs="楷体_GB2312"/>
          <w:b/>
          <w:bCs/>
          <w:sz w:val="32"/>
          <w:szCs w:val="32"/>
        </w:rPr>
      </w:pPr>
      <w:r>
        <w:rPr>
          <w:rFonts w:eastAsia="仿宋_GB2312" w:hint="eastAsia"/>
          <w:sz w:val="32"/>
          <w:szCs w:val="32"/>
        </w:rPr>
        <w:t>2023</w:t>
      </w:r>
      <w:r>
        <w:rPr>
          <w:rFonts w:eastAsia="仿宋_GB2312" w:hint="eastAsia"/>
          <w:sz w:val="32"/>
          <w:szCs w:val="32"/>
        </w:rPr>
        <w:t>年一般公共预算支出</w:t>
      </w:r>
      <w:r>
        <w:rPr>
          <w:rFonts w:eastAsia="仿宋_GB2312"/>
          <w:sz w:val="32"/>
          <w:szCs w:val="32"/>
        </w:rPr>
        <w:t>1555.68</w:t>
      </w:r>
      <w:r>
        <w:rPr>
          <w:rFonts w:eastAsia="仿宋_GB2312" w:hint="eastAsia"/>
          <w:sz w:val="32"/>
          <w:szCs w:val="32"/>
        </w:rPr>
        <w:t>万元，具体情况如下：</w:t>
      </w:r>
    </w:p>
    <w:p w:rsidR="00643E03" w:rsidRDefault="00643E03" w:rsidP="00643E03">
      <w:pPr>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（一）基本支出情况</w:t>
      </w:r>
    </w:p>
    <w:p w:rsidR="00643E03" w:rsidRDefault="00643E03" w:rsidP="00643E03">
      <w:pPr>
        <w:ind w:firstLineChars="200" w:firstLine="640"/>
        <w:rPr>
          <w:rFonts w:ascii="楷体_GB2312" w:eastAsia="楷体_GB2312" w:hAnsi="楷体_GB2312" w:cs="楷体_GB2312"/>
          <w:b/>
          <w:bCs/>
          <w:sz w:val="32"/>
          <w:szCs w:val="32"/>
        </w:rPr>
      </w:pPr>
      <w:r>
        <w:rPr>
          <w:rFonts w:eastAsia="仿宋_GB2312" w:hint="eastAsia"/>
          <w:sz w:val="32"/>
          <w:szCs w:val="32"/>
        </w:rPr>
        <w:t>2023</w:t>
      </w:r>
      <w:r>
        <w:rPr>
          <w:rFonts w:eastAsia="仿宋_GB2312" w:hint="eastAsia"/>
          <w:sz w:val="32"/>
          <w:szCs w:val="32"/>
        </w:rPr>
        <w:t>年基本支出</w:t>
      </w:r>
      <w:r>
        <w:rPr>
          <w:rFonts w:eastAsia="仿宋_GB2312"/>
          <w:sz w:val="32"/>
          <w:szCs w:val="32"/>
        </w:rPr>
        <w:t>250.57</w:t>
      </w:r>
      <w:r>
        <w:rPr>
          <w:rFonts w:eastAsia="仿宋_GB2312" w:hint="eastAsia"/>
          <w:sz w:val="32"/>
          <w:szCs w:val="32"/>
        </w:rPr>
        <w:t>万元，其中：人员支出</w:t>
      </w:r>
      <w:r>
        <w:rPr>
          <w:rFonts w:eastAsia="仿宋_GB2312"/>
          <w:sz w:val="32"/>
          <w:szCs w:val="32"/>
        </w:rPr>
        <w:t>155.3</w:t>
      </w:r>
      <w:r>
        <w:rPr>
          <w:rFonts w:eastAsia="仿宋_GB2312" w:hint="eastAsia"/>
          <w:sz w:val="32"/>
          <w:szCs w:val="32"/>
        </w:rPr>
        <w:t>万元，占基本支出的</w:t>
      </w:r>
      <w:r>
        <w:rPr>
          <w:rFonts w:eastAsia="仿宋_GB2312" w:hint="eastAsia"/>
          <w:sz w:val="32"/>
          <w:szCs w:val="32"/>
        </w:rPr>
        <w:t>61.98%</w:t>
      </w:r>
      <w:r>
        <w:rPr>
          <w:rFonts w:eastAsia="仿宋_GB2312" w:hint="eastAsia"/>
          <w:sz w:val="32"/>
          <w:szCs w:val="32"/>
        </w:rPr>
        <w:t>，公用支出</w:t>
      </w:r>
      <w:r>
        <w:rPr>
          <w:rFonts w:eastAsia="仿宋_GB2312"/>
          <w:sz w:val="32"/>
          <w:szCs w:val="32"/>
        </w:rPr>
        <w:t>95.27</w:t>
      </w:r>
      <w:r>
        <w:rPr>
          <w:rFonts w:eastAsia="仿宋_GB2312" w:hint="eastAsia"/>
          <w:sz w:val="32"/>
          <w:szCs w:val="32"/>
        </w:rPr>
        <w:t>万元，占基本支出的</w:t>
      </w:r>
      <w:r>
        <w:rPr>
          <w:rFonts w:eastAsia="仿宋_GB2312" w:hint="eastAsia"/>
          <w:sz w:val="32"/>
          <w:szCs w:val="32"/>
        </w:rPr>
        <w:t>38.02%</w:t>
      </w:r>
      <w:r>
        <w:rPr>
          <w:rFonts w:eastAsia="仿宋_GB2312" w:hint="eastAsia"/>
          <w:sz w:val="32"/>
          <w:szCs w:val="32"/>
        </w:rPr>
        <w:t>。单位厉行节约，保障了机构人员工资、社保和福利的及时发放，保障了机构的正常运转。</w:t>
      </w:r>
    </w:p>
    <w:p w:rsidR="00643E03" w:rsidRDefault="00643E03" w:rsidP="00643E03">
      <w:pPr>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lastRenderedPageBreak/>
        <w:t>（二）项目支出情况</w:t>
      </w:r>
    </w:p>
    <w:p w:rsidR="00643E03" w:rsidRDefault="00643E03" w:rsidP="00643E03">
      <w:pPr>
        <w:widowControl/>
        <w:spacing w:line="610" w:lineRule="exact"/>
        <w:ind w:firstLineChars="200" w:firstLine="640"/>
        <w:rPr>
          <w:rFonts w:eastAsia="仿宋_GB2312"/>
          <w:sz w:val="32"/>
          <w:szCs w:val="32"/>
        </w:rPr>
      </w:pPr>
      <w:r>
        <w:rPr>
          <w:rFonts w:eastAsia="仿宋_GB2312" w:hint="eastAsia"/>
          <w:color w:val="000000"/>
          <w:sz w:val="32"/>
          <w:szCs w:val="32"/>
        </w:rPr>
        <w:t>2023</w:t>
      </w:r>
      <w:r>
        <w:rPr>
          <w:rFonts w:eastAsia="仿宋_GB2312" w:hint="eastAsia"/>
          <w:color w:val="000000"/>
          <w:sz w:val="32"/>
          <w:szCs w:val="32"/>
        </w:rPr>
        <w:t>年项目支出</w:t>
      </w:r>
      <w:r>
        <w:rPr>
          <w:rFonts w:eastAsia="仿宋_GB2312"/>
          <w:color w:val="000000"/>
          <w:sz w:val="32"/>
          <w:szCs w:val="32"/>
        </w:rPr>
        <w:t>1305.1</w:t>
      </w:r>
      <w:r>
        <w:rPr>
          <w:rFonts w:eastAsia="仿宋_GB2312" w:hint="eastAsia"/>
          <w:color w:val="000000"/>
          <w:sz w:val="32"/>
          <w:szCs w:val="32"/>
        </w:rPr>
        <w:t>万元，项目指标下达及时，支付按进度完成，项目资金主要用于电子政务系统运行维护、一门式系统运行维护、政务服务大厅运转等业务工作专项支出。项目资金支付都是按照预算执行，实行专款专用，项目实施完成后，达到了预期经济效益及社会效益，圆满的完成了各项任务。</w:t>
      </w:r>
    </w:p>
    <w:p w:rsidR="00643E03" w:rsidRDefault="00643E03" w:rsidP="00643E03">
      <w:pPr>
        <w:pStyle w:val="a0"/>
      </w:pPr>
    </w:p>
    <w:p w:rsidR="00643E03" w:rsidRDefault="00643E03" w:rsidP="00643E03">
      <w:pPr>
        <w:spacing w:before="224" w:line="227" w:lineRule="auto"/>
        <w:ind w:left="649"/>
        <w:rPr>
          <w:rFonts w:ascii="黑体" w:eastAsia="黑体" w:hAnsi="黑体" w:cs="黑体"/>
          <w:sz w:val="32"/>
          <w:szCs w:val="32"/>
        </w:rPr>
      </w:pPr>
      <w:r>
        <w:rPr>
          <w:rFonts w:ascii="黑体" w:eastAsia="黑体" w:hAnsi="黑体" w:cs="黑体" w:hint="eastAsia"/>
          <w:spacing w:val="8"/>
          <w:sz w:val="32"/>
          <w:szCs w:val="32"/>
        </w:rPr>
        <w:t>三、政府性基金预算支出情况</w:t>
      </w:r>
    </w:p>
    <w:p w:rsidR="00643E03" w:rsidRDefault="00643E03" w:rsidP="00643E03">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2023</w:t>
      </w:r>
      <w:r>
        <w:rPr>
          <w:rFonts w:eastAsia="仿宋_GB2312" w:hint="eastAsia"/>
          <w:color w:val="000000"/>
          <w:sz w:val="32"/>
          <w:szCs w:val="32"/>
        </w:rPr>
        <w:t>年无政府性基金预算支出。</w:t>
      </w:r>
    </w:p>
    <w:p w:rsidR="00643E03" w:rsidRDefault="00643E03" w:rsidP="00643E03">
      <w:pPr>
        <w:spacing w:before="219" w:line="600" w:lineRule="exact"/>
        <w:ind w:left="662"/>
        <w:rPr>
          <w:rFonts w:ascii="黑体" w:eastAsia="黑体" w:hAnsi="黑体" w:cs="黑体"/>
          <w:sz w:val="32"/>
          <w:szCs w:val="32"/>
        </w:rPr>
      </w:pPr>
      <w:r>
        <w:rPr>
          <w:rFonts w:ascii="黑体" w:eastAsia="黑体" w:hAnsi="黑体" w:cs="黑体" w:hint="eastAsia"/>
          <w:spacing w:val="7"/>
          <w:position w:val="21"/>
          <w:sz w:val="32"/>
          <w:szCs w:val="32"/>
        </w:rPr>
        <w:t>四、国有资本经营预算支出情况</w:t>
      </w:r>
    </w:p>
    <w:p w:rsidR="00643E03" w:rsidRDefault="00643E03" w:rsidP="00643E03">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2023</w:t>
      </w:r>
      <w:r>
        <w:rPr>
          <w:rFonts w:eastAsia="仿宋_GB2312" w:hint="eastAsia"/>
          <w:color w:val="000000"/>
          <w:sz w:val="32"/>
          <w:szCs w:val="32"/>
        </w:rPr>
        <w:t>年无国有资本经营预算支出。</w:t>
      </w:r>
    </w:p>
    <w:p w:rsidR="00643E03" w:rsidRDefault="00643E03" w:rsidP="00643E03">
      <w:pPr>
        <w:spacing w:line="227" w:lineRule="auto"/>
        <w:ind w:left="651"/>
        <w:rPr>
          <w:rFonts w:ascii="黑体" w:eastAsia="黑体" w:hAnsi="黑体" w:cs="黑体"/>
          <w:sz w:val="32"/>
          <w:szCs w:val="32"/>
        </w:rPr>
      </w:pPr>
      <w:r>
        <w:rPr>
          <w:rFonts w:ascii="黑体" w:eastAsia="黑体" w:hAnsi="黑体" w:cs="黑体" w:hint="eastAsia"/>
          <w:spacing w:val="8"/>
          <w:sz w:val="32"/>
          <w:szCs w:val="32"/>
        </w:rPr>
        <w:t>五、社会保险基金预算支出情况</w:t>
      </w:r>
    </w:p>
    <w:p w:rsidR="00643E03" w:rsidRDefault="00643E03" w:rsidP="00643E03">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2023</w:t>
      </w:r>
      <w:r>
        <w:rPr>
          <w:rFonts w:eastAsia="仿宋_GB2312" w:hint="eastAsia"/>
          <w:color w:val="000000"/>
          <w:sz w:val="32"/>
          <w:szCs w:val="32"/>
        </w:rPr>
        <w:t>年无社会保险基金预算支出。</w:t>
      </w:r>
    </w:p>
    <w:p w:rsidR="00643E03" w:rsidRDefault="00643E03" w:rsidP="00643E03">
      <w:pPr>
        <w:spacing w:before="219" w:line="226" w:lineRule="auto"/>
        <w:ind w:left="653"/>
        <w:rPr>
          <w:rFonts w:ascii="黑体" w:eastAsia="黑体" w:hAnsi="黑体" w:cs="黑体"/>
          <w:sz w:val="32"/>
          <w:szCs w:val="32"/>
        </w:rPr>
      </w:pPr>
      <w:r>
        <w:rPr>
          <w:rFonts w:ascii="黑体" w:eastAsia="黑体" w:hAnsi="黑体" w:cs="黑体" w:hint="eastAsia"/>
          <w:spacing w:val="8"/>
          <w:sz w:val="32"/>
          <w:szCs w:val="32"/>
        </w:rPr>
        <w:t>六、部门整体支出绩效情况</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根据年初工作规划和重点工作，围绕县委、县政府的工作部署，积极履行职责，强化管理，较好地完成了年度工作目标，同时加强预算收支的管理，建立健全内部管理制度，严格内部管理流程，部门整体支出管理得到了提升。</w:t>
      </w:r>
      <w:r>
        <w:rPr>
          <w:rFonts w:eastAsia="仿宋_GB2312" w:hint="eastAsia"/>
          <w:sz w:val="32"/>
          <w:szCs w:val="32"/>
        </w:rPr>
        <w:t>2023</w:t>
      </w:r>
      <w:r>
        <w:rPr>
          <w:rFonts w:eastAsia="仿宋_GB2312" w:hint="eastAsia"/>
          <w:sz w:val="32"/>
          <w:szCs w:val="32"/>
        </w:rPr>
        <w:t>年度部门整体支出绩效情况如下：</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lastRenderedPageBreak/>
        <w:t>1.</w:t>
      </w:r>
      <w:r>
        <w:rPr>
          <w:rFonts w:eastAsia="仿宋_GB2312" w:hint="eastAsia"/>
          <w:sz w:val="32"/>
          <w:szCs w:val="32"/>
        </w:rPr>
        <w:t>严格预算支出管理。严控行政经费，压缩一般性支出，严格控制“三公”经费，资产的配置严格政府采购，保障机构运行成本。</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完善财务控制管理。按照国家相关法律法规，制定完善了单位内部控制制度，并严格按照制度管理和执行，防范风险，保证机构运行管理效率。</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t>通过对</w:t>
      </w:r>
      <w:r>
        <w:rPr>
          <w:rFonts w:eastAsia="仿宋_GB2312" w:hint="eastAsia"/>
          <w:sz w:val="32"/>
          <w:szCs w:val="32"/>
        </w:rPr>
        <w:t>2023</w:t>
      </w:r>
      <w:r>
        <w:rPr>
          <w:rFonts w:eastAsia="仿宋_GB2312" w:hint="eastAsia"/>
          <w:sz w:val="32"/>
          <w:szCs w:val="32"/>
        </w:rPr>
        <w:t>年的运行成本、管理效率、履职效能、社会效应、可持续发展能力和服务对象满意度等方面综合考评，</w:t>
      </w:r>
      <w:r>
        <w:rPr>
          <w:rFonts w:eastAsia="仿宋_GB2312" w:hint="eastAsia"/>
          <w:sz w:val="32"/>
          <w:szCs w:val="32"/>
        </w:rPr>
        <w:t xml:space="preserve"> 2023</w:t>
      </w:r>
      <w:r>
        <w:rPr>
          <w:rFonts w:eastAsia="仿宋_GB2312" w:hint="eastAsia"/>
          <w:sz w:val="32"/>
          <w:szCs w:val="32"/>
        </w:rPr>
        <w:t>年，较好地完成了年度工作目标，部门整体支出绩效评价为优。</w:t>
      </w:r>
    </w:p>
    <w:p w:rsidR="00643E03" w:rsidRDefault="00643E03" w:rsidP="00643E03">
      <w:pPr>
        <w:spacing w:before="220" w:line="600" w:lineRule="exact"/>
        <w:ind w:left="641"/>
        <w:rPr>
          <w:rFonts w:ascii="黑体" w:eastAsia="黑体" w:hAnsi="黑体" w:cs="黑体"/>
          <w:sz w:val="32"/>
          <w:szCs w:val="32"/>
        </w:rPr>
      </w:pPr>
      <w:r>
        <w:rPr>
          <w:rFonts w:ascii="黑体" w:eastAsia="黑体" w:hAnsi="黑体" w:cs="黑体" w:hint="eastAsia"/>
          <w:spacing w:val="9"/>
          <w:position w:val="21"/>
          <w:sz w:val="32"/>
          <w:szCs w:val="32"/>
        </w:rPr>
        <w:t>七、存在的问题及原因分析</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t>一是进一步加强厉行节约机制，提高单位三保支出的保障能力。</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t>二是预算编制与实际支出项目有的存在差异，有待进一步优化预算，提高预算编制的准确性。</w:t>
      </w:r>
    </w:p>
    <w:p w:rsidR="00643E03" w:rsidRDefault="00643E03" w:rsidP="00643E03">
      <w:pPr>
        <w:spacing w:line="227" w:lineRule="auto"/>
        <w:ind w:left="643"/>
        <w:rPr>
          <w:rFonts w:ascii="黑体" w:eastAsia="黑体" w:hAnsi="黑体" w:cs="黑体"/>
          <w:sz w:val="32"/>
          <w:szCs w:val="32"/>
        </w:rPr>
      </w:pPr>
      <w:r>
        <w:rPr>
          <w:rFonts w:ascii="黑体" w:eastAsia="黑体" w:hAnsi="黑体" w:cs="黑体" w:hint="eastAsia"/>
          <w:spacing w:val="8"/>
          <w:sz w:val="32"/>
          <w:szCs w:val="32"/>
        </w:rPr>
        <w:t>八、下一步改进措施</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t>一是按照预算规定的项目和用途严格财务审核，经费支出严格按预算规定项目的财务支出内容进行财务核算，在预算金额内严格控制费用的支出，先有预算，再有支出。</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t>二是预算财务分析常态化，定期做好预算支出财务分析，做好部门整体支出预算评价工作。</w:t>
      </w:r>
    </w:p>
    <w:p w:rsidR="00643E03" w:rsidRDefault="00643E03" w:rsidP="00643E03">
      <w:pPr>
        <w:spacing w:before="219" w:line="600" w:lineRule="exact"/>
        <w:ind w:left="650"/>
        <w:rPr>
          <w:rFonts w:ascii="黑体" w:eastAsia="黑体" w:hAnsi="黑体" w:cs="黑体"/>
          <w:sz w:val="32"/>
          <w:szCs w:val="32"/>
        </w:rPr>
      </w:pPr>
      <w:r>
        <w:rPr>
          <w:rFonts w:ascii="黑体" w:eastAsia="黑体" w:hAnsi="黑体" w:cs="黑体" w:hint="eastAsia"/>
          <w:spacing w:val="9"/>
          <w:position w:val="21"/>
          <w:sz w:val="32"/>
          <w:szCs w:val="32"/>
        </w:rPr>
        <w:t>九、部门整体支出绩效自评结果拟应用和公开</w:t>
      </w:r>
      <w:r>
        <w:rPr>
          <w:rFonts w:ascii="黑体" w:eastAsia="黑体" w:hAnsi="黑体" w:cs="黑体" w:hint="eastAsia"/>
          <w:spacing w:val="8"/>
          <w:position w:val="21"/>
          <w:sz w:val="32"/>
          <w:szCs w:val="32"/>
        </w:rPr>
        <w:t>情况</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lastRenderedPageBreak/>
        <w:t>2023</w:t>
      </w:r>
      <w:r>
        <w:rPr>
          <w:rFonts w:eastAsia="仿宋_GB2312" w:hint="eastAsia"/>
          <w:sz w:val="32"/>
          <w:szCs w:val="32"/>
        </w:rPr>
        <w:t>年整体支出绩效自评随</w:t>
      </w:r>
      <w:r>
        <w:rPr>
          <w:rFonts w:eastAsia="仿宋_GB2312" w:hint="eastAsia"/>
          <w:sz w:val="32"/>
          <w:szCs w:val="32"/>
        </w:rPr>
        <w:t>2023</w:t>
      </w:r>
      <w:r>
        <w:rPr>
          <w:rFonts w:eastAsia="仿宋_GB2312" w:hint="eastAsia"/>
          <w:sz w:val="32"/>
          <w:szCs w:val="32"/>
        </w:rPr>
        <w:t>年部门决算一起在政府门户网站公开。</w:t>
      </w:r>
    </w:p>
    <w:p w:rsidR="00643E03" w:rsidRDefault="00643E03" w:rsidP="00643E03">
      <w:pPr>
        <w:spacing w:line="226" w:lineRule="auto"/>
        <w:ind w:left="647"/>
        <w:rPr>
          <w:rFonts w:ascii="黑体" w:eastAsia="黑体" w:hAnsi="黑体" w:cs="黑体"/>
          <w:spacing w:val="-3"/>
          <w:sz w:val="32"/>
          <w:szCs w:val="32"/>
        </w:rPr>
      </w:pPr>
      <w:r>
        <w:rPr>
          <w:rFonts w:ascii="黑体" w:eastAsia="黑体" w:hAnsi="黑体" w:cs="黑体" w:hint="eastAsia"/>
          <w:spacing w:val="-3"/>
          <w:sz w:val="32"/>
          <w:szCs w:val="32"/>
        </w:rPr>
        <w:t>十、其他需要说明的情况</w:t>
      </w:r>
    </w:p>
    <w:p w:rsidR="00643E03" w:rsidRDefault="00643E03" w:rsidP="00643E03">
      <w:pPr>
        <w:widowControl/>
        <w:spacing w:line="610" w:lineRule="exact"/>
        <w:ind w:firstLineChars="200" w:firstLine="640"/>
        <w:rPr>
          <w:rFonts w:eastAsia="仿宋_GB2312"/>
          <w:sz w:val="32"/>
          <w:szCs w:val="32"/>
        </w:rPr>
      </w:pPr>
      <w:r>
        <w:rPr>
          <w:rFonts w:eastAsia="仿宋_GB2312" w:hint="eastAsia"/>
          <w:sz w:val="32"/>
          <w:szCs w:val="32"/>
        </w:rPr>
        <w:t>无</w:t>
      </w:r>
    </w:p>
    <w:p w:rsidR="000707AB" w:rsidRDefault="000707AB"/>
    <w:sectPr w:rsidR="000707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7AB" w:rsidRDefault="000707AB" w:rsidP="00643E03">
      <w:r>
        <w:separator/>
      </w:r>
    </w:p>
  </w:endnote>
  <w:endnote w:type="continuationSeparator" w:id="1">
    <w:p w:rsidR="000707AB" w:rsidRDefault="000707AB" w:rsidP="00643E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方正舒体"/>
    <w:charset w:val="86"/>
    <w:family w:val="auto"/>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default"/>
    <w:sig w:usb0="00000000" w:usb1="184F6CFA" w:usb2="00000012"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舒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E03" w:rsidRDefault="00643E03">
    <w:pPr>
      <w:pStyle w:val="a6"/>
      <w:spacing w:before="1" w:line="174" w:lineRule="auto"/>
      <w:jc w:val="center"/>
      <w:rPr>
        <w:sz w:val="28"/>
        <w:szCs w:val="28"/>
      </w:rPr>
    </w:pPr>
    <w:r w:rsidRPr="008A7260">
      <w:rPr>
        <w:sz w:val="28"/>
      </w:rPr>
      <w:pict>
        <v:shapetype id="_x0000_t202" coordsize="21600,21600" o:spt="202" path="m,l,21600r21600,l21600,xe">
          <v:stroke joinstyle="miter"/>
          <v:path gradientshapeok="t" o:connecttype="rect"/>
        </v:shapetype>
        <v:shape id="_x0000_s1025" type="#_x0000_t202" style="position:absolute;left:0;text-align:left;margin-left:104pt;margin-top:0;width:2in;height:2in;z-index:25166028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filled="f" stroked="f" strokeweight=".5pt">
          <v:textbox style="mso-fit-shape-to-text:t" inset="0,0,0,0">
            <w:txbxContent>
              <w:p w:rsidR="00643E03" w:rsidRDefault="00643E03">
                <w:pPr>
                  <w:pStyle w:val="a5"/>
                  <w:ind w:leftChars="250" w:left="525" w:rightChars="250" w:right="525"/>
                  <w:rPr>
                    <w:rFonts w:eastAsia="华文仿宋"/>
                    <w:sz w:val="32"/>
                    <w:szCs w:val="32"/>
                  </w:rPr>
                </w:pPr>
                <w:r>
                  <w:rPr>
                    <w:rFonts w:eastAsia="华文仿宋"/>
                    <w:sz w:val="32"/>
                    <w:szCs w:val="32"/>
                  </w:rPr>
                  <w:fldChar w:fldCharType="begin"/>
                </w:r>
                <w:r>
                  <w:rPr>
                    <w:rFonts w:ascii="Times New Roman" w:eastAsia="华文仿宋" w:hAnsi="Times New Roman" w:cs="Times New Roman"/>
                    <w:sz w:val="32"/>
                    <w:szCs w:val="32"/>
                  </w:rPr>
                  <w:instrText xml:space="preserve"> PAGE  \* MERGEFORMAT </w:instrText>
                </w:r>
                <w:r>
                  <w:rPr>
                    <w:rFonts w:eastAsia="华文仿宋"/>
                    <w:sz w:val="32"/>
                    <w:szCs w:val="32"/>
                  </w:rPr>
                  <w:fldChar w:fldCharType="separate"/>
                </w:r>
                <w:r w:rsidRPr="00643E03">
                  <w:rPr>
                    <w:rFonts w:eastAsia="华文仿宋"/>
                    <w:noProof/>
                    <w:sz w:val="32"/>
                    <w:szCs w:val="32"/>
                  </w:rPr>
                  <w:t>11</w:t>
                </w:r>
                <w:r>
                  <w:rPr>
                    <w:rFonts w:eastAsia="华文仿宋"/>
                    <w:sz w:val="32"/>
                    <w:szCs w:val="32"/>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7AB" w:rsidRDefault="000707AB" w:rsidP="00643E03">
      <w:r>
        <w:separator/>
      </w:r>
    </w:p>
  </w:footnote>
  <w:footnote w:type="continuationSeparator" w:id="1">
    <w:p w:rsidR="000707AB" w:rsidRDefault="000707AB" w:rsidP="00643E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3E03"/>
    <w:rsid w:val="000707AB"/>
    <w:rsid w:val="00643E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43E03"/>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643E0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643E03"/>
    <w:rPr>
      <w:sz w:val="18"/>
      <w:szCs w:val="18"/>
    </w:rPr>
  </w:style>
  <w:style w:type="paragraph" w:styleId="a5">
    <w:name w:val="footer"/>
    <w:basedOn w:val="a"/>
    <w:link w:val="Char0"/>
    <w:uiPriority w:val="99"/>
    <w:unhideWhenUsed/>
    <w:qFormat/>
    <w:rsid w:val="00643E0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qFormat/>
    <w:rsid w:val="00643E03"/>
    <w:rPr>
      <w:sz w:val="18"/>
      <w:szCs w:val="18"/>
    </w:rPr>
  </w:style>
  <w:style w:type="paragraph" w:styleId="a0">
    <w:name w:val="footnote text"/>
    <w:basedOn w:val="a"/>
    <w:next w:val="a"/>
    <w:link w:val="Char1"/>
    <w:qFormat/>
    <w:rsid w:val="00643E03"/>
    <w:pPr>
      <w:snapToGrid w:val="0"/>
      <w:jc w:val="left"/>
    </w:pPr>
    <w:rPr>
      <w:sz w:val="18"/>
      <w:szCs w:val="18"/>
    </w:rPr>
  </w:style>
  <w:style w:type="character" w:customStyle="1" w:styleId="Char1">
    <w:name w:val="脚注文本 Char"/>
    <w:basedOn w:val="a1"/>
    <w:link w:val="a0"/>
    <w:qFormat/>
    <w:rsid w:val="00643E03"/>
    <w:rPr>
      <w:rFonts w:ascii="Times New Roman" w:eastAsia="宋体" w:hAnsi="Times New Roman" w:cs="Times New Roman"/>
      <w:sz w:val="18"/>
      <w:szCs w:val="18"/>
    </w:rPr>
  </w:style>
  <w:style w:type="paragraph" w:styleId="a6">
    <w:name w:val="Body Text"/>
    <w:basedOn w:val="a"/>
    <w:link w:val="Char2"/>
    <w:semiHidden/>
    <w:qFormat/>
    <w:rsid w:val="00643E03"/>
    <w:rPr>
      <w:rFonts w:ascii="仿宋" w:eastAsia="仿宋" w:hAnsi="仿宋" w:cs="仿宋"/>
      <w:sz w:val="31"/>
      <w:szCs w:val="31"/>
      <w:lang w:eastAsia="en-US"/>
    </w:rPr>
  </w:style>
  <w:style w:type="character" w:customStyle="1" w:styleId="Char2">
    <w:name w:val="正文文本 Char"/>
    <w:basedOn w:val="a1"/>
    <w:link w:val="a6"/>
    <w:semiHidden/>
    <w:qFormat/>
    <w:rsid w:val="00643E03"/>
    <w:rPr>
      <w:rFonts w:ascii="仿宋" w:eastAsia="仿宋" w:hAnsi="仿宋" w:cs="仿宋"/>
      <w:sz w:val="31"/>
      <w:szCs w:val="31"/>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2</cp:revision>
  <dcterms:created xsi:type="dcterms:W3CDTF">2024-06-04T17:24:00Z</dcterms:created>
  <dcterms:modified xsi:type="dcterms:W3CDTF">2024-06-04T17:25:00Z</dcterms:modified>
</cp:coreProperties>
</file>