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A755">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7B7BCD21">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华容县行政审批服务局</w:t>
      </w:r>
      <w:r>
        <w:rPr>
          <w:rFonts w:hint="eastAsia" w:ascii="方正小标宋_GBK" w:hAnsi="方正小标宋_GBK" w:eastAsia="方正小标宋_GBK" w:cs="方正小标宋_GBK"/>
          <w:color w:val="auto"/>
          <w:sz w:val="84"/>
          <w:szCs w:val="84"/>
        </w:rPr>
        <w:t>部门决算</w:t>
      </w:r>
    </w:p>
    <w:p w14:paraId="651F7CB3">
      <w:pPr>
        <w:pStyle w:val="14"/>
        <w:spacing w:line="500" w:lineRule="exact"/>
        <w:jc w:val="both"/>
        <w:rPr>
          <w:b/>
          <w:color w:val="auto"/>
          <w:sz w:val="36"/>
          <w:szCs w:val="28"/>
        </w:rPr>
      </w:pPr>
    </w:p>
    <w:p w14:paraId="6899C7ED">
      <w:pPr>
        <w:pStyle w:val="14"/>
        <w:spacing w:line="500" w:lineRule="exact"/>
        <w:jc w:val="center"/>
        <w:rPr>
          <w:b/>
          <w:color w:val="auto"/>
          <w:sz w:val="36"/>
          <w:szCs w:val="28"/>
        </w:rPr>
      </w:pPr>
      <w:r>
        <w:rPr>
          <w:rFonts w:hint="eastAsia"/>
          <w:b/>
          <w:color w:val="auto"/>
          <w:sz w:val="36"/>
          <w:szCs w:val="28"/>
        </w:rPr>
        <w:t>目录</w:t>
      </w:r>
    </w:p>
    <w:p w14:paraId="0FC08652">
      <w:pPr>
        <w:pStyle w:val="14"/>
        <w:spacing w:line="500" w:lineRule="exact"/>
        <w:rPr>
          <w:rFonts w:hAnsi="黑体"/>
          <w:bCs/>
          <w:color w:val="auto"/>
          <w:sz w:val="28"/>
          <w:szCs w:val="28"/>
        </w:rPr>
      </w:pPr>
      <w:r>
        <w:rPr>
          <w:rFonts w:hint="eastAsia" w:hAnsi="黑体"/>
          <w:bCs/>
          <w:color w:val="auto"/>
          <w:sz w:val="28"/>
          <w:szCs w:val="28"/>
        </w:rPr>
        <w:t>第一部分华容县行政审批服务局概况</w:t>
      </w:r>
    </w:p>
    <w:p w14:paraId="68095BD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1E0F516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60E43DCA">
      <w:pPr>
        <w:pStyle w:val="14"/>
        <w:spacing w:line="500" w:lineRule="exact"/>
        <w:rPr>
          <w:rFonts w:hAnsi="黑体"/>
          <w:bCs/>
          <w:color w:val="auto"/>
          <w:sz w:val="28"/>
          <w:szCs w:val="28"/>
        </w:rPr>
      </w:pPr>
      <w:r>
        <w:rPr>
          <w:rFonts w:hint="eastAsia" w:hAnsi="黑体"/>
          <w:bCs/>
          <w:color w:val="auto"/>
          <w:sz w:val="28"/>
          <w:szCs w:val="28"/>
        </w:rPr>
        <w:t>第二部分 部门决算表</w:t>
      </w:r>
    </w:p>
    <w:p w14:paraId="12C5374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0474A39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64AF199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28009F9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715B84C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2C80EF15">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780B004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5C10B3C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27E4FAC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4D390274">
      <w:pPr>
        <w:pStyle w:val="14"/>
        <w:spacing w:line="500" w:lineRule="exact"/>
        <w:rPr>
          <w:rFonts w:hAnsi="黑体"/>
          <w:bCs/>
          <w:color w:val="auto"/>
          <w:sz w:val="28"/>
          <w:szCs w:val="28"/>
        </w:rPr>
      </w:pPr>
      <w:r>
        <w:rPr>
          <w:rFonts w:hint="eastAsia" w:hAnsi="黑体"/>
          <w:bCs/>
          <w:color w:val="auto"/>
          <w:sz w:val="28"/>
          <w:szCs w:val="28"/>
        </w:rPr>
        <w:t>第四部分 名词解释</w:t>
      </w:r>
    </w:p>
    <w:p w14:paraId="2BB64053">
      <w:pPr>
        <w:pStyle w:val="14"/>
        <w:spacing w:line="500" w:lineRule="exact"/>
        <w:rPr>
          <w:rFonts w:hAnsi="黑体"/>
          <w:bCs/>
          <w:color w:val="auto"/>
          <w:sz w:val="28"/>
          <w:szCs w:val="28"/>
        </w:rPr>
      </w:pPr>
      <w:r>
        <w:rPr>
          <w:rFonts w:hint="eastAsia" w:hAnsi="黑体"/>
          <w:bCs/>
          <w:color w:val="auto"/>
          <w:sz w:val="28"/>
          <w:szCs w:val="28"/>
        </w:rPr>
        <w:t>第五部分 附件</w:t>
      </w:r>
    </w:p>
    <w:p w14:paraId="34C75DBB">
      <w:pPr>
        <w:pStyle w:val="14"/>
        <w:spacing w:line="500" w:lineRule="exact"/>
        <w:rPr>
          <w:rFonts w:hAnsi="黑体"/>
          <w:bCs/>
          <w:color w:val="auto"/>
          <w:sz w:val="28"/>
          <w:szCs w:val="28"/>
        </w:rPr>
      </w:pPr>
    </w:p>
    <w:p w14:paraId="193B8919">
      <w:pPr>
        <w:pStyle w:val="14"/>
        <w:jc w:val="center"/>
        <w:rPr>
          <w:rFonts w:ascii="方正小标宋_GBK" w:hAnsi="方正小标宋_GBK" w:eastAsia="方正小标宋_GBK" w:cs="方正小标宋_GBK"/>
          <w:color w:val="auto"/>
          <w:sz w:val="48"/>
          <w:szCs w:val="48"/>
        </w:rPr>
      </w:pPr>
    </w:p>
    <w:p w14:paraId="3837E638">
      <w:pPr>
        <w:pStyle w:val="14"/>
        <w:jc w:val="center"/>
        <w:rPr>
          <w:rFonts w:ascii="方正小标宋_GBK" w:hAnsi="方正小标宋_GBK" w:eastAsia="方正小标宋_GBK" w:cs="方正小标宋_GBK"/>
          <w:color w:val="auto"/>
          <w:sz w:val="48"/>
          <w:szCs w:val="48"/>
        </w:rPr>
      </w:pPr>
    </w:p>
    <w:p w14:paraId="6B1802A6">
      <w:pPr>
        <w:pStyle w:val="14"/>
        <w:jc w:val="center"/>
        <w:rPr>
          <w:rFonts w:ascii="方正小标宋_GBK" w:hAnsi="方正小标宋_GBK" w:eastAsia="方正小标宋_GBK" w:cs="方正小标宋_GBK"/>
          <w:color w:val="auto"/>
          <w:sz w:val="48"/>
          <w:szCs w:val="48"/>
        </w:rPr>
      </w:pPr>
    </w:p>
    <w:p w14:paraId="0ABC14DB">
      <w:pPr>
        <w:pStyle w:val="14"/>
        <w:jc w:val="center"/>
        <w:rPr>
          <w:rFonts w:ascii="方正小标宋_GBK" w:hAnsi="方正小标宋_GBK" w:eastAsia="方正小标宋_GBK" w:cs="方正小标宋_GBK"/>
          <w:color w:val="auto"/>
          <w:sz w:val="48"/>
          <w:szCs w:val="48"/>
        </w:rPr>
      </w:pPr>
    </w:p>
    <w:p w14:paraId="2289D7BD">
      <w:pPr>
        <w:pStyle w:val="14"/>
        <w:jc w:val="center"/>
        <w:rPr>
          <w:rFonts w:ascii="方正小标宋_GBK" w:hAnsi="方正小标宋_GBK" w:eastAsia="方正小标宋_GBK" w:cs="方正小标宋_GBK"/>
          <w:color w:val="auto"/>
          <w:sz w:val="48"/>
          <w:szCs w:val="48"/>
        </w:rPr>
      </w:pPr>
    </w:p>
    <w:p w14:paraId="7AFCA0E1">
      <w:pPr>
        <w:pStyle w:val="14"/>
        <w:jc w:val="center"/>
        <w:rPr>
          <w:rFonts w:ascii="方正小标宋_GBK" w:hAnsi="方正小标宋_GBK" w:eastAsia="方正小标宋_GBK" w:cs="方正小标宋_GBK"/>
          <w:color w:val="auto"/>
          <w:sz w:val="48"/>
          <w:szCs w:val="48"/>
        </w:rPr>
      </w:pPr>
    </w:p>
    <w:p w14:paraId="63001B22">
      <w:pPr>
        <w:pStyle w:val="14"/>
        <w:jc w:val="center"/>
        <w:rPr>
          <w:rFonts w:ascii="方正小标宋_GBK" w:hAnsi="方正小标宋_GBK" w:eastAsia="方正小标宋_GBK" w:cs="方正小标宋_GBK"/>
          <w:color w:val="auto"/>
          <w:sz w:val="48"/>
          <w:szCs w:val="48"/>
        </w:rPr>
      </w:pPr>
    </w:p>
    <w:p w14:paraId="63443CEB">
      <w:pPr>
        <w:pStyle w:val="14"/>
        <w:jc w:val="center"/>
        <w:rPr>
          <w:rFonts w:ascii="方正小标宋_GBK" w:hAnsi="方正小标宋_GBK" w:eastAsia="方正小标宋_GBK" w:cs="方正小标宋_GBK"/>
          <w:color w:val="auto"/>
          <w:sz w:val="48"/>
          <w:szCs w:val="48"/>
        </w:rPr>
      </w:pPr>
    </w:p>
    <w:p w14:paraId="059A5E4A">
      <w:pPr>
        <w:pStyle w:val="14"/>
        <w:jc w:val="center"/>
        <w:rPr>
          <w:rFonts w:ascii="方正小标宋_GBK" w:hAnsi="方正小标宋_GBK" w:eastAsia="方正小标宋_GBK" w:cs="方正小标宋_GBK"/>
          <w:color w:val="auto"/>
          <w:sz w:val="48"/>
          <w:szCs w:val="48"/>
        </w:rPr>
      </w:pPr>
    </w:p>
    <w:p w14:paraId="4337E337">
      <w:pPr>
        <w:pStyle w:val="14"/>
        <w:jc w:val="center"/>
        <w:rPr>
          <w:rFonts w:ascii="方正小标宋_GBK" w:hAnsi="方正小标宋_GBK" w:eastAsia="方正小标宋_GBK" w:cs="方正小标宋_GBK"/>
          <w:color w:val="auto"/>
          <w:sz w:val="48"/>
          <w:szCs w:val="48"/>
        </w:rPr>
      </w:pPr>
    </w:p>
    <w:p w14:paraId="27860ED8">
      <w:pPr>
        <w:pStyle w:val="14"/>
        <w:jc w:val="center"/>
        <w:rPr>
          <w:rFonts w:ascii="方正小标宋_GBK" w:hAnsi="方正小标宋_GBK" w:eastAsia="方正小标宋_GBK" w:cs="方正小标宋_GBK"/>
          <w:color w:val="auto"/>
          <w:sz w:val="48"/>
          <w:szCs w:val="48"/>
        </w:rPr>
      </w:pPr>
    </w:p>
    <w:p w14:paraId="4EE5ABB5">
      <w:pPr>
        <w:pStyle w:val="14"/>
        <w:jc w:val="center"/>
        <w:rPr>
          <w:rFonts w:ascii="方正小标宋_GBK" w:hAnsi="方正小标宋_GBK" w:eastAsia="方正小标宋_GBK" w:cs="方正小标宋_GBK"/>
          <w:color w:val="auto"/>
          <w:sz w:val="48"/>
          <w:szCs w:val="48"/>
        </w:rPr>
      </w:pPr>
    </w:p>
    <w:p w14:paraId="0B2F8D52">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3A281FE9">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华容县行政审批服务局概况</w:t>
      </w:r>
    </w:p>
    <w:p w14:paraId="01E94FF8">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1654B83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华容县行政审批服务局职责</w:t>
      </w:r>
      <w:r>
        <w:rPr>
          <w:rFonts w:ascii="宋体" w:hAnsi="Times New Roman" w:eastAsia="宋体" w:cs="宋体"/>
          <w:color w:val="auto"/>
          <w:sz w:val="32"/>
          <w:szCs w:val="32"/>
          <w:highlight w:val="white"/>
        </w:rPr>
        <w:t>:</w:t>
      </w:r>
    </w:p>
    <w:p w14:paraId="05EF2B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对全县具有行政许可及行政审批职能的部门进行分类管理；</w:t>
      </w:r>
    </w:p>
    <w:p w14:paraId="6EE116A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主要负责对窗口办理的行政许可和行政审批事项全过程进行监督协调，并进行日常考勤考核管理；</w:t>
      </w:r>
    </w:p>
    <w:p w14:paraId="25BE027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负责对乡镇和县直单位的政务公开和政务服务工作进行检查督促。</w:t>
      </w:r>
    </w:p>
    <w:p w14:paraId="59F7D74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华容县人民政府政务服务中心职责</w:t>
      </w:r>
      <w:r>
        <w:rPr>
          <w:rFonts w:ascii="宋体" w:hAnsi="Times New Roman" w:eastAsia="宋体" w:cs="宋体"/>
          <w:color w:val="auto"/>
          <w:sz w:val="32"/>
          <w:szCs w:val="32"/>
          <w:highlight w:val="white"/>
        </w:rPr>
        <w:t>:</w:t>
      </w:r>
    </w:p>
    <w:p w14:paraId="7727885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（一）贯彻落实国家、省、市、县有关行政审批制度改革、优化政务服务等方面的方针政策、法律法规和决策部署。</w:t>
      </w:r>
    </w:p>
    <w:p w14:paraId="17E58C9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（二）负责全县政务服务规范化、标准化、科学化建设，</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探索政务服务方式创新；负贵对政务服务事项进行流程再造、环节优化、压缩时限，并对办理情况进行跟踪督办、指导、协调；组织、协调、承办全县重点项目帮办代办服务工作，指导园区开展重点项目帮办代办服务工作；负责对政务服务事项相关的中介服务活动的监督管理工作。</w:t>
      </w:r>
    </w:p>
    <w:p w14:paraId="457CD97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（三）负责政务服务大厅的管理，制定科学的管理制度和</w:t>
      </w:r>
    </w:p>
    <w:p w14:paraId="1F23351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办法并组织实施，对进入政务服务大厅各部门单位的行政审批、政务服务行为进行监督检查；负责政务服务大厅工作人员</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日常管理和检查考核；拓宽社会和群众监督渠道，接受社会监</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督和评议。</w:t>
      </w:r>
    </w:p>
    <w:p w14:paraId="3FF2813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（四）负责制订全县基层政务服务标准，并组织指导基</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层综合便民服务机构开展政务服务工作，落实服务下沉＂村镇办“工作，实现“县、乡、村”一体化服务；负责对全县各级政务（便民）服务大厅的政务服务工作进行指导和监督。</w:t>
      </w:r>
    </w:p>
    <w:p w14:paraId="1BEFAFE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（五）负责建立全县统一的政务服务事项投诉举报和咨询平台，承担对政务服务事项投诉举报的承办、转办、督办工作；组织开展政务服务满意度调查工作。</w:t>
      </w:r>
    </w:p>
    <w:p w14:paraId="15F7A5A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（六）完成县行政审批服务局交办的其他任务。</w:t>
      </w:r>
    </w:p>
    <w:p w14:paraId="17432B2D">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19BC1FD2">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03A209D">
      <w:pPr>
        <w:keepNext/>
        <w:keepLines/>
        <w:autoSpaceDE w:val="0"/>
        <w:autoSpaceDN w:val="0"/>
        <w:adjustRightInd w:val="0"/>
        <w:ind w:firstLine="640"/>
        <w:rPr>
          <w:rFonts w:ascii="宋体" w:hAnsi="Times New Roman" w:eastAsia="宋体" w:cs="宋体"/>
          <w:sz w:val="32"/>
          <w:szCs w:val="32"/>
          <w:highlight w:val="white"/>
          <w:lang w:val="zh-CN"/>
        </w:rPr>
      </w:pPr>
      <w:r>
        <w:rPr>
          <w:rFonts w:hint="eastAsia" w:ascii="宋体" w:hAnsi="Times New Roman" w:eastAsia="宋体" w:cs="宋体"/>
          <w:sz w:val="32"/>
          <w:szCs w:val="32"/>
          <w:highlight w:val="white"/>
          <w:lang w:val="zh-CN"/>
        </w:rPr>
        <w:t>华容县行政审批服务局单位内设机构包括：</w:t>
      </w:r>
      <w:r>
        <w:rPr>
          <w:rFonts w:hint="eastAsia" w:ascii="宋体" w:hAnsi="Times New Roman" w:eastAsia="宋体" w:cs="宋体"/>
          <w:sz w:val="32"/>
          <w:szCs w:val="32"/>
          <w:lang w:val="zh-CN"/>
        </w:rPr>
        <w:t>综合办、数据资源股、数字经济和基础设施建设股、应用建设股、行政审批与政务服务股、行政效能与政务公开股。</w:t>
      </w:r>
    </w:p>
    <w:p w14:paraId="0430C973">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lang w:val="zh-CN"/>
        </w:rPr>
        <w:t>华容县人民政府政务服务中心单位内设机构包括：办公室、业务管理股、帮办代办服务股、监督管理股</w:t>
      </w:r>
      <w:r>
        <w:rPr>
          <w:rFonts w:hint="eastAsia" w:ascii="宋体" w:hAnsi="Times New Roman" w:eastAsia="宋体" w:cs="宋体"/>
          <w:sz w:val="32"/>
          <w:szCs w:val="32"/>
          <w:highlight w:val="white"/>
        </w:rPr>
        <w:t>。</w:t>
      </w:r>
    </w:p>
    <w:p w14:paraId="6E02764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0A8C28AC">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华容县行政审批服务局单位2023年部门决算汇总公开单位构成包括：局机关本级决算、</w:t>
      </w:r>
      <w:r>
        <w:rPr>
          <w:rFonts w:hint="eastAsia" w:ascii="宋体" w:hAnsi="Times New Roman" w:eastAsia="宋体" w:cs="宋体"/>
          <w:sz w:val="32"/>
          <w:szCs w:val="32"/>
          <w:lang w:val="zh-CN"/>
        </w:rPr>
        <w:t>华容县人民政府政务服务中心</w:t>
      </w:r>
      <w:r>
        <w:rPr>
          <w:rFonts w:hint="eastAsia" w:ascii="宋体" w:hAnsi="Times New Roman" w:eastAsia="宋体" w:cs="宋体"/>
          <w:sz w:val="32"/>
          <w:szCs w:val="32"/>
          <w:highlight w:val="white"/>
        </w:rPr>
        <w:t>。</w:t>
      </w:r>
    </w:p>
    <w:p w14:paraId="45876CC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282147B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44D0ECD5">
      <w:pPr>
        <w:pStyle w:val="14"/>
        <w:jc w:val="center"/>
        <w:rPr>
          <w:rFonts w:hAnsi="黑体"/>
          <w:bCs/>
          <w:color w:val="auto"/>
          <w:kern w:val="2"/>
          <w:sz w:val="32"/>
          <w:szCs w:val="32"/>
        </w:rPr>
      </w:pPr>
      <w:r>
        <w:rPr>
          <w:rFonts w:hint="eastAsia" w:hAnsi="黑体"/>
          <w:bCs/>
          <w:color w:val="auto"/>
          <w:kern w:val="2"/>
          <w:sz w:val="32"/>
          <w:szCs w:val="32"/>
        </w:rPr>
        <w:t>详见附件表格</w:t>
      </w:r>
    </w:p>
    <w:p w14:paraId="644FB73F">
      <w:pPr>
        <w:pStyle w:val="14"/>
        <w:jc w:val="center"/>
        <w:rPr>
          <w:rFonts w:ascii="方正小标宋_GBK" w:hAnsi="方正小标宋_GBK" w:eastAsia="方正小标宋_GBK" w:cs="方正小标宋_GBK"/>
          <w:color w:val="auto"/>
          <w:sz w:val="48"/>
          <w:szCs w:val="48"/>
        </w:rPr>
      </w:pPr>
    </w:p>
    <w:p w14:paraId="7A448AC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3E1C0976">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66CA44A2">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25DCE930">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w:t>
      </w:r>
      <w:r>
        <w:rPr>
          <w:rFonts w:hint="eastAsia" w:ascii="宋体" w:hAnsi="Times New Roman" w:eastAsia="宋体" w:cs="宋体"/>
          <w:sz w:val="32"/>
          <w:szCs w:val="32"/>
          <w:highlight w:val="white"/>
          <w:lang w:val="zh-CN"/>
        </w:rPr>
        <w:t>3年度收、支总计均为</w:t>
      </w:r>
      <w:r>
        <w:rPr>
          <w:rFonts w:ascii="宋体" w:hAnsi="Times New Roman" w:eastAsia="宋体" w:cs="宋体"/>
          <w:sz w:val="32"/>
          <w:szCs w:val="32"/>
          <w:highlight w:val="white"/>
          <w:lang w:val="zh-CN"/>
        </w:rPr>
        <w:t>2154.44</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639.21</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42.19%</w:t>
      </w:r>
      <w:r>
        <w:rPr>
          <w:rFonts w:hint="eastAsia" w:ascii="宋体" w:hAnsi="Times New Roman" w:eastAsia="宋体" w:cs="宋体"/>
          <w:sz w:val="32"/>
          <w:szCs w:val="32"/>
          <w:highlight w:val="white"/>
          <w:lang w:val="zh-CN"/>
        </w:rPr>
        <w:t>。主要原因是机构改革，业务工作任务增加，基本支出增加</w:t>
      </w:r>
      <w:r>
        <w:rPr>
          <w:rFonts w:ascii="宋体" w:hAnsi="Times New Roman" w:eastAsia="宋体" w:cs="宋体"/>
          <w:sz w:val="32"/>
          <w:szCs w:val="32"/>
          <w:highlight w:val="white"/>
          <w:lang w:val="zh-CN"/>
        </w:rPr>
        <w:t>115.18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524.04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639.22</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46B9FD76">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1E00D0E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w:t>
      </w:r>
      <w:r>
        <w:rPr>
          <w:rFonts w:hint="eastAsia" w:ascii="宋体" w:hAnsi="Times New Roman" w:eastAsia="宋体" w:cs="宋体"/>
          <w:sz w:val="32"/>
          <w:szCs w:val="32"/>
          <w:highlight w:val="white"/>
        </w:rPr>
        <w:t>3年度收入合计</w:t>
      </w:r>
      <w:r>
        <w:rPr>
          <w:rFonts w:ascii="宋体" w:hAnsi="Times New Roman" w:eastAsia="宋体" w:cs="宋体"/>
          <w:sz w:val="32"/>
          <w:szCs w:val="32"/>
          <w:highlight w:val="white"/>
        </w:rPr>
        <w:t>2154.44</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2154.44</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3FA35E56">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5EB671A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w:t>
      </w:r>
      <w:r>
        <w:rPr>
          <w:rFonts w:hint="eastAsia" w:ascii="宋体" w:hAnsi="Times New Roman" w:eastAsia="宋体" w:cs="宋体"/>
          <w:sz w:val="32"/>
          <w:szCs w:val="32"/>
          <w:highlight w:val="white"/>
        </w:rPr>
        <w:t>3年度支出合计</w:t>
      </w:r>
      <w:r>
        <w:rPr>
          <w:rFonts w:ascii="宋体" w:hAnsi="Times New Roman" w:eastAsia="宋体" w:cs="宋体"/>
          <w:sz w:val="32"/>
          <w:szCs w:val="32"/>
          <w:highlight w:val="white"/>
        </w:rPr>
        <w:t>2154.44</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766.24</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35.57%</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1388.2</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64.43%</w:t>
      </w:r>
      <w:r>
        <w:rPr>
          <w:rFonts w:hint="eastAsia" w:ascii="宋体" w:hAnsi="Times New Roman" w:eastAsia="宋体" w:cs="宋体"/>
          <w:sz w:val="32"/>
          <w:szCs w:val="32"/>
          <w:highlight w:val="white"/>
        </w:rPr>
        <w:t>。</w:t>
      </w:r>
    </w:p>
    <w:p w14:paraId="4A0C9ED2">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219C08A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w:t>
      </w:r>
      <w:r>
        <w:rPr>
          <w:rFonts w:hint="eastAsia" w:ascii="宋体" w:hAnsi="Times New Roman" w:eastAsia="宋体" w:cs="宋体"/>
          <w:sz w:val="32"/>
          <w:szCs w:val="32"/>
          <w:highlight w:val="white"/>
        </w:rPr>
        <w:t>3年度财政拨款收、支总计均为</w:t>
      </w:r>
      <w:r>
        <w:rPr>
          <w:rFonts w:ascii="宋体" w:hAnsi="Times New Roman" w:eastAsia="宋体" w:cs="宋体"/>
          <w:sz w:val="32"/>
          <w:szCs w:val="32"/>
          <w:highlight w:val="white"/>
        </w:rPr>
        <w:t>2154.44</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639.21</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42.19%</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主要原因是机构改革，业务工作任务增加，基本支出增加</w:t>
      </w:r>
      <w:r>
        <w:rPr>
          <w:rFonts w:ascii="宋体" w:hAnsi="Times New Roman" w:eastAsia="宋体" w:cs="宋体"/>
          <w:sz w:val="32"/>
          <w:szCs w:val="32"/>
          <w:highlight w:val="white"/>
          <w:lang w:val="zh-CN"/>
        </w:rPr>
        <w:t>115.18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524.04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639.22</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7B3A3A91">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5709048A">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797903F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w:t>
      </w:r>
      <w:r>
        <w:rPr>
          <w:rFonts w:hint="eastAsia" w:ascii="宋体" w:hAnsi="Times New Roman" w:eastAsia="宋体" w:cs="宋体"/>
          <w:sz w:val="32"/>
          <w:szCs w:val="32"/>
          <w:highlight w:val="white"/>
        </w:rPr>
        <w:t>3年度财政拨款支出</w:t>
      </w:r>
      <w:r>
        <w:rPr>
          <w:rFonts w:ascii="宋体" w:hAnsi="Times New Roman" w:eastAsia="宋体" w:cs="宋体"/>
          <w:sz w:val="32"/>
          <w:szCs w:val="32"/>
          <w:highlight w:val="white"/>
        </w:rPr>
        <w:t>2154.44</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639.21</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42.19%,</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机构改革，业务工作任务增加，基本支出增加</w:t>
      </w:r>
      <w:r>
        <w:rPr>
          <w:rFonts w:ascii="宋体" w:hAnsi="Times New Roman" w:eastAsia="宋体" w:cs="宋体"/>
          <w:sz w:val="32"/>
          <w:szCs w:val="32"/>
          <w:highlight w:val="white"/>
          <w:lang w:val="zh-CN"/>
        </w:rPr>
        <w:t>115.18</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524.04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639.22</w:t>
      </w:r>
      <w:r>
        <w:rPr>
          <w:rFonts w:hint="eastAsia" w:ascii="宋体" w:hAnsi="Times New Roman" w:eastAsia="宋体" w:cs="宋体"/>
          <w:sz w:val="32"/>
          <w:szCs w:val="32"/>
          <w:highlight w:val="white"/>
          <w:lang w:val="zh-CN"/>
        </w:rPr>
        <w:t>万元。</w:t>
      </w:r>
    </w:p>
    <w:p w14:paraId="599336F3">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7E9377EE">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w:t>
      </w:r>
      <w:r>
        <w:rPr>
          <w:rFonts w:hint="eastAsia" w:ascii="宋体" w:hAnsi="Times New Roman" w:eastAsia="宋体" w:cs="宋体"/>
          <w:kern w:val="0"/>
          <w:sz w:val="32"/>
          <w:szCs w:val="32"/>
          <w:highlight w:val="white"/>
        </w:rPr>
        <w:t>3年度财政拨款支出</w:t>
      </w:r>
      <w:r>
        <w:rPr>
          <w:rFonts w:ascii="宋体" w:hAnsi="Times New Roman" w:eastAsia="宋体" w:cs="宋体"/>
          <w:kern w:val="0"/>
          <w:sz w:val="32"/>
          <w:szCs w:val="32"/>
          <w:highlight w:val="white"/>
        </w:rPr>
        <w:t>2154.44</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2152.07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99.89%</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2.38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0.11%</w:t>
      </w:r>
      <w:r>
        <w:rPr>
          <w:rFonts w:hint="eastAsia" w:ascii="宋体" w:hAnsi="Times New Roman" w:eastAsia="宋体" w:cs="宋体"/>
          <w:kern w:val="0"/>
          <w:sz w:val="32"/>
          <w:szCs w:val="32"/>
          <w:highlight w:val="white"/>
        </w:rPr>
        <w:t>。</w:t>
      </w:r>
    </w:p>
    <w:p w14:paraId="3024BF7D">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2C967C07">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2023年度财政拨款支出年初预算为322.62万元，支出决算为2154.44万元，完成年初预算的667.79%。其中：</w:t>
      </w:r>
    </w:p>
    <w:p w14:paraId="13FBCD98">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一般行政管理事务（项）。年初预算为0万元，支出决算为14.99万元，由于年初预算为0，无法计算百分比。决算数大于预算数的主要原因是业务工作任务增加，财政追拨业务工作经费。  </w:t>
      </w:r>
    </w:p>
    <w:p w14:paraId="54632B6E">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政务公开审批（项）。年初预算为322.62万元，支出决算为1820.4万元，完成年初预算的564.26%。决算数大于预算数的主要原因是业务工作任务增加，财政追拨业务工作经费。  </w:t>
      </w:r>
    </w:p>
    <w:p w14:paraId="61EF02E8">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其他政府办公厅（室）及相关机构事务支出（项）。年初预算为0万元，支出决算为45万元，由于年初预算为0，无法计算百分比。决算数大于预算数的主要原因是业务工作任务增加，财政追拨业务工作经费。  </w:t>
      </w:r>
    </w:p>
    <w:p w14:paraId="75B2D7B2">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发展与改革事务（款）其他发展与改革事务支出（项）。年初预算为0万元，支出决算为5万元，由于年初预算为0，无法计算百分比。决算数大于预算数的主要原因是业务工作任务增加，财政追拨业务工作经费。  </w:t>
      </w:r>
    </w:p>
    <w:p w14:paraId="0A634859">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其他一般公共服务支出（款）其他一般公共服务支出（项）。年初预算为0万元，支出决算为266.67万元，由于年初预算为0，无法计算百分比。决算数大于预算数的主要原因是业务工作任务增加，财政追拨业务工作经费。  </w:t>
      </w:r>
    </w:p>
    <w:p w14:paraId="2FC56D7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社会保障和就业支出（类）就业补助（款）公益性岗位补贴（项）。年初预算为0万元，支出决算为2.38万元，由于年初预算为0，无法计算百分比。决算数大于预算数的主要原因是业务工作任务增加，财政追拨业务工作经费。</w:t>
      </w:r>
      <w:r>
        <w:rPr>
          <w:rFonts w:ascii="宋体" w:hAnsi="Times New Roman" w:eastAsia="宋体" w:cs="宋体"/>
          <w:color w:val="auto"/>
          <w:sz w:val="32"/>
          <w:szCs w:val="32"/>
          <w:highlight w:val="white"/>
        </w:rPr>
        <w:t xml:space="preserve">  </w:t>
      </w:r>
    </w:p>
    <w:p w14:paraId="732023A8">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626EC7E2">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w:t>
      </w:r>
      <w:r>
        <w:rPr>
          <w:rFonts w:hint="eastAsia" w:ascii="宋体" w:hAnsi="Times New Roman" w:eastAsia="宋体" w:cs="宋体"/>
          <w:sz w:val="32"/>
          <w:szCs w:val="32"/>
          <w:highlight w:val="white"/>
          <w:lang w:val="zh-CN"/>
        </w:rPr>
        <w:t>3年度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766.24</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1F1D38D6">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276.29</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36.06%</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2B41A2F8">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489.95</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63.94%</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2CCC166">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75692328">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0083D66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2023年度“三公”经费财政拨款支出预算为1.1万元，支出决算为1.05万元,完成预算的95.45%，决算数小于预算数的主要原因是认真贯彻落实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精神和厉行节约要求，从严控制“三公”经费开支，全年实际支出比预算有所节约。与上年相比减少0.26万元，下降19.85%,减少主要原因是认真贯彻落实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精神和厉行节约要求，从严控制“三公”经费开支，全年实际支出比预算有所节约。其中：</w:t>
      </w:r>
    </w:p>
    <w:p w14:paraId="519B0BE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因公出国（境）费支出预算为0万元，支出决算为0万元，由于预算为0，无法计算百分比，与上年相比减少0万元，减少0%。   </w:t>
      </w:r>
    </w:p>
    <w:p w14:paraId="630DFB4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公务接待费支出预算为1.1万元，支出决算为1.05万元,完成预算的95.45%,决算数小于预算数的主要原因是认真贯彻落实中央八项规定精神和厉行节约要求，从严控制“三公”经费开支，全年实际支出比预算有所节约。与上年相比减少0.26万元，下降19.85%,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w:t>
      </w:r>
    </w:p>
    <w:p w14:paraId="71D1671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公务用车购置费支出预算为0万元，支出决算为0万元，由于预算为0，无法计算百分比，与上年相比减少0万元，减少0%。   </w:t>
      </w:r>
    </w:p>
    <w:p w14:paraId="0C2B1CB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095CC295">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6F67D4CA">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w:t>
      </w:r>
      <w:r>
        <w:rPr>
          <w:rFonts w:hint="eastAsia" w:ascii="宋体" w:hAnsi="Times New Roman" w:eastAsia="宋体" w:cs="宋体"/>
          <w:kern w:val="0"/>
          <w:sz w:val="32"/>
          <w:szCs w:val="32"/>
          <w:lang w:val="zh-CN"/>
        </w:rPr>
        <w:t>3年度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1.05</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24B9D2D3">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6B5D3367">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1.05</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1.05</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12</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79</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634976DA">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w:t>
      </w:r>
      <w:r>
        <w:rPr>
          <w:rFonts w:hint="eastAsia" w:ascii="宋体" w:hAnsi="Times New Roman" w:eastAsia="宋体" w:cs="宋体"/>
          <w:color w:val="auto"/>
          <w:sz w:val="32"/>
          <w:szCs w:val="32"/>
          <w:lang w:val="zh-CN"/>
        </w:rPr>
        <w:t>3年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161007A4">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44574DE7">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7EB8ED23">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1760F166">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0665AAD6">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w:t>
      </w:r>
      <w:r>
        <w:rPr>
          <w:rFonts w:hint="eastAsia" w:ascii="宋体" w:hAnsi="Times New Roman" w:eastAsia="宋体" w:cs="宋体"/>
          <w:kern w:val="0"/>
          <w:sz w:val="32"/>
          <w:szCs w:val="32"/>
          <w:lang w:val="zh-CN"/>
        </w:rPr>
        <w:t>3年度机关运行经费支出</w:t>
      </w:r>
      <w:r>
        <w:rPr>
          <w:rFonts w:ascii="宋体" w:hAnsi="Times New Roman" w:eastAsia="宋体" w:cs="宋体"/>
          <w:kern w:val="0"/>
          <w:sz w:val="32"/>
          <w:szCs w:val="32"/>
          <w:lang w:val="zh-CN"/>
        </w:rPr>
        <w:t>95.27</w:t>
      </w:r>
      <w:r>
        <w:rPr>
          <w:rFonts w:hint="eastAsia" w:ascii="宋体" w:hAnsi="Times New Roman" w:eastAsia="宋体" w:cs="宋体"/>
          <w:kern w:val="0"/>
          <w:sz w:val="32"/>
          <w:szCs w:val="32"/>
          <w:lang w:val="zh-CN"/>
        </w:rPr>
        <w:t>万元。比年初预算数增加</w:t>
      </w:r>
      <w:r>
        <w:rPr>
          <w:rFonts w:ascii="宋体" w:hAnsi="Times New Roman" w:eastAsia="宋体" w:cs="宋体"/>
          <w:kern w:val="0"/>
          <w:sz w:val="32"/>
          <w:szCs w:val="32"/>
          <w:lang w:val="zh-CN"/>
        </w:rPr>
        <w:t>47.13</w:t>
      </w:r>
      <w:r>
        <w:rPr>
          <w:rFonts w:hint="eastAsia" w:ascii="宋体" w:hAnsi="Times New Roman" w:eastAsia="宋体" w:cs="宋体"/>
          <w:kern w:val="0"/>
          <w:sz w:val="32"/>
          <w:szCs w:val="32"/>
          <w:lang w:val="zh-CN"/>
        </w:rPr>
        <w:t>万元。增加</w:t>
      </w:r>
      <w:r>
        <w:rPr>
          <w:rFonts w:ascii="宋体" w:hAnsi="Times New Roman" w:eastAsia="宋体" w:cs="宋体"/>
          <w:kern w:val="0"/>
          <w:sz w:val="32"/>
          <w:szCs w:val="32"/>
          <w:lang w:val="zh-CN"/>
        </w:rPr>
        <w:t>97.9%</w:t>
      </w:r>
      <w:r>
        <w:rPr>
          <w:rFonts w:hint="eastAsia" w:ascii="宋体" w:hAnsi="Times New Roman" w:eastAsia="宋体" w:cs="宋体"/>
          <w:kern w:val="0"/>
          <w:sz w:val="32"/>
          <w:szCs w:val="32"/>
          <w:lang w:val="zh-CN"/>
        </w:rPr>
        <w:t>，主要原因是：业务工作任务增加，为保障机构正常运转，完成年度目标任务，财政追拨机关运行经费。</w:t>
      </w:r>
    </w:p>
    <w:p w14:paraId="63472B51">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1A326416">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w:t>
      </w:r>
      <w:r>
        <w:rPr>
          <w:rFonts w:hint="eastAsia" w:ascii="宋体" w:hAnsi="Times New Roman" w:eastAsia="宋体" w:cs="宋体"/>
          <w:kern w:val="0"/>
          <w:sz w:val="32"/>
          <w:szCs w:val="32"/>
          <w:highlight w:val="white"/>
        </w:rPr>
        <w:t>3年本部门开支会议费</w:t>
      </w:r>
      <w:r>
        <w:rPr>
          <w:rFonts w:ascii="宋体" w:hAnsi="Times New Roman" w:eastAsia="宋体" w:cs="宋体"/>
          <w:kern w:val="0"/>
          <w:sz w:val="32"/>
          <w:szCs w:val="32"/>
          <w:highlight w:val="white"/>
        </w:rPr>
        <w:t>1.68</w:t>
      </w:r>
      <w:r>
        <w:rPr>
          <w:rFonts w:hint="eastAsia" w:ascii="宋体" w:hAnsi="Times New Roman" w:eastAsia="宋体" w:cs="宋体"/>
          <w:kern w:val="0"/>
          <w:sz w:val="32"/>
          <w:szCs w:val="32"/>
          <w:highlight w:val="white"/>
        </w:rPr>
        <w:t>万元，用于开展业务工作会议，人数</w:t>
      </w:r>
      <w:r>
        <w:rPr>
          <w:rFonts w:ascii="宋体" w:hAnsi="Times New Roman" w:eastAsia="宋体" w:cs="宋体"/>
          <w:kern w:val="0"/>
          <w:sz w:val="32"/>
          <w:szCs w:val="32"/>
          <w:highlight w:val="white"/>
        </w:rPr>
        <w:t>95</w:t>
      </w:r>
      <w:r>
        <w:rPr>
          <w:rFonts w:hint="eastAsia" w:ascii="宋体" w:hAnsi="Times New Roman" w:eastAsia="宋体" w:cs="宋体"/>
          <w:kern w:val="0"/>
          <w:sz w:val="32"/>
          <w:szCs w:val="32"/>
          <w:highlight w:val="white"/>
        </w:rPr>
        <w:t>人，内容为任务布置、调研等工作会议；开支培训费</w:t>
      </w:r>
      <w:r>
        <w:rPr>
          <w:rFonts w:ascii="宋体" w:hAnsi="Times New Roman" w:eastAsia="宋体" w:cs="宋体"/>
          <w:kern w:val="0"/>
          <w:sz w:val="32"/>
          <w:szCs w:val="32"/>
          <w:highlight w:val="white"/>
        </w:rPr>
        <w:t>2.96</w:t>
      </w:r>
      <w:r>
        <w:rPr>
          <w:rFonts w:hint="eastAsia" w:ascii="宋体" w:hAnsi="Times New Roman" w:eastAsia="宋体" w:cs="宋体"/>
          <w:kern w:val="0"/>
          <w:sz w:val="32"/>
          <w:szCs w:val="32"/>
          <w:highlight w:val="white"/>
        </w:rPr>
        <w:t>万元，用于开展</w:t>
      </w:r>
      <w:r>
        <w:rPr>
          <w:rFonts w:hint="eastAsia" w:ascii="宋体" w:hAnsi="Times New Roman" w:eastAsia="宋体" w:cs="宋体"/>
          <w:kern w:val="0"/>
          <w:sz w:val="32"/>
          <w:szCs w:val="32"/>
        </w:rPr>
        <w:t>知识技能培训</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180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大厅运转工作、业务等知识培训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 xml:space="preserve"> 202</w:t>
      </w:r>
      <w:r>
        <w:rPr>
          <w:rFonts w:hint="eastAsia" w:ascii="宋体" w:hAnsi="Times New Roman" w:eastAsia="宋体" w:cs="宋体"/>
          <w:kern w:val="0"/>
          <w:sz w:val="32"/>
          <w:szCs w:val="32"/>
          <w:highlight w:val="white"/>
        </w:rPr>
        <w:t>3年本部门未举办节庆、晚会、论坛、赛事活动，开支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358AAE77">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3D118B64">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w:t>
      </w:r>
      <w:r>
        <w:rPr>
          <w:rFonts w:hint="eastAsia" w:ascii="宋体" w:hAnsi="Times New Roman" w:eastAsia="宋体" w:cs="宋体"/>
          <w:color w:val="auto"/>
          <w:sz w:val="32"/>
          <w:szCs w:val="32"/>
          <w:highlight w:val="white"/>
        </w:rPr>
        <w:t>3年度政府采购支出总额</w:t>
      </w:r>
      <w:r>
        <w:rPr>
          <w:rFonts w:ascii="宋体" w:hAnsi="Times New Roman" w:eastAsia="宋体" w:cs="宋体"/>
          <w:color w:val="auto"/>
          <w:sz w:val="32"/>
          <w:szCs w:val="32"/>
          <w:highlight w:val="white"/>
        </w:rPr>
        <w:t>571.22</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40.22</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11.68</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519.32</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468.8</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82.07%</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345.04</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73.6%</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80.28%</w:t>
      </w:r>
      <w:r>
        <w:rPr>
          <w:rFonts w:hint="eastAsia" w:ascii="宋体" w:hAnsi="Times New Roman" w:eastAsia="宋体" w:cs="宋体"/>
          <w:color w:val="auto"/>
          <w:sz w:val="32"/>
          <w:szCs w:val="32"/>
          <w:highlight w:val="white"/>
        </w:rPr>
        <w:t>。</w:t>
      </w:r>
    </w:p>
    <w:p w14:paraId="07397DEC">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0E30202B">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34C57880">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76D799DD">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5B5794B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24AE910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部门开展整体支出绩效评价，涉及一般公共预算支出2154.44万元，政府性基金预算支出0万元，国有资本经营预算支出0万元, 合计2154.44万元，其中：基本支出766.24万元，占35.57%；项目支出1388.2万元，占64.43%。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00812C04">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1D5A887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53AF713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2874E1C1">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3A209BF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135AD89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761B80F0">
      <w:pPr>
        <w:pStyle w:val="14"/>
        <w:jc w:val="both"/>
        <w:rPr>
          <w:color w:val="auto"/>
          <w:sz w:val="72"/>
          <w:szCs w:val="72"/>
        </w:rPr>
      </w:pPr>
    </w:p>
    <w:p w14:paraId="5BFF735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446C945F">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45E3BEB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3CA8478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61ECF17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4014421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3BF5E8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4A11CC1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27DDFA9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0E6498B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0C6253F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7289FB0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790B928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203ADEC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5092A8A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办公费：反映单位购买按财务会计制度规定不符合固定资产确认标准的日常办公用品、书报杂志等支出。</w:t>
      </w:r>
    </w:p>
    <w:p w14:paraId="7A1CAF9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3C815F4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1B77337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1C316C2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77E52F5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490B034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7DAB769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449874C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34B8A39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58555CB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4B48D40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189D8AC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74BE959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7DADDFF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08A81C8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奖励金：反映政府各部门的奖励支出，如对个体私营经济的奖励、计划生育目标责任奖励、独生子女父母奖励等。</w:t>
      </w:r>
    </w:p>
    <w:p w14:paraId="561F298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办公设备购置：反映用于购置并按财务会计制度规定纳入固定资产核算范围的办公家具和办公设备的支出，以及按规定提取的修购基金。</w:t>
      </w:r>
    </w:p>
    <w:p w14:paraId="0A6BCDA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1573365D">
      <w:pPr>
        <w:pStyle w:val="14"/>
        <w:jc w:val="center"/>
        <w:rPr>
          <w:rFonts w:ascii="方正小标宋_GBK" w:hAnsi="方正小标宋_GBK" w:eastAsia="方正小标宋_GBK" w:cs="方正小标宋_GBK"/>
          <w:color w:val="auto"/>
          <w:sz w:val="48"/>
          <w:szCs w:val="48"/>
        </w:rPr>
      </w:pPr>
    </w:p>
    <w:p w14:paraId="772E8CB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2E10D88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1E9B152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年度华容县行政审批服务局部门决算公开表格</w:t>
      </w:r>
    </w:p>
    <w:p w14:paraId="30ECF31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年度华容县行政审批服务局整体支出绩效自评报告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A01D2B"/>
    <w:rsid w:val="00A17F92"/>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D0026"/>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A8D58DB"/>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6697</Words>
  <Characters>7188</Characters>
  <Lines>52</Lines>
  <Paragraphs>14</Paragraphs>
  <TotalTime>0</TotalTime>
  <ScaleCrop>false</ScaleCrop>
  <LinksUpToDate>false</LinksUpToDate>
  <CharactersWithSpaces>7221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2025-11-11T12:50:47Z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