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华容县城乡规划执法大队</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702007</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lang w:eastAsia="zh-CN"/>
        </w:rPr>
      </w:pPr>
      <w:r>
        <w:rPr>
          <w:rFonts w:hint="eastAsia" w:eastAsia="仿宋_GB2312"/>
          <w:sz w:val="32"/>
          <w:szCs w:val="32"/>
        </w:rPr>
        <w:t>评价方式：</w:t>
      </w:r>
      <w:r>
        <w:rPr>
          <w:rFonts w:hint="eastAsia" w:eastAsia="仿宋_GB2312"/>
          <w:sz w:val="32"/>
          <w:szCs w:val="32"/>
          <w:lang w:eastAsia="zh-CN"/>
        </w:rPr>
        <w:t>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评价机构：</w:t>
      </w:r>
      <w:r>
        <w:rPr>
          <w:rFonts w:hint="eastAsia" w:eastAsia="仿宋_GB2312"/>
          <w:sz w:val="32"/>
          <w:szCs w:val="32"/>
          <w:lang w:eastAsia="zh-CN"/>
        </w:rPr>
        <w:t>华容县城乡规划执法大队评价组</w:t>
      </w:r>
      <w:r>
        <w:rPr>
          <w:rFonts w:hint="eastAsia" w:eastAsia="仿宋_GB2312"/>
          <w:sz w:val="32"/>
          <w:szCs w:val="32"/>
        </w:rPr>
        <w:t xml:space="preserve">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10</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SimHei" w:hAnsi="SimHei" w:eastAsia="SimHei" w:cs="SimHei"/>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黄晓红</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13974060306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numPr>
                <w:ilvl w:val="0"/>
                <w:numId w:val="0"/>
              </w:numPr>
              <w:autoSpaceDN w:val="0"/>
              <w:spacing w:line="320" w:lineRule="exact"/>
              <w:ind w:left="120" w:leftChars="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我队系县人民政府确定的全县禁违拆违治违工作的主要责任单位，同时加挂县禁违拆违治违工作领导小组牌子，职能职责如下：</w:t>
            </w:r>
          </w:p>
          <w:p>
            <w:pPr>
              <w:numPr>
                <w:ilvl w:val="0"/>
                <w:numId w:val="0"/>
              </w:numPr>
              <w:autoSpaceDN w:val="0"/>
              <w:spacing w:line="320" w:lineRule="exact"/>
              <w:ind w:left="120" w:leftChars="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1、宣传规划管理法律法规和政策；</w:t>
            </w:r>
          </w:p>
          <w:p>
            <w:pPr>
              <w:numPr>
                <w:ilvl w:val="0"/>
                <w:numId w:val="0"/>
              </w:numPr>
              <w:autoSpaceDN w:val="0"/>
              <w:spacing w:line="320" w:lineRule="exact"/>
              <w:ind w:left="120" w:leftChars="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2、县城规划区内的规划监察；</w:t>
            </w:r>
          </w:p>
          <w:p>
            <w:pPr>
              <w:numPr>
                <w:ilvl w:val="0"/>
                <w:numId w:val="0"/>
              </w:numPr>
              <w:autoSpaceDN w:val="0"/>
              <w:spacing w:line="320" w:lineRule="exact"/>
              <w:ind w:left="120" w:leftChars="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3、对违法建设实施行政处罚和行政强制；</w:t>
            </w:r>
          </w:p>
          <w:p>
            <w:pPr>
              <w:numPr>
                <w:ilvl w:val="0"/>
                <w:numId w:val="0"/>
              </w:numPr>
              <w:autoSpaceDN w:val="0"/>
              <w:spacing w:line="320" w:lineRule="exact"/>
              <w:ind w:left="120" w:leftChars="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4、对各乡镇禁违拆违治违工作进行培训、督查和指导。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分别于</w:t>
            </w:r>
            <w:r>
              <w:rPr>
                <w:rFonts w:hint="eastAsia" w:ascii="仿宋_GB2312" w:hAnsi="仿宋_GB2312" w:eastAsia="仿宋_GB2312" w:cs="仿宋_GB2312"/>
                <w:color w:val="000000"/>
                <w:sz w:val="24"/>
                <w:lang w:val="en-US" w:eastAsia="zh-CN"/>
              </w:rPr>
              <w:t>2021年4月和10月在县域全境开展集中法律法规和执法成果宣传</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一次；</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加强日常巡查，对新增违法建设采取责令停工、限期改正、查封、即时拆除等措施，做到新增违法建设动态清零；</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eastAsia="zh-CN"/>
              </w:rPr>
              <w:t>对存量违法建设制定年度强制拆除计划，按月推进，全年拆除存量违法建设</w:t>
            </w:r>
            <w:r>
              <w:rPr>
                <w:rFonts w:hint="eastAsia" w:ascii="仿宋_GB2312" w:hAnsi="仿宋_GB2312" w:eastAsia="仿宋_GB2312" w:cs="仿宋_GB2312"/>
                <w:color w:val="000000"/>
                <w:sz w:val="24"/>
                <w:lang w:val="en-US" w:eastAsia="zh-CN"/>
              </w:rPr>
              <w:t>11945平方米；</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任务四：按季度对各乡镇（管委会）监督考评，并适时指导、助力各乡镇（管委会）大型强拆行动；</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任务五：妥善处理规划和禁违拆违领域的各种来信来访、网络舆情，化解涉建矛盾。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2021年全年，将过紧日子的思想贯穿全年，各项工作任务均圆满完成，工作绩效受到局党委、县委政府和市委是政府的高度肯定，获评全局“综合评价优胜单位”和“全市违法建设集中整治第一名”。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SimHei" w:hAnsi="SimHei" w:eastAsia="SimHei" w:cs="SimHei"/>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424.04</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424.0</w:t>
            </w:r>
            <w:bookmarkStart w:id="0" w:name="_GoBack"/>
            <w:bookmarkEnd w:id="0"/>
            <w:r>
              <w:rPr>
                <w:rFonts w:hint="eastAsia" w:ascii="仿宋_GB2312" w:hAnsi="仿宋_GB2312" w:eastAsia="仿宋_GB2312" w:cs="仿宋_GB2312"/>
                <w:color w:val="000000"/>
                <w:sz w:val="24"/>
                <w:lang w:val="en-US" w:eastAsia="zh-CN"/>
              </w:rPr>
              <w:t>4</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424.04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424.04</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267.91</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156.13</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10.83</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10.83</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102.2</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102.2</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SimHei" w:hAnsi="SimHei" w:eastAsia="SimHei" w:cs="SimHei"/>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法律和执法成果集中宣传两次，让法律法规深入民心；对潜在违法建设者形成强有力的震慑；</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对县城规划区一日双查、节假日值班巡查，推动紧急状态下的夜间执法模式，第一时间采取蹲守、责令停工、限期改正、即时拆除抢建部分等强有力的措施，将新发生违法建设扼杀在萌芽状态；</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对存量违法建设分类处置，从严从重处罚，对严重影响规划和民愤较大者，按计划拆除到位；</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4：对各乡镇（管委会）每季度督导一次，全年共培训两次，全面提升和推动全县禁违拆违治违工作水平迈上新台阶；</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目标5：秉持以人为本的理念，解决老百姓急难愁盼，将矛盾化解在基层，杜绝缠访闹访、越级访和网络舆情持续不断发酵的现象。</w:t>
            </w:r>
          </w:p>
        </w:tc>
        <w:tc>
          <w:tcPr>
            <w:tcW w:w="4585" w:type="dxa"/>
            <w:gridSpan w:val="9"/>
            <w:vAlign w:val="center"/>
          </w:tcPr>
          <w:p>
            <w:r>
              <w:t>出动禁违宣传车80车次，发布新闻报道50余篇、短视频15个、美篇 8个；禁违办下发交办督办函7件，交办问题7个，督办重点区域3处</w:t>
            </w:r>
            <w:r>
              <w:rPr>
                <w:rFonts w:hint="eastAsia"/>
                <w:lang w:eastAsia="zh-CN"/>
              </w:rPr>
              <w:t>，督导各乡镇（管委会）下达法律文书</w:t>
            </w:r>
            <w:r>
              <w:rPr>
                <w:rFonts w:hint="eastAsia"/>
                <w:lang w:val="en-US" w:eastAsia="zh-CN"/>
              </w:rPr>
              <w:t>1380份，强拆违法建设1565处，强拆面积100083平方米</w:t>
            </w:r>
            <w:r>
              <w:t>；突出对长江岸线、农贸市场、防汛大堤、主干道沿线和违法用地等五个主要重点区域开展违建整治行动</w:t>
            </w:r>
            <w:r>
              <w:rPr>
                <w:rFonts w:hint="eastAsia"/>
                <w:lang w:val="en-US" w:eastAsia="zh-CN"/>
              </w:rPr>
              <w:t>;</w:t>
            </w:r>
            <w:r>
              <w:rPr>
                <w:rFonts w:hint="eastAsia"/>
                <w:lang w:eastAsia="zh-CN"/>
              </w:rPr>
              <w:t>大队</w:t>
            </w:r>
            <w:r>
              <w:t>共下达停</w:t>
            </w:r>
            <w:r>
              <w:rPr>
                <w:rFonts w:hint="eastAsia"/>
                <w:lang w:eastAsia="zh-CN"/>
              </w:rPr>
              <w:t>改</w:t>
            </w:r>
            <w:r>
              <w:t>和限期拆除</w:t>
            </w:r>
            <w:r>
              <w:rPr>
                <w:rFonts w:hint="eastAsia"/>
                <w:lang w:eastAsia="zh-CN"/>
              </w:rPr>
              <w:t>法律文书</w:t>
            </w:r>
            <w:r>
              <w:rPr>
                <w:rFonts w:hint="eastAsia"/>
                <w:lang w:val="en-US" w:eastAsia="zh-CN"/>
              </w:rPr>
              <w:t>95</w:t>
            </w:r>
            <w:r>
              <w:t>份，</w:t>
            </w:r>
            <w:r>
              <w:rPr>
                <w:rFonts w:hint="eastAsia"/>
                <w:lang w:eastAsia="zh-CN"/>
              </w:rPr>
              <w:t>实施强制停工项目</w:t>
            </w:r>
            <w:r>
              <w:rPr>
                <w:rFonts w:hint="eastAsia"/>
                <w:lang w:val="en-US" w:eastAsia="zh-CN"/>
              </w:rPr>
              <w:t>18个，</w:t>
            </w:r>
            <w:r>
              <w:rPr>
                <w:rFonts w:hint="eastAsia"/>
                <w:lang w:eastAsia="zh-CN"/>
              </w:rPr>
              <w:t>行政处罚案件</w:t>
            </w:r>
            <w:r>
              <w:rPr>
                <w:rFonts w:hint="eastAsia"/>
                <w:lang w:val="en-US" w:eastAsia="zh-CN"/>
              </w:rPr>
              <w:t>33宗，处罚金额996019元，</w:t>
            </w:r>
            <w:r>
              <w:t>全年共拆除违建</w:t>
            </w:r>
            <w:r>
              <w:rPr>
                <w:rFonts w:hint="eastAsia"/>
                <w:lang w:val="en-US" w:eastAsia="zh-CN"/>
              </w:rPr>
              <w:t>89</w:t>
            </w:r>
            <w:r>
              <w:t>处</w:t>
            </w:r>
            <w:r>
              <w:rPr>
                <w:rFonts w:hint="eastAsia"/>
                <w:lang w:val="en-US" w:eastAsia="zh-CN"/>
              </w:rPr>
              <w:t>13234</w:t>
            </w:r>
            <w:r>
              <w:t>㎡ ，处理信访案件356宗，满意率100%。</w:t>
            </w:r>
          </w:p>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违法建设集中整治</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高位推动、宣传造势形成强大合力，产生了持续打击违法建设的高压态势。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常态化控建拆违</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部门联动进一步密切，巡查力量进一步下沉，快速处置能力得到大幅提高。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新增违法建设动态清零</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eastAsia="zh-CN"/>
              </w:rPr>
              <w:t>督办规划许可证副本</w:t>
            </w:r>
            <w:r>
              <w:rPr>
                <w:rFonts w:hint="eastAsia" w:ascii="仿宋_GB2312" w:hAnsi="仿宋_GB2312" w:eastAsia="仿宋_GB2312" w:cs="仿宋_GB2312"/>
                <w:b/>
                <w:color w:val="000000"/>
                <w:sz w:val="24"/>
                <w:lang w:val="en-US" w:eastAsia="zh-CN"/>
              </w:rPr>
              <w:t>5个，责令违反规划条件的已批在建项目8个，即时局部强拆违法建设10个，强拆面积1289平方米。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存量违法建设逐步消除</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eastAsia="zh-CN"/>
              </w:rPr>
              <w:t>参与局规划条件竣工规划条件核实和县人民政府组织的留底安置清理工作，对超容积率、超面积建设的违法建设从严从重处罚，一般程序案件</w:t>
            </w:r>
            <w:r>
              <w:rPr>
                <w:rFonts w:hint="eastAsia" w:ascii="仿宋_GB2312" w:hAnsi="仿宋_GB2312" w:eastAsia="仿宋_GB2312" w:cs="仿宋_GB2312"/>
                <w:b/>
                <w:color w:val="000000"/>
                <w:sz w:val="24"/>
                <w:lang w:val="en-US" w:eastAsia="zh-CN"/>
              </w:rPr>
              <w:t>33宗，处罚金额996019元。逐步推进拆除计划，全年县城规划区中心城区共拆除存量违法建设79个，拆除面积11945平方米。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来信来访绩效考核</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在依法依规的前提下综合运用多元化的方法、措施，服务优先，调解与查处并重，实现了信访处理的及时性、有效性。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拆除方式的优化</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自拆、助拆和强拆多管齐下，对强拆方案的深思熟虑、精打细磨，拆小拆了，大幅提高了拆除的效益。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通风采光权的周密保护</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对污染性建筑物的零容忍</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对已批准项目规划条件核实中，突出在建筑建筑的间距、层高等方面的严格控制，拆除了超高超层和破红线违法建设五处，保障了住宅环境的友好度。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信访回访满意度测试</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eastAsia="zh-CN"/>
              </w:rPr>
              <w:t>信访人和被信访人满意度均达到</w:t>
            </w: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99.9分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SimHei" w:hAnsi="SimHei" w:eastAsia="SimHei" w:cs="SimHei"/>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龙沙</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副大队长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华容县城乡规划执法大队</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邹兵</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办公室主任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华容县城乡规划执法大队</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丰力</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中队长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华容县城乡规划执法大队</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黄晓红</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会计</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华容县城乡规划执法大队</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vAlign w:val="top"/>
          </w:tcPr>
          <w:p>
            <w:pPr>
              <w:jc w:val="center"/>
              <w:rPr>
                <w:rFonts w:hint="eastAsia" w:ascii="SimHei" w:hAnsi="SimHei" w:eastAsia="SimHei" w:cs="SimHei"/>
                <w:bCs/>
                <w:sz w:val="28"/>
                <w:szCs w:val="28"/>
              </w:rPr>
            </w:pPr>
            <w:r>
              <w:rPr>
                <w:rFonts w:hint="eastAsia" w:ascii="SimHei" w:hAnsi="SimHei" w:eastAsia="SimHei" w:cs="SimHei"/>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SimHei" w:hAnsi="SimHei" w:eastAsia="SimHei" w:cs="SimHei"/>
                <w:bCs/>
                <w:sz w:val="28"/>
                <w:szCs w:val="28"/>
              </w:rPr>
            </w:pPr>
            <w:r>
              <w:rPr>
                <w:rFonts w:hint="eastAsia" w:ascii="SimHei" w:hAnsi="SimHei" w:eastAsia="SimHei" w:cs="SimHei"/>
                <w:bCs/>
                <w:sz w:val="28"/>
                <w:szCs w:val="28"/>
              </w:rPr>
              <w:t>一、部门（单位）概况</w:t>
            </w:r>
          </w:p>
          <w:p>
            <w:pPr>
              <w:spacing w:line="560" w:lineRule="exact"/>
              <w:ind w:firstLine="56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30"/>
                <w:szCs w:val="30"/>
              </w:rPr>
              <w:t>一）部门（单位）基本情况</w:t>
            </w:r>
          </w:p>
          <w:p>
            <w:pPr>
              <w:numPr>
                <w:ilvl w:val="0"/>
                <w:numId w:val="0"/>
              </w:numPr>
              <w:autoSpaceDN w:val="0"/>
              <w:spacing w:line="320" w:lineRule="exact"/>
              <w:ind w:left="120" w:leftChars="0" w:firstLine="600" w:firstLineChars="200"/>
              <w:jc w:val="left"/>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我队系县人民政府确定的全县禁违拆违治违工作的主要责任单位，同时加挂县禁违拆违治违工作领导小组牌子，职能职责如下：</w:t>
            </w:r>
          </w:p>
          <w:p>
            <w:pPr>
              <w:numPr>
                <w:ilvl w:val="0"/>
                <w:numId w:val="0"/>
              </w:numPr>
              <w:autoSpaceDN w:val="0"/>
              <w:spacing w:line="320" w:lineRule="exact"/>
              <w:ind w:left="120" w:leftChars="0" w:firstLine="600" w:firstLineChars="200"/>
              <w:jc w:val="left"/>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1、宣传规划管理法律法规和政策；</w:t>
            </w:r>
          </w:p>
          <w:p>
            <w:pPr>
              <w:numPr>
                <w:ilvl w:val="0"/>
                <w:numId w:val="0"/>
              </w:numPr>
              <w:autoSpaceDN w:val="0"/>
              <w:spacing w:line="320" w:lineRule="exact"/>
              <w:ind w:left="120" w:leftChars="0" w:firstLine="600" w:firstLineChars="200"/>
              <w:jc w:val="left"/>
              <w:textAlignment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2、县城规划区内的规划监察；</w:t>
            </w:r>
          </w:p>
          <w:p>
            <w:pPr>
              <w:numPr>
                <w:ilvl w:val="0"/>
                <w:numId w:val="0"/>
              </w:numPr>
              <w:autoSpaceDN w:val="0"/>
              <w:spacing w:line="320" w:lineRule="exact"/>
              <w:ind w:left="120" w:leftChars="0" w:firstLine="600" w:firstLineChars="200"/>
              <w:jc w:val="left"/>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3、对违法建设实施行政处罚和行政强制；</w:t>
            </w:r>
          </w:p>
          <w:p>
            <w:pPr>
              <w:numPr>
                <w:ilvl w:val="0"/>
                <w:numId w:val="0"/>
              </w:numPr>
              <w:autoSpaceDN w:val="0"/>
              <w:spacing w:line="320" w:lineRule="exact"/>
              <w:ind w:left="120" w:leftChars="0" w:firstLine="600" w:firstLineChars="200"/>
              <w:jc w:val="left"/>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30"/>
                <w:szCs w:val="30"/>
                <w:lang w:val="en-US" w:eastAsia="zh-CN"/>
              </w:rPr>
              <w:t>4、对各乡镇禁违拆违治违工作进行培训、督查和指导。</w:t>
            </w:r>
          </w:p>
          <w:p>
            <w:pPr>
              <w:numPr>
                <w:ilvl w:val="0"/>
                <w:numId w:val="0"/>
              </w:numPr>
              <w:autoSpaceDN w:val="0"/>
              <w:spacing w:line="320" w:lineRule="exact"/>
              <w:ind w:left="120" w:leftChars="0" w:firstLine="560" w:firstLineChars="200"/>
              <w:jc w:val="left"/>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我队内设机构六个：办公室、四个执法中队和一个督查室。在编人员35人。</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2021年基本支出预算数为424.04 万元，其中人员支出267.91万元，公用支出156.13万元。人员支出方面主要是在职人员工资、津贴补贴和公积金等住房保障支出。公用支出主要围绕全县禁违拆违治违目标任务而展开，主要范围包括办公用品购置、维护，执法车辆运行，禁违拆违治违宣传、印刷、强拆、委托服务等方面的费用。</w:t>
            </w:r>
          </w:p>
          <w:p>
            <w:pPr>
              <w:spacing w:line="560" w:lineRule="exact"/>
              <w:ind w:firstLine="560" w:firstLineChars="200"/>
              <w:rPr>
                <w:rFonts w:hint="eastAsia" w:ascii="SimHei" w:hAnsi="SimHei" w:eastAsia="SimHei" w:cs="SimHei"/>
                <w:bCs/>
                <w:sz w:val="28"/>
                <w:szCs w:val="28"/>
              </w:rPr>
            </w:pPr>
            <w:r>
              <w:rPr>
                <w:rFonts w:hint="eastAsia" w:ascii="SimHei" w:hAnsi="SimHei" w:eastAsia="SimHei" w:cs="SimHei"/>
                <w:bCs/>
                <w:sz w:val="28"/>
                <w:szCs w:val="28"/>
              </w:rPr>
              <w:t>二、部门（单位）整体支出管理及使用情况</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人员支出按照政府人事部门和财政部门的制度和政策要求严格落实到位。公用支出主要用于支付维持单位基本运转和开展禁违拆违治违工作而发生的费用。结合实际预算状况和我队当年的工作实际，通过完善内务管理、狠抓队伍建设和优化工作措施，全年基本支出较前年减少</w:t>
            </w:r>
            <w:r>
              <w:rPr>
                <w:rFonts w:hint="eastAsia" w:ascii="仿宋_GB2312" w:hAnsi="仿宋_GB2312" w:eastAsia="仿宋_GB2312" w:cs="仿宋_GB2312"/>
                <w:bCs/>
                <w:sz w:val="28"/>
                <w:szCs w:val="28"/>
                <w:lang w:val="en-US" w:eastAsia="zh-CN"/>
              </w:rPr>
              <w:t>5.4%</w:t>
            </w:r>
            <w:r>
              <w:rPr>
                <w:rFonts w:hint="eastAsia" w:ascii="仿宋_GB2312" w:hAnsi="仿宋_GB2312" w:eastAsia="仿宋_GB2312" w:cs="仿宋_GB2312"/>
                <w:bCs/>
                <w:sz w:val="28"/>
                <w:szCs w:val="28"/>
                <w:lang w:eastAsia="zh-CN"/>
              </w:rPr>
              <w:t>。</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numPr>
                <w:ilvl w:val="0"/>
                <w:numId w:val="2"/>
              </w:numPr>
              <w:spacing w:line="560" w:lineRule="exact"/>
              <w:ind w:firstLine="560" w:firstLineChars="200"/>
              <w:rPr>
                <w:rFonts w:hint="eastAsia" w:ascii="SimHei" w:hAnsi="SimHei" w:eastAsia="SimHei" w:cs="SimHei"/>
                <w:bCs/>
                <w:sz w:val="28"/>
                <w:szCs w:val="28"/>
              </w:rPr>
            </w:pPr>
            <w:r>
              <w:rPr>
                <w:rFonts w:hint="eastAsia" w:ascii="SimHei" w:hAnsi="SimHei" w:eastAsia="SimHei" w:cs="SimHei"/>
                <w:bCs/>
                <w:sz w:val="28"/>
                <w:szCs w:val="28"/>
              </w:rPr>
              <w:t>部门（单位）整体支出绩效情况</w:t>
            </w:r>
          </w:p>
          <w:p>
            <w:pPr>
              <w:numPr>
                <w:ilvl w:val="0"/>
                <w:numId w:val="0"/>
              </w:numPr>
              <w:spacing w:line="560" w:lineRule="exact"/>
              <w:ind w:firstLine="560"/>
              <w:rPr>
                <w:rFonts w:hint="eastAsia" w:ascii="SimHei" w:hAnsi="SimHei" w:eastAsia="SimHei" w:cs="SimHei"/>
                <w:bCs/>
                <w:sz w:val="28"/>
                <w:szCs w:val="28"/>
                <w:lang w:val="en-US" w:eastAsia="zh-CN"/>
              </w:rPr>
            </w:pPr>
            <w:r>
              <w:rPr>
                <w:rFonts w:hint="eastAsia" w:ascii="SimHei" w:hAnsi="SimHei" w:eastAsia="SimHei" w:cs="SimHei"/>
                <w:bCs/>
                <w:sz w:val="28"/>
                <w:szCs w:val="28"/>
                <w:lang w:val="en-US" w:eastAsia="zh-CN"/>
              </w:rPr>
              <w:t>（一）指标分析</w:t>
            </w:r>
          </w:p>
          <w:p>
            <w:pPr>
              <w:numPr>
                <w:ilvl w:val="0"/>
                <w:numId w:val="0"/>
              </w:numPr>
              <w:spacing w:line="560" w:lineRule="exact"/>
              <w:ind w:firstLine="560"/>
              <w:rPr>
                <w:rFonts w:hint="eastAsia" w:ascii="SimHei" w:hAnsi="SimHei" w:eastAsia="SimHei" w:cs="SimHei"/>
                <w:bCs/>
                <w:sz w:val="28"/>
                <w:szCs w:val="28"/>
                <w:lang w:val="en-US" w:eastAsia="zh-CN"/>
              </w:rPr>
            </w:pPr>
            <w:r>
              <w:rPr>
                <w:rFonts w:hint="eastAsia" w:ascii="SimHei" w:hAnsi="SimHei" w:eastAsia="SimHei" w:cs="SimHei"/>
                <w:bCs/>
                <w:sz w:val="28"/>
                <w:szCs w:val="28"/>
                <w:lang w:val="en-US" w:eastAsia="zh-CN"/>
              </w:rPr>
              <w:t>按时按质完成县城规划区监察和全县禁违拆违治违相关目标工作任务，业务机构与财务部门加强沟通对接，及时发布信息和相关制度，对资金使用合理则得分；否则扣分。</w:t>
            </w:r>
          </w:p>
          <w:p>
            <w:pPr>
              <w:numPr>
                <w:ilvl w:val="0"/>
                <w:numId w:val="0"/>
              </w:numPr>
              <w:spacing w:line="560" w:lineRule="exact"/>
              <w:ind w:firstLine="560"/>
              <w:rPr>
                <w:rFonts w:hint="eastAsia" w:ascii="SimHei" w:hAnsi="SimHei" w:eastAsia="SimHei" w:cs="SimHei"/>
                <w:bCs/>
                <w:sz w:val="28"/>
                <w:szCs w:val="28"/>
                <w:lang w:val="en-US" w:eastAsia="zh-CN"/>
              </w:rPr>
            </w:pPr>
            <w:r>
              <w:rPr>
                <w:rFonts w:hint="eastAsia" w:ascii="SimHei" w:hAnsi="SimHei" w:eastAsia="SimHei" w:cs="SimHei"/>
                <w:bCs/>
                <w:sz w:val="28"/>
                <w:szCs w:val="28"/>
                <w:lang w:val="en-US" w:eastAsia="zh-CN"/>
              </w:rPr>
              <w:t>（二）综合绩效分析</w:t>
            </w:r>
          </w:p>
          <w:p>
            <w:pPr>
              <w:ind w:firstLine="560" w:firstLineChars="200"/>
              <w:rPr>
                <w:sz w:val="28"/>
                <w:szCs w:val="28"/>
              </w:rPr>
            </w:pPr>
            <w:r>
              <w:rPr>
                <w:rFonts w:hint="eastAsia" w:ascii="SimHei" w:hAnsi="SimHei" w:eastAsia="SimHei" w:cs="SimHei"/>
                <w:bCs/>
                <w:sz w:val="28"/>
                <w:szCs w:val="28"/>
                <w:lang w:val="en-US" w:eastAsia="zh-CN"/>
              </w:rPr>
              <w:t>大队职能履行情况。</w:t>
            </w:r>
            <w:r>
              <w:rPr>
                <w:sz w:val="28"/>
                <w:szCs w:val="28"/>
              </w:rPr>
              <w:t>出动禁违宣传车80车次，发布新闻报道50余篇、短视频15个、美篇 8个；禁违办下发交办督办函7件，交办问题7个，督办重点区域3处</w:t>
            </w:r>
            <w:r>
              <w:rPr>
                <w:rFonts w:hint="eastAsia"/>
                <w:sz w:val="28"/>
                <w:szCs w:val="28"/>
                <w:lang w:eastAsia="zh-CN"/>
              </w:rPr>
              <w:t>，督导各乡镇（管委会）下达法律文书</w:t>
            </w:r>
            <w:r>
              <w:rPr>
                <w:rFonts w:hint="eastAsia"/>
                <w:sz w:val="28"/>
                <w:szCs w:val="28"/>
                <w:lang w:val="en-US" w:eastAsia="zh-CN"/>
              </w:rPr>
              <w:t>1380份，强拆违法建设1565处，强拆面积100083平方米</w:t>
            </w:r>
            <w:r>
              <w:rPr>
                <w:sz w:val="28"/>
                <w:szCs w:val="28"/>
              </w:rPr>
              <w:t>；突出对长江岸线、农贸市场、防汛大堤、主干道沿线和违法用地等五个主要重点区域开展违建整治行动</w:t>
            </w:r>
            <w:r>
              <w:rPr>
                <w:rFonts w:hint="eastAsia"/>
                <w:sz w:val="28"/>
                <w:szCs w:val="28"/>
                <w:lang w:val="en-US" w:eastAsia="zh-CN"/>
              </w:rPr>
              <w:t>;县中心城区，</w:t>
            </w:r>
            <w:r>
              <w:rPr>
                <w:rFonts w:hint="eastAsia"/>
                <w:sz w:val="28"/>
                <w:szCs w:val="28"/>
                <w:lang w:eastAsia="zh-CN"/>
              </w:rPr>
              <w:t>大队</w:t>
            </w:r>
            <w:r>
              <w:rPr>
                <w:sz w:val="28"/>
                <w:szCs w:val="28"/>
              </w:rPr>
              <w:t>共下达停</w:t>
            </w:r>
            <w:r>
              <w:rPr>
                <w:rFonts w:hint="eastAsia"/>
                <w:sz w:val="28"/>
                <w:szCs w:val="28"/>
                <w:lang w:eastAsia="zh-CN"/>
              </w:rPr>
              <w:t>改</w:t>
            </w:r>
            <w:r>
              <w:rPr>
                <w:sz w:val="28"/>
                <w:szCs w:val="28"/>
              </w:rPr>
              <w:t>和限期拆除</w:t>
            </w:r>
            <w:r>
              <w:rPr>
                <w:rFonts w:hint="eastAsia"/>
                <w:sz w:val="28"/>
                <w:szCs w:val="28"/>
                <w:lang w:eastAsia="zh-CN"/>
              </w:rPr>
              <w:t>法律文书</w:t>
            </w:r>
            <w:r>
              <w:rPr>
                <w:rFonts w:hint="eastAsia"/>
                <w:sz w:val="28"/>
                <w:szCs w:val="28"/>
                <w:lang w:val="en-US" w:eastAsia="zh-CN"/>
              </w:rPr>
              <w:t>95</w:t>
            </w:r>
            <w:r>
              <w:rPr>
                <w:sz w:val="28"/>
                <w:szCs w:val="28"/>
              </w:rPr>
              <w:t>份，</w:t>
            </w:r>
            <w:r>
              <w:rPr>
                <w:rFonts w:hint="eastAsia"/>
                <w:sz w:val="28"/>
                <w:szCs w:val="28"/>
                <w:lang w:eastAsia="zh-CN"/>
              </w:rPr>
              <w:t>实施强制停工项目</w:t>
            </w:r>
            <w:r>
              <w:rPr>
                <w:rFonts w:hint="eastAsia"/>
                <w:sz w:val="28"/>
                <w:szCs w:val="28"/>
                <w:lang w:val="en-US" w:eastAsia="zh-CN"/>
              </w:rPr>
              <w:t>18个，</w:t>
            </w:r>
            <w:r>
              <w:rPr>
                <w:rFonts w:hint="eastAsia"/>
                <w:sz w:val="28"/>
                <w:szCs w:val="28"/>
                <w:lang w:eastAsia="zh-CN"/>
              </w:rPr>
              <w:t>行政处罚案件</w:t>
            </w:r>
            <w:r>
              <w:rPr>
                <w:rFonts w:hint="eastAsia"/>
                <w:sz w:val="28"/>
                <w:szCs w:val="28"/>
                <w:lang w:val="en-US" w:eastAsia="zh-CN"/>
              </w:rPr>
              <w:t>33宗，处罚金额996019元，</w:t>
            </w:r>
            <w:r>
              <w:rPr>
                <w:sz w:val="28"/>
                <w:szCs w:val="28"/>
              </w:rPr>
              <w:t>全年共拆除违建</w:t>
            </w:r>
            <w:r>
              <w:rPr>
                <w:rFonts w:hint="eastAsia"/>
                <w:sz w:val="28"/>
                <w:szCs w:val="28"/>
                <w:lang w:val="en-US" w:eastAsia="zh-CN"/>
              </w:rPr>
              <w:t>89</w:t>
            </w:r>
            <w:r>
              <w:rPr>
                <w:sz w:val="28"/>
                <w:szCs w:val="28"/>
              </w:rPr>
              <w:t>处</w:t>
            </w:r>
            <w:r>
              <w:rPr>
                <w:rFonts w:hint="eastAsia"/>
                <w:sz w:val="28"/>
                <w:szCs w:val="28"/>
                <w:lang w:val="en-US" w:eastAsia="zh-CN"/>
              </w:rPr>
              <w:t>13234</w:t>
            </w:r>
            <w:r>
              <w:rPr>
                <w:sz w:val="28"/>
                <w:szCs w:val="28"/>
              </w:rPr>
              <w:t>㎡ ，处理信访案件356宗，满意率100%。</w:t>
            </w:r>
          </w:p>
          <w:p>
            <w:pPr>
              <w:ind w:firstLine="560" w:firstLineChars="200"/>
              <w:rPr>
                <w:rFonts w:hint="eastAsia"/>
                <w:sz w:val="28"/>
                <w:szCs w:val="28"/>
                <w:lang w:val="en-US" w:eastAsia="zh-CN"/>
              </w:rPr>
            </w:pPr>
            <w:r>
              <w:rPr>
                <w:rFonts w:hint="eastAsia"/>
                <w:sz w:val="28"/>
                <w:szCs w:val="28"/>
                <w:lang w:val="en-US" w:eastAsia="zh-CN"/>
              </w:rPr>
              <w:t>大队履职的有效性。华容县城乡规划执法大队在本年度内完成所有工作任务，获评华容县自然资源局“综合评价优胜单位”和“岳阳市违法建设集中整治第一名”。</w:t>
            </w:r>
          </w:p>
          <w:p>
            <w:pPr>
              <w:ind w:firstLine="560" w:firstLineChars="200"/>
              <w:rPr>
                <w:rFonts w:hint="eastAsia"/>
                <w:sz w:val="28"/>
                <w:szCs w:val="28"/>
                <w:lang w:val="en-US" w:eastAsia="zh-CN"/>
              </w:rPr>
            </w:pPr>
            <w:r>
              <w:rPr>
                <w:rFonts w:hint="eastAsia"/>
                <w:sz w:val="28"/>
                <w:szCs w:val="28"/>
                <w:lang w:val="en-US" w:eastAsia="zh-CN"/>
              </w:rPr>
              <w:t>大队职能实现程度。2021年我队积极圆满完成工作目标，在违法建设整治、人居环境改善、安全隐患排除、美丽乡村建设、提升县城品味、维护公平正义方面起到了重要作用，社会满意度达到97%。</w:t>
            </w:r>
          </w:p>
          <w:p>
            <w:pPr>
              <w:numPr>
                <w:ilvl w:val="0"/>
                <w:numId w:val="1"/>
              </w:numPr>
              <w:ind w:left="0" w:leftChars="0" w:firstLine="560" w:firstLineChars="200"/>
              <w:rPr>
                <w:rFonts w:hint="eastAsia"/>
                <w:sz w:val="28"/>
                <w:szCs w:val="28"/>
                <w:lang w:val="en-US" w:eastAsia="zh-CN"/>
              </w:rPr>
            </w:pPr>
            <w:r>
              <w:rPr>
                <w:rFonts w:hint="eastAsia"/>
                <w:sz w:val="28"/>
                <w:szCs w:val="28"/>
                <w:lang w:val="en-US" w:eastAsia="zh-CN"/>
              </w:rPr>
              <w:t>综合评价情况及评价结论</w:t>
            </w:r>
          </w:p>
          <w:p>
            <w:pPr>
              <w:numPr>
                <w:ilvl w:val="0"/>
                <w:numId w:val="0"/>
              </w:numPr>
              <w:ind w:leftChars="200"/>
              <w:rPr>
                <w:rFonts w:hint="eastAsia"/>
                <w:sz w:val="28"/>
                <w:szCs w:val="28"/>
                <w:lang w:val="en-US" w:eastAsia="zh-CN"/>
              </w:rPr>
            </w:pPr>
            <w:r>
              <w:rPr>
                <w:rFonts w:hint="eastAsia"/>
                <w:sz w:val="28"/>
                <w:szCs w:val="28"/>
                <w:lang w:val="en-US" w:eastAsia="zh-CN"/>
              </w:rPr>
              <w:t>华容县城乡规划执法大队采用综合评分定级法，2021年绩效评价结果如下：总分值99.9分，绩效评价分优。</w:t>
            </w:r>
          </w:p>
          <w:p>
            <w:pPr>
              <w:numPr>
                <w:ilvl w:val="0"/>
                <w:numId w:val="0"/>
              </w:numPr>
              <w:ind w:leftChars="200" w:firstLine="560" w:firstLineChars="200"/>
              <w:rPr>
                <w:rFonts w:hint="eastAsia" w:ascii="SimHei" w:hAnsi="SimHei" w:eastAsia="SimHei" w:cs="SimHei"/>
                <w:bCs/>
                <w:sz w:val="28"/>
                <w:szCs w:val="28"/>
              </w:rPr>
            </w:pPr>
            <w:r>
              <w:rPr>
                <w:rFonts w:hint="eastAsia" w:ascii="SimHei" w:hAnsi="SimHei" w:eastAsia="SimHei" w:cs="SimHei"/>
                <w:bCs/>
                <w:sz w:val="28"/>
                <w:szCs w:val="28"/>
                <w:lang w:eastAsia="zh-CN"/>
              </w:rPr>
              <w:t>四、</w:t>
            </w:r>
            <w:r>
              <w:rPr>
                <w:rFonts w:hint="eastAsia" w:ascii="SimHei" w:hAnsi="SimHei" w:eastAsia="SimHei" w:cs="SimHei"/>
                <w:bCs/>
                <w:sz w:val="28"/>
                <w:szCs w:val="28"/>
              </w:rPr>
              <w:t>存在的主要问题</w:t>
            </w:r>
          </w:p>
          <w:p>
            <w:pPr>
              <w:numPr>
                <w:ilvl w:val="0"/>
                <w:numId w:val="0"/>
              </w:numPr>
              <w:spacing w:line="560" w:lineRule="exact"/>
              <w:ind w:leftChars="200" w:firstLine="560" w:firstLineChars="200"/>
              <w:rPr>
                <w:rFonts w:hint="eastAsia" w:ascii="SimHei" w:hAnsi="SimHei" w:eastAsia="SimHei" w:cs="SimHei"/>
                <w:bCs/>
                <w:sz w:val="28"/>
                <w:szCs w:val="28"/>
                <w:lang w:eastAsia="zh-CN"/>
              </w:rPr>
            </w:pPr>
            <w:r>
              <w:rPr>
                <w:rFonts w:hint="eastAsia" w:ascii="SimHei" w:hAnsi="SimHei" w:eastAsia="SimHei" w:cs="SimHei"/>
                <w:bCs/>
                <w:sz w:val="28"/>
                <w:szCs w:val="28"/>
                <w:lang w:eastAsia="zh-CN"/>
              </w:rPr>
              <w:t>我队存在预算编制不够完善，绩效管理工作有待加强等问题，主要是由于缺少专业技术人员，在部门编制，内部控制等方面对预算法缺乏深入了解，导致在执行中缺乏科学性、合理性，多走弯路。</w:t>
            </w:r>
          </w:p>
          <w:p>
            <w:pPr>
              <w:numPr>
                <w:ilvl w:val="0"/>
                <w:numId w:val="0"/>
              </w:numPr>
              <w:spacing w:line="560" w:lineRule="exact"/>
              <w:ind w:leftChars="200" w:firstLine="560" w:firstLineChars="200"/>
              <w:rPr>
                <w:rFonts w:hint="eastAsia" w:ascii="SimHei" w:hAnsi="SimHei" w:eastAsia="SimHei" w:cs="SimHei"/>
                <w:bCs/>
                <w:sz w:val="28"/>
                <w:szCs w:val="28"/>
              </w:rPr>
            </w:pPr>
            <w:r>
              <w:rPr>
                <w:rFonts w:hint="eastAsia" w:ascii="SimHei" w:hAnsi="SimHei" w:eastAsia="SimHei" w:cs="SimHei"/>
                <w:bCs/>
                <w:sz w:val="28"/>
                <w:szCs w:val="28"/>
                <w:lang w:eastAsia="zh-CN"/>
              </w:rPr>
              <w:t>五、</w:t>
            </w:r>
            <w:r>
              <w:rPr>
                <w:rFonts w:hint="eastAsia" w:ascii="SimHei" w:hAnsi="SimHei" w:eastAsia="SimHei" w:cs="SimHei"/>
                <w:bCs/>
                <w:sz w:val="28"/>
                <w:szCs w:val="28"/>
              </w:rPr>
              <w:t>改进措施和有关建议</w:t>
            </w:r>
          </w:p>
          <w:p>
            <w:pPr>
              <w:numPr>
                <w:ilvl w:val="0"/>
                <w:numId w:val="0"/>
              </w:numPr>
              <w:spacing w:line="560" w:lineRule="exact"/>
              <w:ind w:leftChars="200" w:firstLine="560"/>
              <w:rPr>
                <w:rFonts w:hint="eastAsia" w:ascii="SimHei" w:hAnsi="SimHei" w:eastAsia="SimHei" w:cs="SimHei"/>
                <w:bCs/>
                <w:sz w:val="28"/>
                <w:szCs w:val="28"/>
                <w:lang w:val="en-US" w:eastAsia="zh-CN"/>
              </w:rPr>
            </w:pPr>
            <w:r>
              <w:rPr>
                <w:rFonts w:hint="eastAsia" w:ascii="SimHei" w:hAnsi="SimHei" w:eastAsia="SimHei" w:cs="SimHei"/>
                <w:bCs/>
                <w:sz w:val="28"/>
                <w:szCs w:val="28"/>
                <w:lang w:val="en-US" w:eastAsia="zh-CN"/>
              </w:rPr>
              <w:t>我队将在今后多培养相关专业人才，加强队伍建设。加强大队绩效管理，强化预算编制的科学性、合理性，让预算编制更贴合实际。及时将预算分解到各内设机构，按计划申请资金支付。加强预算绩效管理，增强预算约束力，做好预算项目支出绩效目标及各项绩效指标细量化，用好用活各类财政资金，提高财政资金的使用效益。</w:t>
            </w:r>
          </w:p>
          <w:p>
            <w:pPr>
              <w:numPr>
                <w:ilvl w:val="0"/>
                <w:numId w:val="0"/>
              </w:numPr>
              <w:spacing w:line="560" w:lineRule="exact"/>
              <w:ind w:leftChars="200" w:firstLine="560"/>
              <w:rPr>
                <w:rFonts w:hint="default" w:ascii="SimHei" w:hAnsi="SimHei" w:eastAsia="SimHei" w:cs="SimHei"/>
                <w:bCs/>
                <w:sz w:val="28"/>
                <w:szCs w:val="28"/>
                <w:lang w:val="en-US" w:eastAsia="zh-CN"/>
              </w:rPr>
            </w:pPr>
            <w:r>
              <w:rPr>
                <w:rFonts w:hint="eastAsia" w:ascii="SimHei" w:hAnsi="SimHei" w:eastAsia="SimHei" w:cs="SimHei"/>
                <w:bCs/>
                <w:sz w:val="28"/>
                <w:szCs w:val="28"/>
                <w:lang w:val="en-US" w:eastAsia="zh-CN"/>
              </w:rPr>
              <w:t>建议加强预算编制培训学习，增加相关人员专业知识。</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eastAsia="仿宋_GB2312" w:cs="仿宋_GB2312"/>
          <w:bCs/>
          <w:sz w:val="28"/>
          <w:szCs w:val="28"/>
        </w:rPr>
      </w:pPr>
      <w:r>
        <w:rPr>
          <w:rFonts w:eastAsia="楷体_GB2312"/>
          <w:bCs/>
          <w:sz w:val="28"/>
          <w:szCs w:val="28"/>
        </w:rPr>
        <w:br w:type="page"/>
      </w:r>
    </w:p>
    <w:p>
      <w:pPr>
        <w:rPr>
          <w:rFonts w:hint="eastAsia" w:ascii="方正小标宋简体" w:eastAsia="方正小标宋简体"/>
          <w:sz w:val="38"/>
          <w:szCs w:val="38"/>
        </w:rPr>
      </w:pPr>
      <w:r>
        <w:rPr>
          <w:rFonts w:hint="eastAsia" w:ascii="SimHei" w:hAnsi="SimHei" w:eastAsia="SimHei"/>
          <w:sz w:val="32"/>
          <w:szCs w:val="32"/>
        </w:rPr>
        <w:t>附件</w:t>
      </w:r>
      <w:r>
        <w:rPr>
          <w:rFonts w:hint="eastAsia" w:ascii="SimHei" w:hAnsi="SimHei" w:eastAsia="SimHei"/>
          <w:sz w:val="32"/>
          <w:szCs w:val="32"/>
          <w:lang w:eastAsia="zh-CN"/>
        </w:rPr>
        <w:t>：</w:t>
      </w:r>
      <w:r>
        <w:rPr>
          <w:rFonts w:hint="eastAsia" w:ascii="方正小标宋简体" w:eastAsia="方正小标宋简体"/>
          <w:sz w:val="38"/>
          <w:szCs w:val="38"/>
          <w:lang w:eastAsia="zh-CN"/>
        </w:rPr>
        <w:t>华容县城乡规划执法大队</w:t>
      </w:r>
      <w:r>
        <w:rPr>
          <w:rFonts w:hint="eastAsia" w:ascii="方正小标宋简体" w:eastAsia="方正小标宋简体"/>
          <w:sz w:val="38"/>
          <w:szCs w:val="38"/>
        </w:rPr>
        <w:t>整体支出绩效评价评分表</w:t>
      </w:r>
    </w:p>
    <w:tbl>
      <w:tblPr>
        <w:tblStyle w:val="5"/>
        <w:tblW w:w="9937" w:type="dxa"/>
        <w:jc w:val="center"/>
        <w:tblLayout w:type="fixed"/>
        <w:tblCellMar>
          <w:top w:w="0" w:type="dxa"/>
          <w:left w:w="108" w:type="dxa"/>
          <w:bottom w:w="0" w:type="dxa"/>
          <w:right w:w="108" w:type="dxa"/>
        </w:tblCellMar>
      </w:tblPr>
      <w:tblGrid>
        <w:gridCol w:w="976"/>
        <w:gridCol w:w="4"/>
        <w:gridCol w:w="935"/>
        <w:gridCol w:w="8"/>
        <w:gridCol w:w="1381"/>
        <w:gridCol w:w="14"/>
        <w:gridCol w:w="4157"/>
        <w:gridCol w:w="33"/>
        <w:gridCol w:w="586"/>
        <w:gridCol w:w="35"/>
        <w:gridCol w:w="685"/>
        <w:gridCol w:w="38"/>
        <w:gridCol w:w="1042"/>
        <w:gridCol w:w="43"/>
      </w:tblGrid>
      <w:tr>
        <w:tblPrEx>
          <w:tblCellMar>
            <w:top w:w="0" w:type="dxa"/>
            <w:left w:w="108" w:type="dxa"/>
            <w:bottom w:w="0" w:type="dxa"/>
            <w:right w:w="108" w:type="dxa"/>
          </w:tblCellMar>
        </w:tblPrEx>
        <w:trPr>
          <w:gridAfter w:val="1"/>
          <w:wAfter w:w="43" w:type="dxa"/>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b/>
                <w:bCs/>
                <w:kern w:val="0"/>
                <w:sz w:val="18"/>
                <w:szCs w:val="18"/>
              </w:rPr>
            </w:pPr>
            <w:r>
              <w:rPr>
                <w:rFonts w:hint="eastAsia" w:ascii="仿宋_GB2312" w:hAnsi="SimSun" w:eastAsia="仿宋_GB2312" w:cs="SimSun"/>
                <w:b/>
                <w:bCs/>
                <w:kern w:val="0"/>
                <w:sz w:val="18"/>
                <w:szCs w:val="18"/>
              </w:rPr>
              <w:t>一级指标</w:t>
            </w:r>
          </w:p>
        </w:tc>
        <w:tc>
          <w:tcPr>
            <w:tcW w:w="93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b/>
                <w:bCs/>
                <w:kern w:val="0"/>
                <w:sz w:val="18"/>
                <w:szCs w:val="18"/>
              </w:rPr>
            </w:pPr>
            <w:r>
              <w:rPr>
                <w:rFonts w:hint="eastAsia" w:ascii="仿宋_GB2312" w:hAnsi="SimSun" w:eastAsia="仿宋_GB2312" w:cs="SimSun"/>
                <w:b/>
                <w:bCs/>
                <w:kern w:val="0"/>
                <w:sz w:val="18"/>
                <w:szCs w:val="18"/>
              </w:rPr>
              <w:t>二级指标</w:t>
            </w:r>
          </w:p>
        </w:tc>
        <w:tc>
          <w:tcPr>
            <w:tcW w:w="138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b/>
                <w:bCs/>
                <w:kern w:val="0"/>
                <w:sz w:val="18"/>
                <w:szCs w:val="18"/>
              </w:rPr>
            </w:pPr>
            <w:r>
              <w:rPr>
                <w:rFonts w:hint="eastAsia" w:ascii="仿宋_GB2312" w:hAnsi="SimSun" w:eastAsia="仿宋_GB2312" w:cs="SimSun"/>
                <w:b/>
                <w:bCs/>
                <w:kern w:val="0"/>
                <w:sz w:val="18"/>
                <w:szCs w:val="18"/>
              </w:rPr>
              <w:t>三级指标</w:t>
            </w:r>
          </w:p>
        </w:tc>
        <w:tc>
          <w:tcPr>
            <w:tcW w:w="4171"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b/>
                <w:bCs/>
                <w:kern w:val="0"/>
                <w:sz w:val="18"/>
                <w:szCs w:val="18"/>
              </w:rPr>
            </w:pPr>
            <w:r>
              <w:rPr>
                <w:rFonts w:hint="eastAsia" w:ascii="仿宋_GB2312" w:hAnsi="SimSun" w:eastAsia="仿宋_GB2312" w:cs="SimSun"/>
                <w:b/>
                <w:bCs/>
                <w:kern w:val="0"/>
                <w:sz w:val="18"/>
                <w:szCs w:val="18"/>
              </w:rPr>
              <w:t>评分标准</w:t>
            </w:r>
          </w:p>
        </w:tc>
        <w:tc>
          <w:tcPr>
            <w:tcW w:w="61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b/>
                <w:bCs/>
                <w:kern w:val="0"/>
                <w:sz w:val="18"/>
                <w:szCs w:val="18"/>
              </w:rPr>
            </w:pPr>
            <w:r>
              <w:rPr>
                <w:rFonts w:hint="eastAsia" w:ascii="仿宋_GB2312" w:hAnsi="SimSun" w:eastAsia="仿宋_GB2312" w:cs="SimSun"/>
                <w:b/>
                <w:bCs/>
                <w:kern w:val="0"/>
                <w:sz w:val="18"/>
                <w:szCs w:val="18"/>
              </w:rPr>
              <w:t>分值</w:t>
            </w:r>
          </w:p>
        </w:tc>
        <w:tc>
          <w:tcPr>
            <w:tcW w:w="720" w:type="dxa"/>
            <w:gridSpan w:val="2"/>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SimSun" w:eastAsia="仿宋_GB2312" w:cs="SimSun"/>
                <w:b/>
                <w:bCs/>
                <w:kern w:val="0"/>
                <w:sz w:val="18"/>
                <w:szCs w:val="18"/>
              </w:rPr>
            </w:pPr>
            <w:r>
              <w:rPr>
                <w:rFonts w:hint="eastAsia" w:ascii="仿宋_GB2312" w:hAnsi="SimSun" w:eastAsia="仿宋_GB2312" w:cs="SimSun"/>
                <w:b/>
                <w:bCs/>
                <w:kern w:val="0"/>
                <w:sz w:val="18"/>
                <w:szCs w:val="18"/>
              </w:rPr>
              <w:t>自评得分</w:t>
            </w:r>
          </w:p>
        </w:tc>
        <w:tc>
          <w:tcPr>
            <w:tcW w:w="1080" w:type="dxa"/>
            <w:gridSpan w:val="2"/>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SimSun" w:eastAsia="仿宋_GB2312" w:cs="SimSun"/>
                <w:b/>
                <w:bCs/>
                <w:spacing w:val="-10"/>
                <w:kern w:val="0"/>
                <w:sz w:val="18"/>
                <w:szCs w:val="18"/>
              </w:rPr>
            </w:pPr>
            <w:r>
              <w:rPr>
                <w:rFonts w:hint="eastAsia" w:ascii="仿宋_GB2312" w:hAnsi="SimSun" w:eastAsia="仿宋_GB2312" w:cs="SimSun"/>
                <w:b/>
                <w:bCs/>
                <w:spacing w:val="-10"/>
                <w:kern w:val="0"/>
                <w:sz w:val="18"/>
                <w:szCs w:val="18"/>
              </w:rPr>
              <w:t>扣分原因和其他说明</w:t>
            </w:r>
          </w:p>
        </w:tc>
      </w:tr>
      <w:tr>
        <w:tblPrEx>
          <w:tblCellMar>
            <w:top w:w="0" w:type="dxa"/>
            <w:left w:w="108" w:type="dxa"/>
            <w:bottom w:w="0" w:type="dxa"/>
            <w:right w:w="108" w:type="dxa"/>
          </w:tblCellMar>
        </w:tblPrEx>
        <w:trPr>
          <w:gridAfter w:val="1"/>
          <w:wAfter w:w="43" w:type="dxa"/>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投  入</w:t>
            </w:r>
          </w:p>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（15分）</w:t>
            </w:r>
          </w:p>
        </w:tc>
        <w:tc>
          <w:tcPr>
            <w:tcW w:w="939"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预算配置</w:t>
            </w:r>
          </w:p>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（15分）</w:t>
            </w:r>
          </w:p>
        </w:tc>
        <w:tc>
          <w:tcPr>
            <w:tcW w:w="138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SimSun" w:eastAsia="仿宋_GB2312" w:cs="SimSun"/>
                <w:kern w:val="0"/>
                <w:sz w:val="18"/>
                <w:szCs w:val="18"/>
              </w:rPr>
            </w:pPr>
            <w:r>
              <w:rPr>
                <w:rFonts w:hint="eastAsia" w:ascii="仿宋_GB2312" w:hAnsi="SimSun" w:eastAsia="仿宋_GB2312" w:cs="SimSun"/>
                <w:kern w:val="0"/>
                <w:sz w:val="18"/>
                <w:szCs w:val="18"/>
              </w:rPr>
              <w:t>财政供养人员</w:t>
            </w:r>
          </w:p>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控制率</w:t>
            </w:r>
          </w:p>
        </w:tc>
        <w:tc>
          <w:tcPr>
            <w:tcW w:w="4171" w:type="dxa"/>
            <w:gridSpan w:val="2"/>
            <w:tcBorders>
              <w:top w:val="nil"/>
              <w:left w:val="nil"/>
              <w:bottom w:val="single" w:color="auto" w:sz="4" w:space="0"/>
              <w:right w:val="single" w:color="auto" w:sz="4" w:space="0"/>
            </w:tcBorders>
            <w:vAlign w:val="center"/>
          </w:tcPr>
          <w:p>
            <w:pPr>
              <w:widowControl/>
              <w:spacing w:line="240" w:lineRule="exact"/>
              <w:jc w:val="left"/>
              <w:rPr>
                <w:rFonts w:ascii="仿宋_GB2312" w:hAnsi="SimSun" w:eastAsia="仿宋_GB2312" w:cs="SimSun"/>
                <w:kern w:val="0"/>
                <w:sz w:val="18"/>
                <w:szCs w:val="18"/>
              </w:rPr>
            </w:pPr>
            <w:r>
              <w:rPr>
                <w:rFonts w:hint="eastAsia" w:ascii="仿宋_GB2312" w:hAnsi="SimSun" w:eastAsia="仿宋_GB2312" w:cs="SimSun"/>
                <w:kern w:val="0"/>
                <w:sz w:val="18"/>
                <w:szCs w:val="18"/>
              </w:rPr>
              <w:t>以100%为标准。在职人员控制率</w:t>
            </w:r>
            <w:r>
              <w:rPr>
                <w:rFonts w:hint="eastAsia" w:ascii="SimSun" w:hAnsi="SimSun" w:cs="SimSun"/>
                <w:kern w:val="0"/>
                <w:sz w:val="18"/>
                <w:szCs w:val="18"/>
              </w:rPr>
              <w:t>≦</w:t>
            </w:r>
            <w:r>
              <w:rPr>
                <w:rFonts w:hint="eastAsia" w:ascii="仿宋_GB2312" w:hAnsi="SimSun" w:eastAsia="仿宋_GB2312" w:cs="SimSun"/>
                <w:kern w:val="0"/>
                <w:sz w:val="18"/>
                <w:szCs w:val="18"/>
              </w:rPr>
              <w:t>100%，计5分；每超过一个百分点扣0.5分，扣完为止。</w:t>
            </w:r>
          </w:p>
        </w:tc>
        <w:tc>
          <w:tcPr>
            <w:tcW w:w="61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5</w:t>
            </w:r>
          </w:p>
        </w:tc>
        <w:tc>
          <w:tcPr>
            <w:tcW w:w="720" w:type="dxa"/>
            <w:gridSpan w:val="2"/>
            <w:tcBorders>
              <w:top w:val="nil"/>
              <w:left w:val="nil"/>
              <w:bottom w:val="single" w:color="auto" w:sz="4" w:space="0"/>
              <w:right w:val="single" w:color="auto" w:sz="4" w:space="0"/>
            </w:tcBorders>
            <w:vAlign w:val="center"/>
          </w:tcPr>
          <w:p>
            <w:pPr>
              <w:widowControl/>
              <w:spacing w:line="240" w:lineRule="exact"/>
              <w:ind w:firstLine="180" w:firstLineChars="100"/>
              <w:jc w:val="left"/>
              <w:rPr>
                <w:rFonts w:hint="eastAsia" w:ascii="仿宋_GB2312" w:hAnsi="SimSun" w:eastAsia="仿宋_GB2312" w:cs="SimSun"/>
                <w:color w:val="000000"/>
                <w:kern w:val="0"/>
                <w:sz w:val="18"/>
                <w:szCs w:val="18"/>
                <w:lang w:val="en-US" w:eastAsia="zh-CN"/>
              </w:rPr>
            </w:pPr>
            <w:r>
              <w:rPr>
                <w:rFonts w:hint="eastAsia" w:ascii="仿宋_GB2312" w:hAnsi="SimSun" w:eastAsia="仿宋_GB2312" w:cs="SimSun"/>
                <w:color w:val="000000"/>
                <w:kern w:val="0"/>
                <w:sz w:val="18"/>
                <w:szCs w:val="18"/>
                <w:lang w:val="en-US" w:eastAsia="zh-CN"/>
              </w:rPr>
              <w:t>5</w:t>
            </w:r>
          </w:p>
        </w:tc>
        <w:tc>
          <w:tcPr>
            <w:tcW w:w="1080" w:type="dxa"/>
            <w:gridSpan w:val="2"/>
            <w:tcBorders>
              <w:top w:val="nil"/>
              <w:left w:val="nil"/>
              <w:bottom w:val="single" w:color="auto" w:sz="4" w:space="0"/>
              <w:right w:val="single" w:color="auto" w:sz="4" w:space="0"/>
            </w:tcBorders>
            <w:vAlign w:val="center"/>
          </w:tcPr>
          <w:p>
            <w:pPr>
              <w:widowControl/>
              <w:spacing w:line="240" w:lineRule="exact"/>
              <w:jc w:val="left"/>
              <w:rPr>
                <w:rFonts w:ascii="仿宋_GB2312" w:hAnsi="SimSun" w:eastAsia="仿宋_GB2312" w:cs="SimSun"/>
                <w:color w:val="000000"/>
                <w:kern w:val="0"/>
                <w:sz w:val="18"/>
                <w:szCs w:val="18"/>
              </w:rPr>
            </w:pPr>
          </w:p>
        </w:tc>
      </w:tr>
      <w:tr>
        <w:tblPrEx>
          <w:tblCellMar>
            <w:top w:w="0" w:type="dxa"/>
            <w:left w:w="108" w:type="dxa"/>
            <w:bottom w:w="0" w:type="dxa"/>
            <w:right w:w="108" w:type="dxa"/>
          </w:tblCellMar>
        </w:tblPrEx>
        <w:trPr>
          <w:gridAfter w:val="1"/>
          <w:wAfter w:w="43" w:type="dxa"/>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SimSun" w:eastAsia="仿宋_GB2312" w:cs="SimSun"/>
                <w:kern w:val="0"/>
                <w:sz w:val="18"/>
                <w:szCs w:val="18"/>
              </w:rPr>
            </w:pPr>
          </w:p>
        </w:tc>
        <w:tc>
          <w:tcPr>
            <w:tcW w:w="939"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SimSun" w:eastAsia="仿宋_GB2312" w:cs="SimSun"/>
                <w:kern w:val="0"/>
                <w:sz w:val="18"/>
                <w:szCs w:val="18"/>
              </w:rPr>
            </w:pPr>
          </w:p>
        </w:tc>
        <w:tc>
          <w:tcPr>
            <w:tcW w:w="138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“三公经费”</w:t>
            </w:r>
          </w:p>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变动率</w:t>
            </w:r>
          </w:p>
        </w:tc>
        <w:tc>
          <w:tcPr>
            <w:tcW w:w="4171"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“三公经费”变动率</w:t>
            </w:r>
            <w:r>
              <w:rPr>
                <w:rFonts w:hint="eastAsia" w:ascii="SimSun" w:hAnsi="SimSun" w:cs="SimSun"/>
                <w:kern w:val="0"/>
                <w:sz w:val="18"/>
                <w:szCs w:val="18"/>
              </w:rPr>
              <w:t>≦</w:t>
            </w:r>
            <w:r>
              <w:rPr>
                <w:rFonts w:hint="eastAsia" w:ascii="仿宋_GB2312" w:hAnsi="SimSun" w:eastAsia="仿宋_GB2312" w:cs="SimSun"/>
                <w:kern w:val="0"/>
                <w:sz w:val="18"/>
                <w:szCs w:val="18"/>
              </w:rPr>
              <w:t>0,计5分；</w:t>
            </w:r>
          </w:p>
          <w:p>
            <w:pPr>
              <w:widowControl/>
              <w:spacing w:line="240" w:lineRule="exact"/>
              <w:jc w:val="left"/>
              <w:rPr>
                <w:rFonts w:ascii="仿宋_GB2312" w:hAnsi="SimSun" w:eastAsia="仿宋_GB2312" w:cs="SimSun"/>
                <w:kern w:val="0"/>
                <w:sz w:val="18"/>
                <w:szCs w:val="18"/>
              </w:rPr>
            </w:pPr>
            <w:r>
              <w:rPr>
                <w:rFonts w:hint="eastAsia" w:ascii="仿宋_GB2312" w:hAnsi="SimSun" w:eastAsia="仿宋_GB2312" w:cs="SimSun"/>
                <w:kern w:val="0"/>
                <w:sz w:val="18"/>
                <w:szCs w:val="18"/>
              </w:rPr>
              <w:t>“三公经费”＞0，每超过一个百分点扣0.5分，扣完为止。</w:t>
            </w:r>
          </w:p>
        </w:tc>
        <w:tc>
          <w:tcPr>
            <w:tcW w:w="61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5</w:t>
            </w:r>
          </w:p>
        </w:tc>
        <w:tc>
          <w:tcPr>
            <w:tcW w:w="720" w:type="dxa"/>
            <w:gridSpan w:val="2"/>
            <w:tcBorders>
              <w:top w:val="nil"/>
              <w:left w:val="nil"/>
              <w:bottom w:val="single" w:color="auto" w:sz="4" w:space="0"/>
              <w:right w:val="single" w:color="auto" w:sz="4" w:space="0"/>
            </w:tcBorders>
            <w:vAlign w:val="center"/>
          </w:tcPr>
          <w:p>
            <w:pPr>
              <w:widowControl/>
              <w:spacing w:line="240" w:lineRule="exact"/>
              <w:ind w:firstLine="180" w:firstLineChars="100"/>
              <w:jc w:val="left"/>
              <w:rPr>
                <w:rFonts w:hint="eastAsia" w:ascii="仿宋_GB2312" w:hAnsi="SimSun" w:eastAsia="仿宋_GB2312" w:cs="SimSun"/>
                <w:color w:val="000000"/>
                <w:kern w:val="0"/>
                <w:sz w:val="18"/>
                <w:szCs w:val="18"/>
                <w:lang w:val="en-US" w:eastAsia="zh-CN"/>
              </w:rPr>
            </w:pPr>
            <w:r>
              <w:rPr>
                <w:rFonts w:hint="eastAsia" w:ascii="仿宋_GB2312" w:hAnsi="SimSun" w:eastAsia="仿宋_GB2312" w:cs="SimSun"/>
                <w:color w:val="000000"/>
                <w:kern w:val="0"/>
                <w:sz w:val="18"/>
                <w:szCs w:val="18"/>
                <w:lang w:val="en-US" w:eastAsia="zh-CN"/>
              </w:rPr>
              <w:t>5</w:t>
            </w:r>
          </w:p>
        </w:tc>
        <w:tc>
          <w:tcPr>
            <w:tcW w:w="1080" w:type="dxa"/>
            <w:gridSpan w:val="2"/>
            <w:tcBorders>
              <w:top w:val="nil"/>
              <w:left w:val="nil"/>
              <w:bottom w:val="single" w:color="auto" w:sz="4" w:space="0"/>
              <w:right w:val="single" w:color="auto" w:sz="4" w:space="0"/>
            </w:tcBorders>
            <w:vAlign w:val="center"/>
          </w:tcPr>
          <w:p>
            <w:pPr>
              <w:widowControl/>
              <w:spacing w:line="240" w:lineRule="exact"/>
              <w:jc w:val="left"/>
              <w:rPr>
                <w:rFonts w:ascii="仿宋_GB2312" w:hAnsi="SimSun" w:eastAsia="仿宋_GB2312" w:cs="SimSun"/>
                <w:color w:val="000000"/>
                <w:kern w:val="0"/>
                <w:sz w:val="18"/>
                <w:szCs w:val="18"/>
              </w:rPr>
            </w:pPr>
          </w:p>
        </w:tc>
      </w:tr>
      <w:tr>
        <w:tblPrEx>
          <w:tblCellMar>
            <w:top w:w="0" w:type="dxa"/>
            <w:left w:w="108" w:type="dxa"/>
            <w:bottom w:w="0" w:type="dxa"/>
            <w:right w:w="108" w:type="dxa"/>
          </w:tblCellMar>
        </w:tblPrEx>
        <w:trPr>
          <w:gridAfter w:val="1"/>
          <w:wAfter w:w="43" w:type="dxa"/>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SimSun" w:eastAsia="仿宋_GB2312" w:cs="SimSun"/>
                <w:kern w:val="0"/>
                <w:sz w:val="18"/>
                <w:szCs w:val="18"/>
              </w:rPr>
            </w:pPr>
          </w:p>
        </w:tc>
        <w:tc>
          <w:tcPr>
            <w:tcW w:w="939"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SimSun" w:eastAsia="仿宋_GB2312" w:cs="SimSun"/>
                <w:kern w:val="0"/>
                <w:sz w:val="18"/>
                <w:szCs w:val="18"/>
              </w:rPr>
            </w:pPr>
          </w:p>
        </w:tc>
        <w:tc>
          <w:tcPr>
            <w:tcW w:w="138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重点支出</w:t>
            </w:r>
          </w:p>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安排率</w:t>
            </w:r>
          </w:p>
        </w:tc>
        <w:tc>
          <w:tcPr>
            <w:tcW w:w="4171" w:type="dxa"/>
            <w:gridSpan w:val="2"/>
            <w:tcBorders>
              <w:top w:val="nil"/>
              <w:left w:val="nil"/>
              <w:bottom w:val="single" w:color="auto" w:sz="4" w:space="0"/>
              <w:right w:val="single" w:color="auto" w:sz="4" w:space="0"/>
            </w:tcBorders>
            <w:vAlign w:val="center"/>
          </w:tcPr>
          <w:p>
            <w:pPr>
              <w:widowControl/>
              <w:spacing w:line="240" w:lineRule="exact"/>
              <w:jc w:val="left"/>
              <w:rPr>
                <w:rFonts w:ascii="仿宋_GB2312" w:hAnsi="SimSun" w:eastAsia="仿宋_GB2312" w:cs="SimSun"/>
                <w:kern w:val="0"/>
                <w:sz w:val="18"/>
                <w:szCs w:val="18"/>
              </w:rPr>
            </w:pPr>
            <w:r>
              <w:rPr>
                <w:rFonts w:hint="eastAsia" w:ascii="仿宋_GB2312" w:hAnsi="SimSun" w:eastAsia="仿宋_GB2312" w:cs="SimSun"/>
                <w:kern w:val="0"/>
                <w:sz w:val="18"/>
                <w:szCs w:val="18"/>
              </w:rPr>
              <w:t>重点支出安排率≥90%，计5分；80%（含）-90%，计4分；70%（含）-80%，计3分；60%（含）-70%，计2分；低于60%不得分。</w:t>
            </w:r>
          </w:p>
        </w:tc>
        <w:tc>
          <w:tcPr>
            <w:tcW w:w="61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5</w:t>
            </w:r>
          </w:p>
        </w:tc>
        <w:tc>
          <w:tcPr>
            <w:tcW w:w="720" w:type="dxa"/>
            <w:gridSpan w:val="2"/>
            <w:tcBorders>
              <w:top w:val="nil"/>
              <w:left w:val="nil"/>
              <w:bottom w:val="single" w:color="auto" w:sz="4" w:space="0"/>
              <w:right w:val="single" w:color="auto" w:sz="4" w:space="0"/>
            </w:tcBorders>
            <w:vAlign w:val="center"/>
          </w:tcPr>
          <w:p>
            <w:pPr>
              <w:widowControl/>
              <w:spacing w:line="240" w:lineRule="exact"/>
              <w:ind w:firstLine="180" w:firstLineChars="100"/>
              <w:jc w:val="left"/>
              <w:rPr>
                <w:rFonts w:hint="eastAsia" w:ascii="仿宋_GB2312" w:hAnsi="SimSun" w:eastAsia="仿宋_GB2312" w:cs="SimSun"/>
                <w:color w:val="000000"/>
                <w:kern w:val="0"/>
                <w:sz w:val="18"/>
                <w:szCs w:val="18"/>
                <w:lang w:val="en-US" w:eastAsia="zh-CN"/>
              </w:rPr>
            </w:pPr>
            <w:r>
              <w:rPr>
                <w:rFonts w:hint="eastAsia" w:ascii="仿宋_GB2312" w:hAnsi="SimSun" w:eastAsia="仿宋_GB2312" w:cs="SimSun"/>
                <w:color w:val="000000"/>
                <w:kern w:val="0"/>
                <w:sz w:val="18"/>
                <w:szCs w:val="18"/>
                <w:lang w:val="en-US" w:eastAsia="zh-CN"/>
              </w:rPr>
              <w:t>5</w:t>
            </w:r>
          </w:p>
        </w:tc>
        <w:tc>
          <w:tcPr>
            <w:tcW w:w="1080" w:type="dxa"/>
            <w:gridSpan w:val="2"/>
            <w:tcBorders>
              <w:top w:val="nil"/>
              <w:left w:val="nil"/>
              <w:bottom w:val="single" w:color="auto" w:sz="4" w:space="0"/>
              <w:right w:val="single" w:color="auto" w:sz="4" w:space="0"/>
            </w:tcBorders>
            <w:vAlign w:val="center"/>
          </w:tcPr>
          <w:p>
            <w:pPr>
              <w:widowControl/>
              <w:spacing w:line="240" w:lineRule="exact"/>
              <w:jc w:val="left"/>
              <w:rPr>
                <w:rFonts w:ascii="仿宋_GB2312" w:hAnsi="SimSun" w:eastAsia="仿宋_GB2312" w:cs="SimSun"/>
                <w:color w:val="000000"/>
                <w:kern w:val="0"/>
                <w:sz w:val="18"/>
                <w:szCs w:val="18"/>
              </w:rPr>
            </w:pPr>
          </w:p>
        </w:tc>
      </w:tr>
      <w:tr>
        <w:tblPrEx>
          <w:tblCellMar>
            <w:top w:w="0" w:type="dxa"/>
            <w:left w:w="108" w:type="dxa"/>
            <w:bottom w:w="0" w:type="dxa"/>
            <w:right w:w="108" w:type="dxa"/>
          </w:tblCellMar>
        </w:tblPrEx>
        <w:trPr>
          <w:gridAfter w:val="1"/>
          <w:wAfter w:w="43" w:type="dxa"/>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过  程</w:t>
            </w:r>
          </w:p>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（40分）</w:t>
            </w:r>
          </w:p>
        </w:tc>
        <w:tc>
          <w:tcPr>
            <w:tcW w:w="939"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预算执行</w:t>
            </w:r>
          </w:p>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（15分）</w:t>
            </w:r>
          </w:p>
        </w:tc>
        <w:tc>
          <w:tcPr>
            <w:tcW w:w="138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预算调整率</w:t>
            </w:r>
          </w:p>
        </w:tc>
        <w:tc>
          <w:tcPr>
            <w:tcW w:w="4171" w:type="dxa"/>
            <w:gridSpan w:val="2"/>
            <w:tcBorders>
              <w:top w:val="nil"/>
              <w:left w:val="nil"/>
              <w:bottom w:val="single" w:color="auto" w:sz="4" w:space="0"/>
              <w:right w:val="single" w:color="auto" w:sz="4" w:space="0"/>
            </w:tcBorders>
            <w:vAlign w:val="center"/>
          </w:tcPr>
          <w:p>
            <w:pPr>
              <w:widowControl/>
              <w:spacing w:line="240" w:lineRule="exact"/>
              <w:jc w:val="left"/>
              <w:rPr>
                <w:rFonts w:ascii="仿宋_GB2312" w:hAnsi="SimSun" w:eastAsia="仿宋_GB2312" w:cs="SimSun"/>
                <w:kern w:val="0"/>
                <w:sz w:val="18"/>
                <w:szCs w:val="18"/>
              </w:rPr>
            </w:pPr>
            <w:r>
              <w:rPr>
                <w:rFonts w:hint="eastAsia" w:ascii="仿宋_GB2312" w:hAnsi="SimSun" w:eastAsia="仿宋_GB2312" w:cs="SimSun"/>
                <w:kern w:val="0"/>
                <w:sz w:val="18"/>
                <w:szCs w:val="18"/>
              </w:rPr>
              <w:t>预算调整率=0，计3分；0-10%（含），计2分；10-20%（含），计1分；20-30%（含），计0.5分；大于30%不得分。</w:t>
            </w:r>
          </w:p>
        </w:tc>
        <w:tc>
          <w:tcPr>
            <w:tcW w:w="61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3</w:t>
            </w:r>
          </w:p>
        </w:tc>
        <w:tc>
          <w:tcPr>
            <w:tcW w:w="72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SimSun" w:eastAsia="仿宋_GB2312" w:cs="SimSun"/>
                <w:color w:val="000000"/>
                <w:kern w:val="0"/>
                <w:sz w:val="18"/>
                <w:szCs w:val="18"/>
                <w:lang w:val="en-US" w:eastAsia="zh-CN"/>
              </w:rPr>
            </w:pPr>
            <w:r>
              <w:rPr>
                <w:rFonts w:hint="eastAsia" w:ascii="仿宋_GB2312" w:hAnsi="SimSun" w:eastAsia="仿宋_GB2312" w:cs="SimSun"/>
                <w:color w:val="000000"/>
                <w:kern w:val="0"/>
                <w:sz w:val="18"/>
                <w:szCs w:val="18"/>
                <w:lang w:val="en-US" w:eastAsia="zh-CN"/>
              </w:rPr>
              <w:t>3</w:t>
            </w:r>
          </w:p>
        </w:tc>
        <w:tc>
          <w:tcPr>
            <w:tcW w:w="108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color w:val="000000"/>
                <w:kern w:val="0"/>
                <w:sz w:val="18"/>
                <w:szCs w:val="18"/>
              </w:rPr>
            </w:pPr>
          </w:p>
        </w:tc>
      </w:tr>
      <w:tr>
        <w:tblPrEx>
          <w:tblCellMar>
            <w:top w:w="0" w:type="dxa"/>
            <w:left w:w="108" w:type="dxa"/>
            <w:bottom w:w="0" w:type="dxa"/>
            <w:right w:w="108" w:type="dxa"/>
          </w:tblCellMar>
        </w:tblPrEx>
        <w:trPr>
          <w:gridAfter w:val="1"/>
          <w:wAfter w:w="43" w:type="dxa"/>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SimSun" w:eastAsia="仿宋_GB2312" w:cs="SimSun"/>
                <w:kern w:val="0"/>
                <w:sz w:val="18"/>
                <w:szCs w:val="18"/>
              </w:rPr>
            </w:pPr>
          </w:p>
        </w:tc>
        <w:tc>
          <w:tcPr>
            <w:tcW w:w="939"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SimSun" w:eastAsia="仿宋_GB2312" w:cs="SimSun"/>
                <w:kern w:val="0"/>
                <w:sz w:val="18"/>
                <w:szCs w:val="18"/>
              </w:rPr>
            </w:pPr>
          </w:p>
        </w:tc>
        <w:tc>
          <w:tcPr>
            <w:tcW w:w="138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支付进度</w:t>
            </w:r>
          </w:p>
        </w:tc>
        <w:tc>
          <w:tcPr>
            <w:tcW w:w="4171" w:type="dxa"/>
            <w:gridSpan w:val="2"/>
            <w:tcBorders>
              <w:top w:val="nil"/>
              <w:left w:val="nil"/>
              <w:bottom w:val="single" w:color="auto" w:sz="4" w:space="0"/>
              <w:right w:val="single" w:color="auto" w:sz="4" w:space="0"/>
            </w:tcBorders>
            <w:vAlign w:val="center"/>
          </w:tcPr>
          <w:p>
            <w:pPr>
              <w:widowControl/>
              <w:spacing w:line="240" w:lineRule="exact"/>
              <w:jc w:val="left"/>
              <w:rPr>
                <w:rFonts w:ascii="仿宋_GB2312" w:hAnsi="SimSun" w:eastAsia="仿宋_GB2312" w:cs="SimSun"/>
                <w:kern w:val="0"/>
                <w:sz w:val="18"/>
                <w:szCs w:val="18"/>
              </w:rPr>
            </w:pPr>
            <w:r>
              <w:rPr>
                <w:rFonts w:hint="eastAsia" w:ascii="仿宋_GB2312" w:hAnsi="SimSun" w:eastAsia="仿宋_GB2312" w:cs="SimSun"/>
                <w:kern w:val="0"/>
                <w:sz w:val="18"/>
                <w:szCs w:val="18"/>
              </w:rPr>
              <w:t>每出现一个专项未按进度完成资金下达扣0.5分，扣完为止。</w:t>
            </w:r>
          </w:p>
        </w:tc>
        <w:tc>
          <w:tcPr>
            <w:tcW w:w="61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3</w:t>
            </w:r>
          </w:p>
        </w:tc>
        <w:tc>
          <w:tcPr>
            <w:tcW w:w="72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SimSun" w:eastAsia="仿宋_GB2312" w:cs="SimSun"/>
                <w:color w:val="000000"/>
                <w:kern w:val="0"/>
                <w:sz w:val="18"/>
                <w:szCs w:val="18"/>
                <w:lang w:val="en-US" w:eastAsia="zh-CN"/>
              </w:rPr>
            </w:pPr>
            <w:r>
              <w:rPr>
                <w:rFonts w:hint="eastAsia" w:ascii="仿宋_GB2312" w:hAnsi="SimSun" w:eastAsia="仿宋_GB2312" w:cs="SimSun"/>
                <w:color w:val="000000"/>
                <w:kern w:val="0"/>
                <w:sz w:val="18"/>
                <w:szCs w:val="18"/>
                <w:lang w:val="en-US" w:eastAsia="zh-CN"/>
              </w:rPr>
              <w:t>3</w:t>
            </w:r>
          </w:p>
        </w:tc>
        <w:tc>
          <w:tcPr>
            <w:tcW w:w="108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color w:val="000000"/>
                <w:kern w:val="0"/>
                <w:sz w:val="18"/>
                <w:szCs w:val="18"/>
              </w:rPr>
            </w:pPr>
          </w:p>
        </w:tc>
      </w:tr>
      <w:tr>
        <w:tblPrEx>
          <w:tblCellMar>
            <w:top w:w="0" w:type="dxa"/>
            <w:left w:w="108" w:type="dxa"/>
            <w:bottom w:w="0" w:type="dxa"/>
            <w:right w:w="108" w:type="dxa"/>
          </w:tblCellMar>
        </w:tblPrEx>
        <w:trPr>
          <w:gridAfter w:val="1"/>
          <w:wAfter w:w="43" w:type="dxa"/>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SimSun" w:eastAsia="仿宋_GB2312" w:cs="SimSun"/>
                <w:kern w:val="0"/>
                <w:sz w:val="18"/>
                <w:szCs w:val="18"/>
              </w:rPr>
            </w:pPr>
          </w:p>
        </w:tc>
        <w:tc>
          <w:tcPr>
            <w:tcW w:w="939"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SimSun" w:eastAsia="仿宋_GB2312" w:cs="SimSun"/>
                <w:kern w:val="0"/>
                <w:sz w:val="18"/>
                <w:szCs w:val="18"/>
              </w:rPr>
            </w:pPr>
          </w:p>
        </w:tc>
        <w:tc>
          <w:tcPr>
            <w:tcW w:w="138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资金结余</w:t>
            </w:r>
          </w:p>
        </w:tc>
        <w:tc>
          <w:tcPr>
            <w:tcW w:w="4171" w:type="dxa"/>
            <w:gridSpan w:val="2"/>
            <w:tcBorders>
              <w:top w:val="nil"/>
              <w:left w:val="nil"/>
              <w:bottom w:val="single" w:color="auto" w:sz="4" w:space="0"/>
              <w:right w:val="single" w:color="auto" w:sz="4" w:space="0"/>
            </w:tcBorders>
            <w:vAlign w:val="center"/>
          </w:tcPr>
          <w:p>
            <w:pPr>
              <w:widowControl/>
              <w:spacing w:line="240" w:lineRule="exact"/>
              <w:jc w:val="left"/>
              <w:rPr>
                <w:rFonts w:ascii="仿宋_GB2312" w:hAnsi="SimSun" w:eastAsia="仿宋_GB2312" w:cs="SimSun"/>
                <w:kern w:val="0"/>
                <w:sz w:val="18"/>
                <w:szCs w:val="18"/>
              </w:rPr>
            </w:pPr>
            <w:r>
              <w:rPr>
                <w:rFonts w:hint="eastAsia" w:ascii="仿宋_GB2312" w:hAnsi="SimSun" w:eastAsia="仿宋_GB2312" w:cs="SimSun"/>
                <w:kern w:val="0"/>
                <w:sz w:val="18"/>
                <w:szCs w:val="18"/>
              </w:rPr>
              <w:t>无结余，3分；有结余，但不超过上年结转，2分；结余超过上年结转，不得分。</w:t>
            </w:r>
          </w:p>
        </w:tc>
        <w:tc>
          <w:tcPr>
            <w:tcW w:w="61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3</w:t>
            </w:r>
          </w:p>
        </w:tc>
        <w:tc>
          <w:tcPr>
            <w:tcW w:w="72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SimSun" w:eastAsia="仿宋_GB2312" w:cs="SimSun"/>
                <w:color w:val="000000"/>
                <w:kern w:val="0"/>
                <w:sz w:val="18"/>
                <w:szCs w:val="18"/>
                <w:lang w:val="en-US" w:eastAsia="zh-CN"/>
              </w:rPr>
            </w:pPr>
            <w:r>
              <w:rPr>
                <w:rFonts w:hint="eastAsia" w:ascii="仿宋_GB2312" w:hAnsi="SimSun" w:eastAsia="仿宋_GB2312" w:cs="SimSun"/>
                <w:color w:val="000000"/>
                <w:kern w:val="0"/>
                <w:sz w:val="18"/>
                <w:szCs w:val="18"/>
                <w:lang w:val="en-US" w:eastAsia="zh-CN"/>
              </w:rPr>
              <w:t>3</w:t>
            </w:r>
          </w:p>
        </w:tc>
        <w:tc>
          <w:tcPr>
            <w:tcW w:w="108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color w:val="000000"/>
                <w:kern w:val="0"/>
                <w:sz w:val="18"/>
                <w:szCs w:val="18"/>
              </w:rPr>
            </w:pPr>
          </w:p>
        </w:tc>
      </w:tr>
      <w:tr>
        <w:tblPrEx>
          <w:tblCellMar>
            <w:top w:w="0" w:type="dxa"/>
            <w:left w:w="108" w:type="dxa"/>
            <w:bottom w:w="0" w:type="dxa"/>
            <w:right w:w="108" w:type="dxa"/>
          </w:tblCellMar>
        </w:tblPrEx>
        <w:trPr>
          <w:gridAfter w:val="1"/>
          <w:wAfter w:w="43" w:type="dxa"/>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SimSun" w:eastAsia="仿宋_GB2312" w:cs="SimSun"/>
                <w:kern w:val="0"/>
                <w:sz w:val="18"/>
                <w:szCs w:val="18"/>
              </w:rPr>
            </w:pPr>
          </w:p>
        </w:tc>
        <w:tc>
          <w:tcPr>
            <w:tcW w:w="939"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SimSun" w:eastAsia="仿宋_GB2312" w:cs="SimSun"/>
                <w:kern w:val="0"/>
                <w:sz w:val="18"/>
                <w:szCs w:val="18"/>
              </w:rPr>
            </w:pPr>
          </w:p>
        </w:tc>
        <w:tc>
          <w:tcPr>
            <w:tcW w:w="138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“三公经费”</w:t>
            </w:r>
          </w:p>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控制率</w:t>
            </w:r>
          </w:p>
        </w:tc>
        <w:tc>
          <w:tcPr>
            <w:tcW w:w="4171"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以100%为标准。三公经费控制率</w:t>
            </w:r>
            <w:r>
              <w:rPr>
                <w:rFonts w:hint="eastAsia" w:ascii="SimSun" w:hAnsi="SimSun" w:cs="SimSun"/>
                <w:kern w:val="0"/>
                <w:sz w:val="18"/>
                <w:szCs w:val="18"/>
              </w:rPr>
              <w:t>≦</w:t>
            </w:r>
            <w:r>
              <w:rPr>
                <w:rFonts w:hint="eastAsia" w:ascii="仿宋_GB2312" w:hAnsi="SimSun" w:eastAsia="仿宋_GB2312" w:cs="SimSun"/>
                <w:kern w:val="0"/>
                <w:sz w:val="18"/>
                <w:szCs w:val="18"/>
              </w:rPr>
              <w:t>100%，计6分；</w:t>
            </w:r>
          </w:p>
          <w:p>
            <w:pPr>
              <w:widowControl/>
              <w:spacing w:line="240" w:lineRule="exact"/>
              <w:jc w:val="left"/>
              <w:rPr>
                <w:rFonts w:ascii="仿宋_GB2312" w:hAnsi="SimSun" w:eastAsia="仿宋_GB2312" w:cs="SimSun"/>
                <w:kern w:val="0"/>
                <w:sz w:val="18"/>
                <w:szCs w:val="18"/>
              </w:rPr>
            </w:pPr>
            <w:r>
              <w:rPr>
                <w:rFonts w:hint="eastAsia" w:ascii="仿宋_GB2312" w:hAnsi="SimSun" w:eastAsia="仿宋_GB2312" w:cs="SimSun"/>
                <w:kern w:val="0"/>
                <w:sz w:val="18"/>
                <w:szCs w:val="18"/>
              </w:rPr>
              <w:t>每超过一个百分点扣1分，扣完为止。</w:t>
            </w:r>
          </w:p>
        </w:tc>
        <w:tc>
          <w:tcPr>
            <w:tcW w:w="61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6</w:t>
            </w:r>
          </w:p>
        </w:tc>
        <w:tc>
          <w:tcPr>
            <w:tcW w:w="72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SimSun" w:eastAsia="仿宋_GB2312" w:cs="SimSun"/>
                <w:color w:val="000000"/>
                <w:kern w:val="0"/>
                <w:sz w:val="18"/>
                <w:szCs w:val="18"/>
                <w:lang w:val="en-US" w:eastAsia="zh-CN"/>
              </w:rPr>
            </w:pPr>
            <w:r>
              <w:rPr>
                <w:rFonts w:hint="eastAsia" w:ascii="仿宋_GB2312" w:hAnsi="SimSun" w:eastAsia="仿宋_GB2312" w:cs="SimSun"/>
                <w:color w:val="000000"/>
                <w:kern w:val="0"/>
                <w:sz w:val="18"/>
                <w:szCs w:val="18"/>
                <w:lang w:val="en-US" w:eastAsia="zh-CN"/>
              </w:rPr>
              <w:t>6</w:t>
            </w:r>
          </w:p>
        </w:tc>
        <w:tc>
          <w:tcPr>
            <w:tcW w:w="108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color w:val="000000"/>
                <w:kern w:val="0"/>
                <w:sz w:val="18"/>
                <w:szCs w:val="18"/>
              </w:rPr>
            </w:pPr>
          </w:p>
        </w:tc>
      </w:tr>
      <w:tr>
        <w:tblPrEx>
          <w:tblCellMar>
            <w:top w:w="0" w:type="dxa"/>
            <w:left w:w="108" w:type="dxa"/>
            <w:bottom w:w="0" w:type="dxa"/>
            <w:right w:w="108" w:type="dxa"/>
          </w:tblCellMar>
        </w:tblPrEx>
        <w:trPr>
          <w:gridAfter w:val="1"/>
          <w:wAfter w:w="43" w:type="dxa"/>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SimSun" w:eastAsia="仿宋_GB2312" w:cs="SimSun"/>
                <w:kern w:val="0"/>
                <w:sz w:val="18"/>
                <w:szCs w:val="18"/>
              </w:rPr>
            </w:pPr>
          </w:p>
        </w:tc>
        <w:tc>
          <w:tcPr>
            <w:tcW w:w="939" w:type="dxa"/>
            <w:gridSpan w:val="2"/>
            <w:vMerge w:val="restart"/>
            <w:tcBorders>
              <w:top w:val="nil"/>
              <w:left w:val="single" w:color="auto" w:sz="4" w:space="0"/>
              <w:right w:val="single" w:color="auto" w:sz="4" w:space="0"/>
            </w:tcBorders>
            <w:vAlign w:val="center"/>
          </w:tcPr>
          <w:p>
            <w:pPr>
              <w:widowControl/>
              <w:spacing w:line="240" w:lineRule="exact"/>
              <w:jc w:val="center"/>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预算管理</w:t>
            </w:r>
          </w:p>
          <w:p>
            <w:pPr>
              <w:widowControl/>
              <w:spacing w:line="240" w:lineRule="exact"/>
              <w:jc w:val="center"/>
              <w:rPr>
                <w:rFonts w:hint="eastAsia" w:ascii="仿宋_GB2312" w:hAnsi="SimSun" w:eastAsia="仿宋_GB2312" w:cs="SimSun"/>
                <w:kern w:val="0"/>
                <w:sz w:val="18"/>
                <w:szCs w:val="18"/>
              </w:rPr>
            </w:pPr>
            <w:r>
              <w:rPr>
                <w:rFonts w:hint="eastAsia" w:ascii="仿宋_GB2312" w:hAnsi="SimSun" w:eastAsia="仿宋_GB2312" w:cs="SimSun"/>
                <w:kern w:val="0"/>
                <w:sz w:val="18"/>
                <w:szCs w:val="18"/>
              </w:rPr>
              <w:t>（15分）</w:t>
            </w:r>
          </w:p>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　</w:t>
            </w:r>
          </w:p>
        </w:tc>
        <w:tc>
          <w:tcPr>
            <w:tcW w:w="138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管理制度</w:t>
            </w:r>
          </w:p>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健全性</w:t>
            </w:r>
          </w:p>
        </w:tc>
        <w:tc>
          <w:tcPr>
            <w:tcW w:w="4171"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②相关管理制度合法、合规、完整，1分；</w:t>
            </w:r>
          </w:p>
          <w:p>
            <w:pPr>
              <w:widowControl/>
              <w:spacing w:line="240" w:lineRule="exact"/>
              <w:jc w:val="left"/>
              <w:rPr>
                <w:rFonts w:ascii="仿宋_GB2312" w:hAnsi="SimSun" w:eastAsia="仿宋_GB2312" w:cs="SimSun"/>
                <w:kern w:val="0"/>
                <w:sz w:val="18"/>
                <w:szCs w:val="18"/>
              </w:rPr>
            </w:pPr>
            <w:r>
              <w:rPr>
                <w:rFonts w:hint="eastAsia" w:ascii="仿宋_GB2312" w:hAnsi="SimSun" w:eastAsia="仿宋_GB2312" w:cs="SimSun"/>
                <w:kern w:val="0"/>
                <w:sz w:val="18"/>
                <w:szCs w:val="18"/>
              </w:rPr>
              <w:t>③相关管理制度得到有效执行，1分。</w:t>
            </w:r>
          </w:p>
        </w:tc>
        <w:tc>
          <w:tcPr>
            <w:tcW w:w="61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3</w:t>
            </w:r>
          </w:p>
        </w:tc>
        <w:tc>
          <w:tcPr>
            <w:tcW w:w="72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SimSun" w:eastAsia="仿宋_GB2312" w:cs="SimSun"/>
                <w:color w:val="000000"/>
                <w:kern w:val="0"/>
                <w:sz w:val="18"/>
                <w:szCs w:val="18"/>
                <w:lang w:val="en-US" w:eastAsia="zh-CN"/>
              </w:rPr>
            </w:pPr>
            <w:r>
              <w:rPr>
                <w:rFonts w:hint="eastAsia" w:ascii="仿宋_GB2312" w:hAnsi="SimSun" w:eastAsia="仿宋_GB2312" w:cs="SimSun"/>
                <w:color w:val="000000"/>
                <w:kern w:val="0"/>
                <w:sz w:val="18"/>
                <w:szCs w:val="18"/>
                <w:lang w:val="en-US" w:eastAsia="zh-CN"/>
              </w:rPr>
              <w:t>2.9</w:t>
            </w:r>
          </w:p>
        </w:tc>
        <w:tc>
          <w:tcPr>
            <w:tcW w:w="108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SimSun" w:eastAsia="仿宋_GB2312" w:cs="SimSun"/>
                <w:color w:val="000000"/>
                <w:kern w:val="0"/>
                <w:sz w:val="18"/>
                <w:szCs w:val="18"/>
                <w:lang w:eastAsia="zh-CN"/>
              </w:rPr>
            </w:pPr>
            <w:r>
              <w:rPr>
                <w:rFonts w:hint="eastAsia" w:ascii="仿宋_GB2312" w:hAnsi="SimSun" w:eastAsia="仿宋_GB2312" w:cs="SimSun"/>
                <w:color w:val="000000"/>
                <w:kern w:val="0"/>
                <w:sz w:val="18"/>
                <w:szCs w:val="18"/>
                <w:lang w:eastAsia="zh-CN"/>
              </w:rPr>
              <w:t>相关管理制度未充分落实</w:t>
            </w:r>
          </w:p>
        </w:tc>
      </w:tr>
      <w:tr>
        <w:tblPrEx>
          <w:tblCellMar>
            <w:top w:w="0" w:type="dxa"/>
            <w:left w:w="108" w:type="dxa"/>
            <w:bottom w:w="0" w:type="dxa"/>
            <w:right w:w="108" w:type="dxa"/>
          </w:tblCellMar>
        </w:tblPrEx>
        <w:trPr>
          <w:gridAfter w:val="1"/>
          <w:wAfter w:w="43" w:type="dxa"/>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SimSun" w:eastAsia="仿宋_GB2312" w:cs="SimSun"/>
                <w:kern w:val="0"/>
                <w:sz w:val="18"/>
                <w:szCs w:val="18"/>
              </w:rPr>
            </w:pPr>
          </w:p>
        </w:tc>
        <w:tc>
          <w:tcPr>
            <w:tcW w:w="939" w:type="dxa"/>
            <w:gridSpan w:val="2"/>
            <w:vMerge w:val="continue"/>
            <w:tcBorders>
              <w:left w:val="single" w:color="auto" w:sz="4" w:space="0"/>
              <w:right w:val="single" w:color="auto" w:sz="4" w:space="0"/>
            </w:tcBorders>
            <w:vAlign w:val="center"/>
          </w:tcPr>
          <w:p>
            <w:pPr>
              <w:widowControl/>
              <w:spacing w:line="240" w:lineRule="exact"/>
              <w:jc w:val="left"/>
              <w:rPr>
                <w:rFonts w:ascii="仿宋_GB2312" w:hAnsi="SimSun" w:eastAsia="仿宋_GB2312" w:cs="SimSun"/>
                <w:kern w:val="0"/>
                <w:sz w:val="18"/>
                <w:szCs w:val="18"/>
              </w:rPr>
            </w:pPr>
          </w:p>
        </w:tc>
        <w:tc>
          <w:tcPr>
            <w:tcW w:w="138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资金使用</w:t>
            </w:r>
          </w:p>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合规性</w:t>
            </w:r>
          </w:p>
        </w:tc>
        <w:tc>
          <w:tcPr>
            <w:tcW w:w="4171"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①支出符合国家财经法规和财务管理制度规定以及有关专项资金管理办法的规定；</w:t>
            </w:r>
          </w:p>
          <w:p>
            <w:pPr>
              <w:widowControl/>
              <w:spacing w:line="240" w:lineRule="exact"/>
              <w:jc w:val="left"/>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②资金拨付有完整的审批程序和手续；</w:t>
            </w:r>
          </w:p>
          <w:p>
            <w:pPr>
              <w:widowControl/>
              <w:spacing w:line="240" w:lineRule="exact"/>
              <w:jc w:val="left"/>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③项目支出按规定经过评估论证；</w:t>
            </w:r>
          </w:p>
          <w:p>
            <w:pPr>
              <w:widowControl/>
              <w:spacing w:line="240" w:lineRule="exact"/>
              <w:jc w:val="left"/>
              <w:rPr>
                <w:rFonts w:hint="eastAsia" w:ascii="仿宋_GB2312" w:hAnsi="SimSun" w:eastAsia="仿宋_GB2312" w:cs="SimSun"/>
                <w:kern w:val="0"/>
                <w:sz w:val="18"/>
                <w:szCs w:val="18"/>
                <w:lang w:val="en-US" w:eastAsia="zh-CN"/>
              </w:rPr>
            </w:pPr>
            <w:r>
              <w:rPr>
                <w:rFonts w:hint="eastAsia" w:ascii="仿宋_GB2312" w:hAnsi="SimSun" w:eastAsia="仿宋_GB2312" w:cs="SimSun"/>
                <w:kern w:val="0"/>
                <w:sz w:val="18"/>
                <w:szCs w:val="18"/>
              </w:rPr>
              <w:t>④支出符合部门预算批复的用途；</w:t>
            </w:r>
          </w:p>
          <w:p>
            <w:pPr>
              <w:widowControl/>
              <w:spacing w:line="240" w:lineRule="exact"/>
              <w:jc w:val="left"/>
              <w:rPr>
                <w:rFonts w:hint="eastAsia" w:ascii="仿宋_GB2312" w:hAnsi="SimSun" w:eastAsia="仿宋_GB2312" w:cs="SimSun"/>
                <w:spacing w:val="-6"/>
                <w:kern w:val="0"/>
                <w:sz w:val="18"/>
                <w:szCs w:val="18"/>
                <w:lang w:eastAsia="zh-CN"/>
              </w:rPr>
            </w:pPr>
            <w:r>
              <w:rPr>
                <w:rFonts w:hint="eastAsia" w:ascii="仿宋_GB2312" w:hAnsi="SimSun" w:eastAsia="仿宋_GB2312" w:cs="SimSun"/>
                <w:spacing w:val="-6"/>
                <w:kern w:val="0"/>
                <w:sz w:val="18"/>
                <w:szCs w:val="18"/>
              </w:rPr>
              <w:t>⑤资金使用无截留、挤占、挪用、虚列支出等情况。</w:t>
            </w:r>
          </w:p>
          <w:p>
            <w:pPr>
              <w:widowControl/>
              <w:spacing w:line="240" w:lineRule="exact"/>
              <w:jc w:val="left"/>
              <w:rPr>
                <w:rFonts w:ascii="仿宋_GB2312" w:hAnsi="SimSun" w:eastAsia="仿宋_GB2312" w:cs="SimSun"/>
                <w:kern w:val="0"/>
                <w:sz w:val="18"/>
                <w:szCs w:val="18"/>
              </w:rPr>
            </w:pPr>
            <w:r>
              <w:rPr>
                <w:rFonts w:hint="eastAsia" w:ascii="仿宋_GB2312" w:hAnsi="SimSun" w:eastAsia="仿宋_GB2312" w:cs="SimSun"/>
                <w:spacing w:val="-6"/>
                <w:kern w:val="0"/>
                <w:sz w:val="18"/>
                <w:szCs w:val="18"/>
              </w:rPr>
              <w:t>以上情况每出现一例不符合要求的扣1分，扣完为止。</w:t>
            </w:r>
          </w:p>
        </w:tc>
        <w:tc>
          <w:tcPr>
            <w:tcW w:w="61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3</w:t>
            </w:r>
          </w:p>
        </w:tc>
        <w:tc>
          <w:tcPr>
            <w:tcW w:w="72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SimSun" w:eastAsia="仿宋_GB2312" w:cs="SimSun"/>
                <w:color w:val="000000"/>
                <w:kern w:val="0"/>
                <w:sz w:val="18"/>
                <w:szCs w:val="18"/>
                <w:lang w:val="en-US" w:eastAsia="zh-CN"/>
              </w:rPr>
            </w:pPr>
            <w:r>
              <w:rPr>
                <w:rFonts w:hint="eastAsia" w:ascii="仿宋_GB2312" w:hAnsi="SimSun" w:eastAsia="仿宋_GB2312" w:cs="SimSun"/>
                <w:color w:val="000000"/>
                <w:kern w:val="0"/>
                <w:sz w:val="18"/>
                <w:szCs w:val="18"/>
                <w:lang w:val="en-US" w:eastAsia="zh-CN"/>
              </w:rPr>
              <w:t>3</w:t>
            </w:r>
          </w:p>
        </w:tc>
        <w:tc>
          <w:tcPr>
            <w:tcW w:w="108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color w:val="000000"/>
                <w:kern w:val="0"/>
                <w:sz w:val="18"/>
                <w:szCs w:val="18"/>
              </w:rPr>
            </w:pPr>
          </w:p>
        </w:tc>
      </w:tr>
      <w:tr>
        <w:tblPrEx>
          <w:tblCellMar>
            <w:top w:w="0" w:type="dxa"/>
            <w:left w:w="108" w:type="dxa"/>
            <w:bottom w:w="0" w:type="dxa"/>
            <w:right w:w="108" w:type="dxa"/>
          </w:tblCellMar>
        </w:tblPrEx>
        <w:trPr>
          <w:gridAfter w:val="1"/>
          <w:wAfter w:w="43" w:type="dxa"/>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939" w:type="dxa"/>
            <w:gridSpan w:val="2"/>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1389"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预决算信息公开性和完善性</w:t>
            </w:r>
          </w:p>
        </w:tc>
        <w:tc>
          <w:tcPr>
            <w:tcW w:w="4171"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①按规定内容公开预决算信息，1分；</w:t>
            </w:r>
          </w:p>
          <w:p>
            <w:pPr>
              <w:widowControl/>
              <w:spacing w:line="240" w:lineRule="exact"/>
              <w:jc w:val="left"/>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②按规定时限公开预决算信息，0.5分；</w:t>
            </w:r>
          </w:p>
          <w:p>
            <w:pPr>
              <w:widowControl/>
              <w:spacing w:line="240" w:lineRule="exact"/>
              <w:jc w:val="left"/>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③基础数据信息和会计信息资料真实，0.5分；</w:t>
            </w:r>
          </w:p>
          <w:p>
            <w:pPr>
              <w:widowControl/>
              <w:spacing w:line="240" w:lineRule="exact"/>
              <w:jc w:val="left"/>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④基础数据信息和会计信息资料完整，0.5分；</w:t>
            </w:r>
          </w:p>
          <w:p>
            <w:pPr>
              <w:widowControl/>
              <w:spacing w:line="240" w:lineRule="exact"/>
              <w:jc w:val="left"/>
              <w:rPr>
                <w:rFonts w:ascii="仿宋_GB2312" w:hAnsi="SimSun" w:eastAsia="仿宋_GB2312" w:cs="SimSun"/>
                <w:kern w:val="0"/>
                <w:sz w:val="18"/>
                <w:szCs w:val="18"/>
              </w:rPr>
            </w:pPr>
            <w:r>
              <w:rPr>
                <w:rFonts w:hint="eastAsia" w:ascii="仿宋_GB2312" w:hAnsi="SimSun" w:eastAsia="仿宋_GB2312" w:cs="SimSun"/>
                <w:kern w:val="0"/>
                <w:sz w:val="18"/>
                <w:szCs w:val="18"/>
              </w:rPr>
              <w:t xml:space="preserve">⑤基础数据信息和汇集信息资料准确，0.5分。                                            </w:t>
            </w:r>
          </w:p>
        </w:tc>
        <w:tc>
          <w:tcPr>
            <w:tcW w:w="619"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3</w:t>
            </w:r>
          </w:p>
        </w:tc>
        <w:tc>
          <w:tcPr>
            <w:tcW w:w="720"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SimSun" w:eastAsia="仿宋_GB2312" w:cs="SimSun"/>
                <w:kern w:val="0"/>
                <w:sz w:val="18"/>
                <w:szCs w:val="18"/>
                <w:lang w:val="en-US" w:eastAsia="zh-CN"/>
              </w:rPr>
            </w:pPr>
            <w:r>
              <w:rPr>
                <w:rFonts w:hint="eastAsia" w:ascii="仿宋_GB2312" w:hAnsi="SimSun" w:eastAsia="仿宋_GB2312" w:cs="SimSun"/>
                <w:kern w:val="0"/>
                <w:sz w:val="18"/>
                <w:szCs w:val="18"/>
                <w:lang w:val="en-US" w:eastAsia="zh-CN"/>
              </w:rPr>
              <w:t>3</w:t>
            </w:r>
          </w:p>
        </w:tc>
        <w:tc>
          <w:tcPr>
            <w:tcW w:w="1080"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SimSun" w:eastAsia="仿宋_GB2312" w:cs="SimSun"/>
                <w:kern w:val="0"/>
                <w:sz w:val="18"/>
                <w:szCs w:val="18"/>
              </w:rPr>
            </w:pPr>
          </w:p>
        </w:tc>
      </w:tr>
      <w:tr>
        <w:tblPrEx>
          <w:tblCellMar>
            <w:top w:w="0" w:type="dxa"/>
            <w:left w:w="108" w:type="dxa"/>
            <w:bottom w:w="0" w:type="dxa"/>
            <w:right w:w="108" w:type="dxa"/>
          </w:tblCellMar>
        </w:tblPrEx>
        <w:trPr>
          <w:gridAfter w:val="1"/>
          <w:wAfter w:w="43" w:type="dxa"/>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939" w:type="dxa"/>
            <w:gridSpan w:val="2"/>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kern w:val="0"/>
                <w:sz w:val="18"/>
                <w:szCs w:val="18"/>
              </w:rPr>
            </w:pPr>
          </w:p>
        </w:tc>
        <w:tc>
          <w:tcPr>
            <w:tcW w:w="1389"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SimSun" w:eastAsia="仿宋_GB2312" w:cs="SimSun"/>
                <w:kern w:val="0"/>
                <w:sz w:val="18"/>
                <w:szCs w:val="18"/>
              </w:rPr>
            </w:pPr>
            <w:r>
              <w:rPr>
                <w:rFonts w:hint="eastAsia" w:ascii="仿宋_GB2312" w:hAnsi="SimSun" w:eastAsia="仿宋_GB2312" w:cs="SimSun"/>
                <w:kern w:val="0"/>
                <w:sz w:val="18"/>
                <w:szCs w:val="18"/>
              </w:rPr>
              <w:t>政府采购</w:t>
            </w:r>
          </w:p>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执行率</w:t>
            </w:r>
          </w:p>
        </w:tc>
        <w:tc>
          <w:tcPr>
            <w:tcW w:w="4171"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政府采购执行率等于100%的，得3分；</w:t>
            </w:r>
          </w:p>
          <w:p>
            <w:pPr>
              <w:widowControl/>
              <w:spacing w:line="240" w:lineRule="exact"/>
              <w:jc w:val="left"/>
              <w:rPr>
                <w:rFonts w:ascii="仿宋_GB2312" w:hAnsi="SimSun" w:eastAsia="仿宋_GB2312" w:cs="SimSun"/>
                <w:kern w:val="0"/>
                <w:sz w:val="18"/>
                <w:szCs w:val="18"/>
              </w:rPr>
            </w:pPr>
            <w:r>
              <w:rPr>
                <w:rFonts w:hint="eastAsia" w:ascii="仿宋_GB2312" w:hAnsi="SimSun" w:eastAsia="仿宋_GB2312" w:cs="SimSun"/>
                <w:kern w:val="0"/>
                <w:sz w:val="18"/>
                <w:szCs w:val="18"/>
              </w:rPr>
              <w:t>每减少一个百分点，扣0.2分，扣完为止。</w:t>
            </w:r>
          </w:p>
        </w:tc>
        <w:tc>
          <w:tcPr>
            <w:tcW w:w="619"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3</w:t>
            </w:r>
          </w:p>
        </w:tc>
        <w:tc>
          <w:tcPr>
            <w:tcW w:w="720"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SimSun" w:eastAsia="仿宋_GB2312" w:cs="SimSun"/>
                <w:kern w:val="0"/>
                <w:sz w:val="18"/>
                <w:szCs w:val="18"/>
                <w:lang w:val="en-US" w:eastAsia="zh-CN"/>
              </w:rPr>
            </w:pPr>
            <w:r>
              <w:rPr>
                <w:rFonts w:hint="eastAsia" w:ascii="仿宋_GB2312" w:hAnsi="SimSun" w:eastAsia="仿宋_GB2312" w:cs="SimSun"/>
                <w:kern w:val="0"/>
                <w:sz w:val="18"/>
                <w:szCs w:val="18"/>
                <w:lang w:val="en-US" w:eastAsia="zh-CN"/>
              </w:rPr>
              <w:t>3</w:t>
            </w:r>
          </w:p>
        </w:tc>
        <w:tc>
          <w:tcPr>
            <w:tcW w:w="1080"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SimSun" w:eastAsia="仿宋_GB2312" w:cs="SimSun"/>
                <w:kern w:val="0"/>
                <w:sz w:val="18"/>
                <w:szCs w:val="18"/>
              </w:rPr>
            </w:pPr>
          </w:p>
        </w:tc>
      </w:tr>
      <w:tr>
        <w:tblPrEx>
          <w:tblCellMar>
            <w:top w:w="0" w:type="dxa"/>
            <w:left w:w="108" w:type="dxa"/>
            <w:bottom w:w="0" w:type="dxa"/>
            <w:right w:w="108" w:type="dxa"/>
          </w:tblCellMar>
        </w:tblPrEx>
        <w:trPr>
          <w:gridAfter w:val="1"/>
          <w:wAfter w:w="43" w:type="dxa"/>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939" w:type="dxa"/>
            <w:gridSpan w:val="2"/>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1389"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公务卡刷卡率</w:t>
            </w:r>
          </w:p>
        </w:tc>
        <w:tc>
          <w:tcPr>
            <w:tcW w:w="4171"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公务卡刷卡率达</w:t>
            </w:r>
            <w:r>
              <w:rPr>
                <w:rFonts w:hint="eastAsia" w:ascii="仿宋_GB2312" w:hAnsi="SimSun" w:eastAsia="仿宋_GB2312" w:cs="SimSun"/>
                <w:kern w:val="0"/>
                <w:sz w:val="18"/>
                <w:szCs w:val="18"/>
                <w:lang w:val="en-US" w:eastAsia="zh-CN"/>
              </w:rPr>
              <w:t>7</w:t>
            </w:r>
            <w:r>
              <w:rPr>
                <w:rFonts w:hint="eastAsia" w:ascii="仿宋_GB2312" w:hAnsi="SimSun" w:eastAsia="仿宋_GB2312" w:cs="SimSun"/>
                <w:kern w:val="0"/>
                <w:sz w:val="18"/>
                <w:szCs w:val="18"/>
              </w:rPr>
              <w:t>0％以上的，得3分。</w:t>
            </w:r>
          </w:p>
          <w:p>
            <w:pPr>
              <w:widowControl/>
              <w:spacing w:line="240" w:lineRule="exact"/>
              <w:jc w:val="left"/>
              <w:rPr>
                <w:rFonts w:ascii="仿宋_GB2312" w:hAnsi="SimSun" w:eastAsia="仿宋_GB2312" w:cs="SimSun"/>
                <w:kern w:val="0"/>
                <w:sz w:val="18"/>
                <w:szCs w:val="18"/>
              </w:rPr>
            </w:pPr>
            <w:r>
              <w:rPr>
                <w:rFonts w:hint="eastAsia" w:ascii="仿宋_GB2312" w:hAnsi="SimSun" w:eastAsia="仿宋_GB2312" w:cs="SimSun"/>
                <w:kern w:val="0"/>
                <w:sz w:val="18"/>
                <w:szCs w:val="18"/>
              </w:rPr>
              <w:t xml:space="preserve">每减少一个百分点，扣0.2分，扣完为止。                                            </w:t>
            </w:r>
          </w:p>
        </w:tc>
        <w:tc>
          <w:tcPr>
            <w:tcW w:w="619"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3</w:t>
            </w:r>
          </w:p>
        </w:tc>
        <w:tc>
          <w:tcPr>
            <w:tcW w:w="720"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SimSun" w:eastAsia="仿宋_GB2312" w:cs="SimSun"/>
                <w:kern w:val="0"/>
                <w:sz w:val="18"/>
                <w:szCs w:val="18"/>
                <w:lang w:val="en-US" w:eastAsia="zh-CN"/>
              </w:rPr>
            </w:pPr>
            <w:r>
              <w:rPr>
                <w:rFonts w:hint="eastAsia" w:ascii="仿宋_GB2312" w:hAnsi="SimSun" w:eastAsia="仿宋_GB2312" w:cs="SimSun"/>
                <w:kern w:val="0"/>
                <w:sz w:val="18"/>
                <w:szCs w:val="18"/>
                <w:lang w:val="en-US" w:eastAsia="zh-CN"/>
              </w:rPr>
              <w:t>3</w:t>
            </w:r>
          </w:p>
        </w:tc>
        <w:tc>
          <w:tcPr>
            <w:tcW w:w="1080"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SimSun" w:eastAsia="仿宋_GB2312" w:cs="SimSun"/>
                <w:kern w:val="0"/>
                <w:sz w:val="18"/>
                <w:szCs w:val="18"/>
              </w:rPr>
            </w:pPr>
          </w:p>
        </w:tc>
      </w:tr>
      <w:tr>
        <w:tblPrEx>
          <w:tblCellMar>
            <w:top w:w="0" w:type="dxa"/>
            <w:left w:w="108" w:type="dxa"/>
            <w:bottom w:w="0" w:type="dxa"/>
            <w:right w:w="108" w:type="dxa"/>
          </w:tblCellMar>
        </w:tblPrEx>
        <w:trPr>
          <w:gridAfter w:val="1"/>
          <w:wAfter w:w="43" w:type="dxa"/>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939"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资产管理</w:t>
            </w:r>
          </w:p>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（10分）</w:t>
            </w:r>
          </w:p>
        </w:tc>
        <w:tc>
          <w:tcPr>
            <w:tcW w:w="1389"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管理制度</w:t>
            </w:r>
          </w:p>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健全性</w:t>
            </w:r>
          </w:p>
        </w:tc>
        <w:tc>
          <w:tcPr>
            <w:tcW w:w="4171"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①已制定或具有资产管理制度，且相关资产管理制度合法、合规、完整，2分；</w:t>
            </w:r>
          </w:p>
          <w:p>
            <w:pPr>
              <w:widowControl/>
              <w:spacing w:line="240" w:lineRule="exact"/>
              <w:jc w:val="left"/>
              <w:rPr>
                <w:rFonts w:ascii="仿宋_GB2312" w:hAnsi="SimSun" w:eastAsia="仿宋_GB2312" w:cs="SimSun"/>
                <w:kern w:val="0"/>
                <w:sz w:val="18"/>
                <w:szCs w:val="18"/>
              </w:rPr>
            </w:pPr>
            <w:r>
              <w:rPr>
                <w:rFonts w:hint="eastAsia" w:ascii="仿宋_GB2312" w:hAnsi="SimSun" w:eastAsia="仿宋_GB2312" w:cs="SimSun"/>
                <w:kern w:val="0"/>
                <w:sz w:val="18"/>
                <w:szCs w:val="18"/>
              </w:rPr>
              <w:t xml:space="preserve">②相关资产管理制度得到有效执行，1分。                                           </w:t>
            </w:r>
          </w:p>
        </w:tc>
        <w:tc>
          <w:tcPr>
            <w:tcW w:w="619"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3</w:t>
            </w:r>
          </w:p>
        </w:tc>
        <w:tc>
          <w:tcPr>
            <w:tcW w:w="720"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SimSun" w:eastAsia="仿宋_GB2312" w:cs="SimSun"/>
                <w:kern w:val="0"/>
                <w:sz w:val="18"/>
                <w:szCs w:val="18"/>
                <w:lang w:val="en-US" w:eastAsia="zh-CN"/>
              </w:rPr>
            </w:pPr>
            <w:r>
              <w:rPr>
                <w:rFonts w:hint="eastAsia" w:ascii="仿宋_GB2312" w:hAnsi="SimSun" w:eastAsia="仿宋_GB2312" w:cs="SimSun"/>
                <w:kern w:val="0"/>
                <w:sz w:val="18"/>
                <w:szCs w:val="18"/>
                <w:lang w:val="en-US" w:eastAsia="zh-CN"/>
              </w:rPr>
              <w:t>3</w:t>
            </w:r>
          </w:p>
        </w:tc>
        <w:tc>
          <w:tcPr>
            <w:tcW w:w="1080"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SimSun" w:eastAsia="仿宋_GB2312" w:cs="SimSun"/>
                <w:kern w:val="0"/>
                <w:sz w:val="18"/>
                <w:szCs w:val="18"/>
              </w:rPr>
            </w:pPr>
          </w:p>
        </w:tc>
      </w:tr>
      <w:tr>
        <w:tblPrEx>
          <w:tblCellMar>
            <w:top w:w="0" w:type="dxa"/>
            <w:left w:w="108" w:type="dxa"/>
            <w:bottom w:w="0" w:type="dxa"/>
            <w:right w:w="108" w:type="dxa"/>
          </w:tblCellMar>
        </w:tblPrEx>
        <w:trPr>
          <w:trHeight w:val="678" w:hRule="atLeast"/>
          <w:jc w:val="center"/>
        </w:trPr>
        <w:tc>
          <w:tcPr>
            <w:tcW w:w="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b/>
                <w:bCs/>
                <w:kern w:val="0"/>
                <w:sz w:val="18"/>
                <w:szCs w:val="18"/>
              </w:rPr>
            </w:pPr>
            <w:r>
              <w:rPr>
                <w:rFonts w:hint="eastAsia" w:ascii="仿宋_GB2312" w:hAnsi="SimSun" w:eastAsia="仿宋_GB2312" w:cs="SimSun"/>
                <w:b/>
                <w:bCs/>
                <w:kern w:val="0"/>
                <w:sz w:val="18"/>
                <w:szCs w:val="18"/>
              </w:rPr>
              <w:t>一级指标</w:t>
            </w:r>
          </w:p>
        </w:tc>
        <w:tc>
          <w:tcPr>
            <w:tcW w:w="9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b/>
                <w:bCs/>
                <w:kern w:val="0"/>
                <w:sz w:val="18"/>
                <w:szCs w:val="18"/>
              </w:rPr>
            </w:pPr>
            <w:r>
              <w:rPr>
                <w:rFonts w:hint="eastAsia" w:ascii="仿宋_GB2312" w:hAnsi="SimSun" w:eastAsia="仿宋_GB2312" w:cs="SimSun"/>
                <w:b/>
                <w:bCs/>
                <w:kern w:val="0"/>
                <w:sz w:val="18"/>
                <w:szCs w:val="18"/>
              </w:rPr>
              <w:t>二级指标</w:t>
            </w:r>
          </w:p>
        </w:tc>
        <w:tc>
          <w:tcPr>
            <w:tcW w:w="139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b/>
                <w:bCs/>
                <w:kern w:val="0"/>
                <w:sz w:val="18"/>
                <w:szCs w:val="18"/>
              </w:rPr>
            </w:pPr>
            <w:r>
              <w:rPr>
                <w:rFonts w:hint="eastAsia" w:ascii="仿宋_GB2312" w:hAnsi="SimSun" w:eastAsia="仿宋_GB2312" w:cs="SimSun"/>
                <w:b/>
                <w:bCs/>
                <w:kern w:val="0"/>
                <w:sz w:val="18"/>
                <w:szCs w:val="18"/>
              </w:rPr>
              <w:t>三级指标</w:t>
            </w:r>
          </w:p>
        </w:tc>
        <w:tc>
          <w:tcPr>
            <w:tcW w:w="419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b/>
                <w:bCs/>
                <w:kern w:val="0"/>
                <w:sz w:val="18"/>
                <w:szCs w:val="18"/>
              </w:rPr>
            </w:pPr>
            <w:r>
              <w:rPr>
                <w:rFonts w:hint="eastAsia" w:ascii="仿宋_GB2312" w:hAnsi="SimSun" w:eastAsia="仿宋_GB2312" w:cs="SimSun"/>
                <w:b/>
                <w:bCs/>
                <w:kern w:val="0"/>
                <w:sz w:val="18"/>
                <w:szCs w:val="18"/>
              </w:rPr>
              <w:t>评分标准</w:t>
            </w:r>
          </w:p>
        </w:tc>
        <w:tc>
          <w:tcPr>
            <w:tcW w:w="621"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b/>
                <w:bCs/>
                <w:kern w:val="0"/>
                <w:sz w:val="18"/>
                <w:szCs w:val="18"/>
              </w:rPr>
            </w:pPr>
            <w:r>
              <w:rPr>
                <w:rFonts w:hint="eastAsia" w:ascii="仿宋_GB2312" w:hAnsi="SimSun" w:eastAsia="仿宋_GB2312" w:cs="SimSun"/>
                <w:b/>
                <w:bCs/>
                <w:kern w:val="0"/>
                <w:sz w:val="18"/>
                <w:szCs w:val="18"/>
              </w:rPr>
              <w:t>分值</w:t>
            </w:r>
          </w:p>
        </w:tc>
        <w:tc>
          <w:tcPr>
            <w:tcW w:w="723" w:type="dxa"/>
            <w:gridSpan w:val="2"/>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SimSun" w:eastAsia="仿宋_GB2312" w:cs="SimSun"/>
                <w:b/>
                <w:bCs/>
                <w:kern w:val="0"/>
                <w:sz w:val="18"/>
                <w:szCs w:val="18"/>
              </w:rPr>
            </w:pPr>
            <w:r>
              <w:rPr>
                <w:rFonts w:hint="eastAsia" w:ascii="仿宋_GB2312" w:hAnsi="SimSun" w:eastAsia="仿宋_GB2312" w:cs="SimSun"/>
                <w:b/>
                <w:bCs/>
                <w:kern w:val="0"/>
                <w:sz w:val="18"/>
                <w:szCs w:val="18"/>
              </w:rPr>
              <w:t>自评得分</w:t>
            </w:r>
          </w:p>
        </w:tc>
        <w:tc>
          <w:tcPr>
            <w:tcW w:w="1085" w:type="dxa"/>
            <w:gridSpan w:val="2"/>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SimSun" w:eastAsia="仿宋_GB2312" w:cs="SimSun"/>
                <w:b/>
                <w:bCs/>
                <w:spacing w:val="-12"/>
                <w:kern w:val="0"/>
                <w:sz w:val="18"/>
                <w:szCs w:val="18"/>
              </w:rPr>
            </w:pPr>
            <w:r>
              <w:rPr>
                <w:rFonts w:hint="eastAsia" w:ascii="仿宋_GB2312" w:hAnsi="SimSun" w:eastAsia="仿宋_GB2312" w:cs="SimSun"/>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SimSun" w:eastAsia="仿宋_GB2312" w:cs="SimSun"/>
                <w:kern w:val="0"/>
                <w:sz w:val="18"/>
                <w:szCs w:val="18"/>
              </w:rPr>
            </w:pPr>
            <w:r>
              <w:rPr>
                <w:rFonts w:hint="eastAsia" w:ascii="仿宋_GB2312" w:hAnsi="SimSun" w:eastAsia="仿宋_GB2312" w:cs="SimSun"/>
                <w:kern w:val="0"/>
                <w:sz w:val="18"/>
                <w:szCs w:val="18"/>
              </w:rPr>
              <w:t>过  程</w:t>
            </w:r>
          </w:p>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（40分）</w:t>
            </w:r>
          </w:p>
        </w:tc>
        <w:tc>
          <w:tcPr>
            <w:tcW w:w="94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资产管理</w:t>
            </w:r>
          </w:p>
          <w:p>
            <w:pPr>
              <w:widowControl/>
              <w:spacing w:line="240" w:lineRule="exact"/>
              <w:jc w:val="left"/>
              <w:rPr>
                <w:rFonts w:ascii="仿宋_GB2312" w:hAnsi="SimSun" w:eastAsia="仿宋_GB2312" w:cs="SimSun"/>
                <w:kern w:val="0"/>
                <w:sz w:val="18"/>
                <w:szCs w:val="18"/>
              </w:rPr>
            </w:pPr>
            <w:r>
              <w:rPr>
                <w:rFonts w:hint="eastAsia" w:ascii="仿宋_GB2312" w:hAnsi="SimSun" w:eastAsia="仿宋_GB2312" w:cs="SimSun"/>
                <w:kern w:val="0"/>
                <w:sz w:val="18"/>
                <w:szCs w:val="18"/>
              </w:rPr>
              <w:t>（10分）</w:t>
            </w:r>
          </w:p>
        </w:tc>
        <w:tc>
          <w:tcPr>
            <w:tcW w:w="139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资产管理</w:t>
            </w:r>
          </w:p>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安全性</w:t>
            </w:r>
          </w:p>
        </w:tc>
        <w:tc>
          <w:tcPr>
            <w:tcW w:w="419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①资产保存完整；</w:t>
            </w:r>
          </w:p>
          <w:p>
            <w:pPr>
              <w:widowControl/>
              <w:spacing w:line="240" w:lineRule="exact"/>
              <w:jc w:val="left"/>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②资产配置合理；</w:t>
            </w:r>
          </w:p>
          <w:p>
            <w:pPr>
              <w:widowControl/>
              <w:spacing w:line="240" w:lineRule="exact"/>
              <w:jc w:val="left"/>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 xml:space="preserve">③资产处置规范； </w:t>
            </w:r>
          </w:p>
          <w:p>
            <w:pPr>
              <w:widowControl/>
              <w:spacing w:line="240" w:lineRule="exact"/>
              <w:jc w:val="left"/>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④资产账务管理合规，帐实相符；</w:t>
            </w:r>
          </w:p>
          <w:p>
            <w:pPr>
              <w:widowControl/>
              <w:spacing w:line="240" w:lineRule="exact"/>
              <w:jc w:val="left"/>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⑤资产有偿使用及处置收入及时足额上缴；</w:t>
            </w:r>
          </w:p>
          <w:p>
            <w:pPr>
              <w:widowControl/>
              <w:spacing w:line="240" w:lineRule="exact"/>
              <w:jc w:val="left"/>
              <w:rPr>
                <w:rFonts w:ascii="仿宋_GB2312" w:hAnsi="SimSun" w:eastAsia="仿宋_GB2312" w:cs="SimSun"/>
                <w:kern w:val="0"/>
                <w:sz w:val="18"/>
                <w:szCs w:val="18"/>
              </w:rPr>
            </w:pPr>
            <w:r>
              <w:rPr>
                <w:rFonts w:hint="eastAsia" w:ascii="仿宋_GB2312" w:hAnsi="SimSun" w:eastAsia="仿宋_GB2312" w:cs="SimSun"/>
                <w:kern w:val="0"/>
                <w:sz w:val="18"/>
                <w:szCs w:val="18"/>
              </w:rPr>
              <w:t>以上情况每出现一例不符合有关要求的扣1分，扣完为止。</w:t>
            </w:r>
          </w:p>
        </w:tc>
        <w:tc>
          <w:tcPr>
            <w:tcW w:w="621"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4</w:t>
            </w:r>
          </w:p>
        </w:tc>
        <w:tc>
          <w:tcPr>
            <w:tcW w:w="723" w:type="dxa"/>
            <w:gridSpan w:val="2"/>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SimSun" w:eastAsia="仿宋_GB2312" w:cs="SimSun"/>
                <w:kern w:val="0"/>
                <w:sz w:val="18"/>
                <w:szCs w:val="18"/>
                <w:lang w:val="en-US" w:eastAsia="zh-CN"/>
              </w:rPr>
            </w:pPr>
            <w:r>
              <w:rPr>
                <w:rFonts w:hint="eastAsia" w:ascii="仿宋_GB2312" w:hAnsi="SimSun" w:eastAsia="仿宋_GB2312" w:cs="SimSun"/>
                <w:kern w:val="0"/>
                <w:sz w:val="18"/>
                <w:szCs w:val="18"/>
                <w:lang w:val="en-US" w:eastAsia="zh-CN"/>
              </w:rPr>
              <w:t>4</w:t>
            </w:r>
          </w:p>
        </w:tc>
        <w:tc>
          <w:tcPr>
            <w:tcW w:w="1085" w:type="dxa"/>
            <w:gridSpan w:val="2"/>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SimSun" w:eastAsia="仿宋_GB2312" w:cs="SimSun"/>
                <w:kern w:val="0"/>
                <w:sz w:val="18"/>
                <w:szCs w:val="18"/>
              </w:rPr>
            </w:pPr>
          </w:p>
        </w:tc>
      </w:tr>
      <w:tr>
        <w:tblPrEx>
          <w:tblCellMar>
            <w:top w:w="0" w:type="dxa"/>
            <w:left w:w="108" w:type="dxa"/>
            <w:bottom w:w="0" w:type="dxa"/>
            <w:right w:w="108" w:type="dxa"/>
          </w:tblCellMar>
        </w:tblPrEx>
        <w:trPr>
          <w:trHeight w:val="859" w:hRule="atLeast"/>
          <w:jc w:val="center"/>
        </w:trPr>
        <w:tc>
          <w:tcPr>
            <w:tcW w:w="98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943"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139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固定资产</w:t>
            </w:r>
          </w:p>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利用率</w:t>
            </w:r>
          </w:p>
        </w:tc>
        <w:tc>
          <w:tcPr>
            <w:tcW w:w="4190"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r>
              <w:rPr>
                <w:rFonts w:hint="eastAsia" w:ascii="仿宋_GB2312" w:hAnsi="SimSun" w:eastAsia="仿宋_GB2312" w:cs="SimSun"/>
                <w:kern w:val="0"/>
                <w:sz w:val="18"/>
                <w:szCs w:val="18"/>
              </w:rPr>
              <w:t>每低于100%一个百分点扣0.1分，扣完为止。</w:t>
            </w:r>
          </w:p>
        </w:tc>
        <w:tc>
          <w:tcPr>
            <w:tcW w:w="621"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3</w:t>
            </w:r>
          </w:p>
        </w:tc>
        <w:tc>
          <w:tcPr>
            <w:tcW w:w="72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SimSun" w:eastAsia="仿宋_GB2312" w:cs="SimSun"/>
                <w:kern w:val="0"/>
                <w:sz w:val="18"/>
                <w:szCs w:val="18"/>
                <w:lang w:val="en-US" w:eastAsia="zh-CN"/>
              </w:rPr>
            </w:pPr>
            <w:r>
              <w:rPr>
                <w:rFonts w:hint="eastAsia" w:ascii="仿宋_GB2312" w:hAnsi="SimSun" w:eastAsia="仿宋_GB2312" w:cs="SimSun"/>
                <w:kern w:val="0"/>
                <w:sz w:val="18"/>
                <w:szCs w:val="18"/>
                <w:lang w:val="en-US" w:eastAsia="zh-CN"/>
              </w:rPr>
              <w:t>3</w:t>
            </w:r>
          </w:p>
        </w:tc>
        <w:tc>
          <w:tcPr>
            <w:tcW w:w="1085"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SimSun" w:eastAsia="仿宋_GB2312" w:cs="SimSun"/>
                <w:kern w:val="0"/>
                <w:sz w:val="18"/>
                <w:szCs w:val="18"/>
              </w:rPr>
            </w:pPr>
          </w:p>
        </w:tc>
      </w:tr>
      <w:tr>
        <w:tblPrEx>
          <w:tblCellMar>
            <w:top w:w="0" w:type="dxa"/>
            <w:left w:w="108" w:type="dxa"/>
            <w:bottom w:w="0" w:type="dxa"/>
            <w:right w:w="108" w:type="dxa"/>
          </w:tblCellMar>
        </w:tblPrEx>
        <w:trPr>
          <w:trHeight w:val="998" w:hRule="atLeast"/>
          <w:jc w:val="center"/>
        </w:trPr>
        <w:tc>
          <w:tcPr>
            <w:tcW w:w="980" w:type="dxa"/>
            <w:gridSpan w:val="2"/>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产  出（25分</w:t>
            </w:r>
            <w:r>
              <w:rPr>
                <w:rFonts w:hint="eastAsia" w:ascii="仿宋_GB2312" w:hAnsi="SimSun" w:eastAsia="仿宋_GB2312" w:cs="SimSun"/>
                <w:kern w:val="0"/>
                <w:sz w:val="18"/>
                <w:szCs w:val="18"/>
                <w:lang w:eastAsia="zh-CN"/>
              </w:rPr>
              <w:t>）</w:t>
            </w:r>
          </w:p>
        </w:tc>
        <w:tc>
          <w:tcPr>
            <w:tcW w:w="943" w:type="dxa"/>
            <w:gridSpan w:val="2"/>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职责履行</w:t>
            </w:r>
          </w:p>
          <w:p>
            <w:pPr>
              <w:widowControl/>
              <w:spacing w:line="240" w:lineRule="exact"/>
              <w:jc w:val="left"/>
              <w:rPr>
                <w:rFonts w:ascii="仿宋_GB2312" w:hAnsi="SimSun" w:eastAsia="仿宋_GB2312" w:cs="SimSun"/>
                <w:kern w:val="0"/>
                <w:sz w:val="18"/>
                <w:szCs w:val="18"/>
              </w:rPr>
            </w:pPr>
            <w:r>
              <w:rPr>
                <w:rFonts w:hint="eastAsia" w:ascii="仿宋_GB2312" w:hAnsi="SimSun" w:eastAsia="仿宋_GB2312" w:cs="SimSun"/>
                <w:kern w:val="0"/>
                <w:sz w:val="18"/>
                <w:szCs w:val="18"/>
              </w:rPr>
              <w:t>（25分）</w:t>
            </w:r>
          </w:p>
        </w:tc>
        <w:tc>
          <w:tcPr>
            <w:tcW w:w="139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lang w:eastAsia="zh-CN"/>
              </w:rPr>
              <w:t>实施“三高四新”战略</w:t>
            </w:r>
            <w:r>
              <w:rPr>
                <w:rFonts w:hint="eastAsia" w:ascii="仿宋_GB2312" w:hAnsi="SimSun" w:eastAsia="仿宋_GB2312" w:cs="SimSun"/>
                <w:kern w:val="0"/>
                <w:sz w:val="18"/>
                <w:szCs w:val="18"/>
              </w:rPr>
              <w:t>目标任务完成情况</w:t>
            </w:r>
          </w:p>
        </w:tc>
        <w:tc>
          <w:tcPr>
            <w:tcW w:w="4190" w:type="dxa"/>
            <w:gridSpan w:val="2"/>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仿宋_GB2312" w:hAnsi="SimSun" w:eastAsia="仿宋_GB2312" w:cs="SimSun"/>
                <w:kern w:val="0"/>
                <w:sz w:val="18"/>
                <w:szCs w:val="18"/>
              </w:rPr>
            </w:pPr>
            <w:r>
              <w:rPr>
                <w:rFonts w:hint="eastAsia" w:ascii="仿宋_GB2312" w:hAnsi="SimSun" w:eastAsia="仿宋_GB2312" w:cs="SimSun"/>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SimSun" w:eastAsia="仿宋_GB2312" w:cs="SimSun"/>
                <w:kern w:val="0"/>
                <w:sz w:val="18"/>
                <w:szCs w:val="18"/>
                <w:lang w:eastAsia="zh-CN"/>
              </w:rPr>
            </w:pPr>
          </w:p>
          <w:p>
            <w:pPr>
              <w:widowControl/>
              <w:spacing w:line="240" w:lineRule="exact"/>
              <w:jc w:val="left"/>
              <w:rPr>
                <w:rFonts w:ascii="仿宋_GB2312" w:hAnsi="SimSun" w:eastAsia="仿宋_GB2312" w:cs="SimSun"/>
                <w:kern w:val="0"/>
                <w:sz w:val="18"/>
                <w:szCs w:val="18"/>
              </w:rPr>
            </w:pPr>
            <w:r>
              <w:rPr>
                <w:rFonts w:hint="eastAsia" w:ascii="仿宋_GB2312" w:hAnsi="SimSun" w:eastAsia="仿宋_GB2312" w:cs="SimSun"/>
                <w:kern w:val="0"/>
                <w:sz w:val="18"/>
                <w:szCs w:val="18"/>
              </w:rPr>
              <w:t>部门单位应根据部门实际进行调整，并将其细化成相应的个性化指标。。</w:t>
            </w:r>
          </w:p>
        </w:tc>
        <w:tc>
          <w:tcPr>
            <w:tcW w:w="621"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lang w:val="en-US" w:eastAsia="zh-CN"/>
              </w:rPr>
              <w:t>8</w:t>
            </w:r>
          </w:p>
        </w:tc>
        <w:tc>
          <w:tcPr>
            <w:tcW w:w="72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SimSun" w:eastAsia="仿宋_GB2312" w:cs="SimSun"/>
                <w:kern w:val="0"/>
                <w:sz w:val="18"/>
                <w:szCs w:val="18"/>
                <w:lang w:val="en-US" w:eastAsia="zh-CN"/>
              </w:rPr>
            </w:pPr>
            <w:r>
              <w:rPr>
                <w:rFonts w:hint="eastAsia" w:ascii="仿宋_GB2312" w:hAnsi="SimSun" w:eastAsia="仿宋_GB2312" w:cs="SimSun"/>
                <w:kern w:val="0"/>
                <w:sz w:val="18"/>
                <w:szCs w:val="18"/>
                <w:lang w:val="en-US" w:eastAsia="zh-CN"/>
              </w:rPr>
              <w:t>8</w:t>
            </w:r>
          </w:p>
        </w:tc>
        <w:tc>
          <w:tcPr>
            <w:tcW w:w="1085"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SimSun" w:eastAsia="仿宋_GB2312" w:cs="SimSun"/>
                <w:kern w:val="0"/>
                <w:sz w:val="18"/>
                <w:szCs w:val="18"/>
              </w:rPr>
            </w:pPr>
          </w:p>
        </w:tc>
      </w:tr>
      <w:tr>
        <w:tblPrEx>
          <w:tblCellMar>
            <w:top w:w="0" w:type="dxa"/>
            <w:left w:w="108" w:type="dxa"/>
            <w:bottom w:w="0" w:type="dxa"/>
            <w:right w:w="108" w:type="dxa"/>
          </w:tblCellMar>
        </w:tblPrEx>
        <w:trPr>
          <w:trHeight w:val="1013" w:hRule="atLeast"/>
          <w:jc w:val="center"/>
        </w:trPr>
        <w:tc>
          <w:tcPr>
            <w:tcW w:w="98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943"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139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《政府工作报告》目标任务完成情况</w:t>
            </w:r>
          </w:p>
        </w:tc>
        <w:tc>
          <w:tcPr>
            <w:tcW w:w="419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621"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5</w:t>
            </w:r>
          </w:p>
        </w:tc>
        <w:tc>
          <w:tcPr>
            <w:tcW w:w="72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SimSun" w:eastAsia="仿宋_GB2312" w:cs="SimSun"/>
                <w:kern w:val="0"/>
                <w:sz w:val="18"/>
                <w:szCs w:val="18"/>
                <w:lang w:val="en-US" w:eastAsia="zh-CN"/>
              </w:rPr>
            </w:pPr>
            <w:r>
              <w:rPr>
                <w:rFonts w:hint="eastAsia" w:ascii="仿宋_GB2312" w:hAnsi="SimSun" w:eastAsia="仿宋_GB2312" w:cs="SimSun"/>
                <w:kern w:val="0"/>
                <w:sz w:val="18"/>
                <w:szCs w:val="18"/>
                <w:lang w:val="en-US" w:eastAsia="zh-CN"/>
              </w:rPr>
              <w:t>5</w:t>
            </w:r>
          </w:p>
        </w:tc>
        <w:tc>
          <w:tcPr>
            <w:tcW w:w="1085"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SimSun" w:eastAsia="仿宋_GB2312" w:cs="SimSun"/>
                <w:kern w:val="0"/>
                <w:sz w:val="18"/>
                <w:szCs w:val="18"/>
              </w:rPr>
            </w:pPr>
          </w:p>
        </w:tc>
      </w:tr>
      <w:tr>
        <w:tblPrEx>
          <w:tblCellMar>
            <w:top w:w="0" w:type="dxa"/>
            <w:left w:w="108" w:type="dxa"/>
            <w:bottom w:w="0" w:type="dxa"/>
            <w:right w:w="108" w:type="dxa"/>
          </w:tblCellMar>
        </w:tblPrEx>
        <w:trPr>
          <w:trHeight w:val="756" w:hRule="atLeast"/>
          <w:jc w:val="center"/>
        </w:trPr>
        <w:tc>
          <w:tcPr>
            <w:tcW w:w="98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943"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139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省市重点民生实事完成情况</w:t>
            </w:r>
          </w:p>
        </w:tc>
        <w:tc>
          <w:tcPr>
            <w:tcW w:w="419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621"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lang w:val="en-US" w:eastAsia="zh-CN"/>
              </w:rPr>
              <w:t>4</w:t>
            </w:r>
          </w:p>
        </w:tc>
        <w:tc>
          <w:tcPr>
            <w:tcW w:w="72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SimSun" w:eastAsia="仿宋_GB2312" w:cs="SimSun"/>
                <w:kern w:val="0"/>
                <w:sz w:val="18"/>
                <w:szCs w:val="18"/>
                <w:lang w:val="en-US" w:eastAsia="zh-CN"/>
              </w:rPr>
            </w:pPr>
            <w:r>
              <w:rPr>
                <w:rFonts w:hint="eastAsia" w:ascii="仿宋_GB2312" w:hAnsi="SimSun" w:eastAsia="仿宋_GB2312" w:cs="SimSun"/>
                <w:kern w:val="0"/>
                <w:sz w:val="18"/>
                <w:szCs w:val="18"/>
                <w:lang w:val="en-US" w:eastAsia="zh-CN"/>
              </w:rPr>
              <w:t>4</w:t>
            </w:r>
          </w:p>
        </w:tc>
        <w:tc>
          <w:tcPr>
            <w:tcW w:w="1085"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SimSun" w:eastAsia="仿宋_GB2312" w:cs="SimSun"/>
                <w:kern w:val="0"/>
                <w:sz w:val="18"/>
                <w:szCs w:val="18"/>
              </w:rPr>
            </w:pPr>
          </w:p>
        </w:tc>
      </w:tr>
      <w:tr>
        <w:tblPrEx>
          <w:tblCellMar>
            <w:top w:w="0" w:type="dxa"/>
            <w:left w:w="108" w:type="dxa"/>
            <w:bottom w:w="0" w:type="dxa"/>
            <w:right w:w="108" w:type="dxa"/>
          </w:tblCellMar>
        </w:tblPrEx>
        <w:trPr>
          <w:trHeight w:val="998" w:hRule="atLeast"/>
          <w:jc w:val="center"/>
        </w:trPr>
        <w:tc>
          <w:tcPr>
            <w:tcW w:w="98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943"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139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省市重点工程和重大项目建设完成情况</w:t>
            </w:r>
          </w:p>
        </w:tc>
        <w:tc>
          <w:tcPr>
            <w:tcW w:w="419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621"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lang w:val="en-US" w:eastAsia="zh-CN"/>
              </w:rPr>
              <w:t>4</w:t>
            </w:r>
          </w:p>
        </w:tc>
        <w:tc>
          <w:tcPr>
            <w:tcW w:w="72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SimSun" w:eastAsia="仿宋_GB2312" w:cs="SimSun"/>
                <w:kern w:val="0"/>
                <w:sz w:val="18"/>
                <w:szCs w:val="18"/>
                <w:lang w:val="en-US" w:eastAsia="zh-CN"/>
              </w:rPr>
            </w:pPr>
            <w:r>
              <w:rPr>
                <w:rFonts w:hint="eastAsia" w:ascii="仿宋_GB2312" w:hAnsi="SimSun" w:eastAsia="仿宋_GB2312" w:cs="SimSun"/>
                <w:kern w:val="0"/>
                <w:sz w:val="18"/>
                <w:szCs w:val="18"/>
                <w:lang w:val="en-US" w:eastAsia="zh-CN"/>
              </w:rPr>
              <w:t>4</w:t>
            </w:r>
          </w:p>
        </w:tc>
        <w:tc>
          <w:tcPr>
            <w:tcW w:w="1085"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SimSun" w:eastAsia="仿宋_GB2312" w:cs="SimSun"/>
                <w:kern w:val="0"/>
                <w:sz w:val="18"/>
                <w:szCs w:val="18"/>
              </w:rPr>
            </w:pPr>
          </w:p>
        </w:tc>
      </w:tr>
      <w:tr>
        <w:tblPrEx>
          <w:tblCellMar>
            <w:top w:w="0" w:type="dxa"/>
            <w:left w:w="108" w:type="dxa"/>
            <w:bottom w:w="0" w:type="dxa"/>
            <w:right w:w="108" w:type="dxa"/>
          </w:tblCellMar>
        </w:tblPrEx>
        <w:trPr>
          <w:trHeight w:val="888" w:hRule="atLeast"/>
          <w:jc w:val="center"/>
        </w:trPr>
        <w:tc>
          <w:tcPr>
            <w:tcW w:w="98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943"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139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其他工作实绩指标完成情况</w:t>
            </w:r>
          </w:p>
        </w:tc>
        <w:tc>
          <w:tcPr>
            <w:tcW w:w="419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621"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4</w:t>
            </w:r>
          </w:p>
        </w:tc>
        <w:tc>
          <w:tcPr>
            <w:tcW w:w="72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SimSun" w:eastAsia="仿宋_GB2312" w:cs="SimSun"/>
                <w:kern w:val="0"/>
                <w:sz w:val="18"/>
                <w:szCs w:val="18"/>
                <w:lang w:val="en-US" w:eastAsia="zh-CN"/>
              </w:rPr>
            </w:pPr>
            <w:r>
              <w:rPr>
                <w:rFonts w:hint="eastAsia" w:ascii="仿宋_GB2312" w:hAnsi="SimSun" w:eastAsia="仿宋_GB2312" w:cs="SimSun"/>
                <w:kern w:val="0"/>
                <w:sz w:val="18"/>
                <w:szCs w:val="18"/>
                <w:lang w:val="en-US" w:eastAsia="zh-CN"/>
              </w:rPr>
              <w:t>4</w:t>
            </w:r>
          </w:p>
        </w:tc>
        <w:tc>
          <w:tcPr>
            <w:tcW w:w="1085"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SimSun" w:eastAsia="仿宋_GB2312" w:cs="SimSun"/>
                <w:kern w:val="0"/>
                <w:sz w:val="18"/>
                <w:szCs w:val="18"/>
              </w:rPr>
            </w:pPr>
          </w:p>
        </w:tc>
      </w:tr>
      <w:tr>
        <w:tblPrEx>
          <w:tblCellMar>
            <w:top w:w="0" w:type="dxa"/>
            <w:left w:w="108" w:type="dxa"/>
            <w:bottom w:w="0" w:type="dxa"/>
            <w:right w:w="108" w:type="dxa"/>
          </w:tblCellMar>
        </w:tblPrEx>
        <w:trPr>
          <w:trHeight w:val="669" w:hRule="atLeast"/>
          <w:jc w:val="center"/>
        </w:trPr>
        <w:tc>
          <w:tcPr>
            <w:tcW w:w="9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效  果</w:t>
            </w:r>
          </w:p>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（20分）</w:t>
            </w:r>
          </w:p>
        </w:tc>
        <w:tc>
          <w:tcPr>
            <w:tcW w:w="94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SimSun" w:eastAsia="仿宋_GB2312" w:cs="SimSun"/>
                <w:kern w:val="0"/>
                <w:sz w:val="18"/>
                <w:szCs w:val="18"/>
                <w:lang w:eastAsia="zh-CN"/>
              </w:rPr>
            </w:pPr>
            <w:r>
              <w:rPr>
                <w:rFonts w:hint="eastAsia" w:ascii="仿宋_GB2312" w:hAnsi="SimSun" w:eastAsia="仿宋_GB2312" w:cs="SimSun"/>
                <w:kern w:val="0"/>
                <w:sz w:val="18"/>
                <w:szCs w:val="18"/>
              </w:rPr>
              <w:t>履职效益</w:t>
            </w:r>
          </w:p>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（20分）</w:t>
            </w:r>
          </w:p>
        </w:tc>
        <w:tc>
          <w:tcPr>
            <w:tcW w:w="139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经济效益</w:t>
            </w:r>
          </w:p>
        </w:tc>
        <w:tc>
          <w:tcPr>
            <w:tcW w:w="419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SimSun" w:eastAsia="仿宋_GB2312" w:cs="SimSun"/>
                <w:kern w:val="0"/>
                <w:sz w:val="18"/>
                <w:szCs w:val="18"/>
              </w:rPr>
            </w:pPr>
            <w:r>
              <w:rPr>
                <w:rFonts w:hint="eastAsia" w:ascii="仿宋_GB2312" w:hAnsi="SimSun" w:eastAsia="仿宋_GB2312" w:cs="SimSun"/>
                <w:kern w:val="0"/>
                <w:sz w:val="18"/>
                <w:szCs w:val="18"/>
              </w:rPr>
              <w:t>此三项指标为设置部门整体支出绩效评价指标时必须考虑的共性要素。</w:t>
            </w:r>
          </w:p>
          <w:p>
            <w:pPr>
              <w:widowControl/>
              <w:spacing w:line="240" w:lineRule="exact"/>
              <w:jc w:val="left"/>
              <w:rPr>
                <w:rFonts w:ascii="仿宋_GB2312" w:hAnsi="SimSun" w:eastAsia="仿宋_GB2312" w:cs="SimSun"/>
                <w:kern w:val="0"/>
                <w:sz w:val="18"/>
                <w:szCs w:val="18"/>
              </w:rPr>
            </w:pPr>
            <w:r>
              <w:rPr>
                <w:rFonts w:hint="eastAsia" w:ascii="仿宋_GB2312" w:hAnsi="SimSun" w:eastAsia="仿宋_GB2312" w:cs="SimSun"/>
                <w:kern w:val="0"/>
                <w:sz w:val="18"/>
                <w:szCs w:val="18"/>
              </w:rPr>
              <w:t>部门单位应根据部门实际并结合部门整体支出绩效目标设立情况有选择的进行设置，并将其细化为相应的个性化指标。</w:t>
            </w:r>
          </w:p>
        </w:tc>
        <w:tc>
          <w:tcPr>
            <w:tcW w:w="621"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15</w:t>
            </w:r>
          </w:p>
        </w:tc>
        <w:tc>
          <w:tcPr>
            <w:tcW w:w="72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SimSun" w:eastAsia="仿宋_GB2312" w:cs="SimSun"/>
                <w:kern w:val="0"/>
                <w:sz w:val="18"/>
                <w:szCs w:val="18"/>
                <w:lang w:val="en-US" w:eastAsia="zh-CN"/>
              </w:rPr>
            </w:pPr>
            <w:r>
              <w:rPr>
                <w:rFonts w:hint="eastAsia" w:ascii="仿宋_GB2312" w:hAnsi="SimSun" w:eastAsia="仿宋_GB2312" w:cs="SimSun"/>
                <w:kern w:val="0"/>
                <w:sz w:val="18"/>
                <w:szCs w:val="18"/>
                <w:lang w:val="en-US" w:eastAsia="zh-CN"/>
              </w:rPr>
              <w:t>5</w:t>
            </w:r>
          </w:p>
        </w:tc>
        <w:tc>
          <w:tcPr>
            <w:tcW w:w="1085"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SimSun" w:eastAsia="仿宋_GB2312" w:cs="SimSun"/>
                <w:kern w:val="0"/>
                <w:sz w:val="18"/>
                <w:szCs w:val="18"/>
              </w:rPr>
            </w:pPr>
          </w:p>
        </w:tc>
      </w:tr>
      <w:tr>
        <w:tblPrEx>
          <w:tblCellMar>
            <w:top w:w="0" w:type="dxa"/>
            <w:left w:w="108" w:type="dxa"/>
            <w:bottom w:w="0" w:type="dxa"/>
            <w:right w:w="108" w:type="dxa"/>
          </w:tblCellMar>
        </w:tblPrEx>
        <w:trPr>
          <w:trHeight w:val="669" w:hRule="atLeast"/>
          <w:jc w:val="center"/>
        </w:trPr>
        <w:tc>
          <w:tcPr>
            <w:tcW w:w="98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943"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139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社会效益</w:t>
            </w:r>
          </w:p>
        </w:tc>
        <w:tc>
          <w:tcPr>
            <w:tcW w:w="419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621"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72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SimSun" w:eastAsia="仿宋_GB2312" w:cs="SimSun"/>
                <w:kern w:val="0"/>
                <w:sz w:val="18"/>
                <w:szCs w:val="18"/>
                <w:lang w:val="en-US" w:eastAsia="zh-CN"/>
              </w:rPr>
            </w:pPr>
            <w:r>
              <w:rPr>
                <w:rFonts w:hint="eastAsia" w:ascii="仿宋_GB2312" w:hAnsi="SimSun" w:eastAsia="仿宋_GB2312" w:cs="SimSun"/>
                <w:kern w:val="0"/>
                <w:sz w:val="18"/>
                <w:szCs w:val="18"/>
                <w:lang w:val="en-US" w:eastAsia="zh-CN"/>
              </w:rPr>
              <w:t>5</w:t>
            </w:r>
          </w:p>
        </w:tc>
        <w:tc>
          <w:tcPr>
            <w:tcW w:w="1085"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SimSun" w:eastAsia="仿宋_GB2312" w:cs="SimSun"/>
                <w:kern w:val="0"/>
                <w:sz w:val="18"/>
                <w:szCs w:val="18"/>
              </w:rPr>
            </w:pPr>
          </w:p>
        </w:tc>
      </w:tr>
      <w:tr>
        <w:tblPrEx>
          <w:tblCellMar>
            <w:top w:w="0" w:type="dxa"/>
            <w:left w:w="108" w:type="dxa"/>
            <w:bottom w:w="0" w:type="dxa"/>
            <w:right w:w="108" w:type="dxa"/>
          </w:tblCellMar>
        </w:tblPrEx>
        <w:trPr>
          <w:trHeight w:val="669" w:hRule="atLeast"/>
          <w:jc w:val="center"/>
        </w:trPr>
        <w:tc>
          <w:tcPr>
            <w:tcW w:w="98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943"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139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生态效益</w:t>
            </w:r>
          </w:p>
        </w:tc>
        <w:tc>
          <w:tcPr>
            <w:tcW w:w="419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621"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SimSun" w:eastAsia="仿宋_GB2312" w:cs="SimSun"/>
                <w:kern w:val="0"/>
                <w:sz w:val="18"/>
                <w:szCs w:val="18"/>
              </w:rPr>
            </w:pPr>
          </w:p>
        </w:tc>
        <w:tc>
          <w:tcPr>
            <w:tcW w:w="723"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SimSun" w:eastAsia="仿宋_GB2312" w:cs="SimSun"/>
                <w:kern w:val="0"/>
                <w:sz w:val="18"/>
                <w:szCs w:val="18"/>
                <w:lang w:val="en-US" w:eastAsia="zh-CN"/>
              </w:rPr>
            </w:pPr>
            <w:r>
              <w:rPr>
                <w:rFonts w:hint="eastAsia" w:ascii="仿宋_GB2312" w:hAnsi="SimSun" w:eastAsia="仿宋_GB2312" w:cs="SimSun"/>
                <w:kern w:val="0"/>
                <w:sz w:val="18"/>
                <w:szCs w:val="18"/>
                <w:lang w:val="en-US" w:eastAsia="zh-CN"/>
              </w:rPr>
              <w:t>5</w:t>
            </w:r>
          </w:p>
        </w:tc>
        <w:tc>
          <w:tcPr>
            <w:tcW w:w="1085"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SimSun" w:eastAsia="仿宋_GB2312" w:cs="SimSun"/>
                <w:kern w:val="0"/>
                <w:sz w:val="18"/>
                <w:szCs w:val="18"/>
              </w:rPr>
            </w:pPr>
          </w:p>
        </w:tc>
      </w:tr>
      <w:tr>
        <w:tblPrEx>
          <w:tblCellMar>
            <w:top w:w="0" w:type="dxa"/>
            <w:left w:w="108" w:type="dxa"/>
            <w:bottom w:w="0" w:type="dxa"/>
            <w:right w:w="108" w:type="dxa"/>
          </w:tblCellMar>
        </w:tblPrEx>
        <w:trPr>
          <w:trHeight w:val="1051" w:hRule="atLeast"/>
          <w:jc w:val="center"/>
        </w:trPr>
        <w:tc>
          <w:tcPr>
            <w:tcW w:w="980"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SimSun" w:eastAsia="仿宋_GB2312" w:cs="SimSun"/>
                <w:kern w:val="0"/>
                <w:sz w:val="18"/>
                <w:szCs w:val="18"/>
              </w:rPr>
            </w:pPr>
          </w:p>
        </w:tc>
        <w:tc>
          <w:tcPr>
            <w:tcW w:w="943"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SimSun" w:eastAsia="仿宋_GB2312" w:cs="SimSun"/>
                <w:kern w:val="0"/>
                <w:sz w:val="18"/>
                <w:szCs w:val="18"/>
              </w:rPr>
            </w:pPr>
          </w:p>
        </w:tc>
        <w:tc>
          <w:tcPr>
            <w:tcW w:w="139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社会公众或服务对象满意度</w:t>
            </w:r>
          </w:p>
        </w:tc>
        <w:tc>
          <w:tcPr>
            <w:tcW w:w="4190"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SimSun" w:eastAsia="仿宋_GB2312" w:cs="SimSun"/>
                <w:kern w:val="0"/>
                <w:sz w:val="18"/>
                <w:szCs w:val="18"/>
              </w:rPr>
            </w:pPr>
            <w:r>
              <w:rPr>
                <w:rFonts w:hint="eastAsia" w:ascii="仿宋_GB2312" w:hAnsi="SimSun" w:eastAsia="仿宋_GB2312" w:cs="SimSun"/>
                <w:kern w:val="0"/>
                <w:sz w:val="18"/>
                <w:szCs w:val="18"/>
              </w:rPr>
              <w:t>95%（含）以上计5分；</w:t>
            </w:r>
          </w:p>
          <w:p>
            <w:pPr>
              <w:widowControl/>
              <w:spacing w:line="240" w:lineRule="exact"/>
              <w:jc w:val="left"/>
              <w:rPr>
                <w:rFonts w:hint="eastAsia" w:ascii="仿宋_GB2312" w:hAnsi="SimSun" w:eastAsia="仿宋_GB2312" w:cs="SimSun"/>
                <w:kern w:val="0"/>
                <w:sz w:val="18"/>
                <w:szCs w:val="18"/>
              </w:rPr>
            </w:pPr>
            <w:r>
              <w:rPr>
                <w:rFonts w:hint="eastAsia" w:ascii="仿宋_GB2312" w:hAnsi="SimSun" w:eastAsia="仿宋_GB2312" w:cs="SimSun"/>
                <w:kern w:val="0"/>
                <w:sz w:val="18"/>
                <w:szCs w:val="18"/>
              </w:rPr>
              <w:t>85%（含）-95%，计3分；</w:t>
            </w:r>
          </w:p>
          <w:p>
            <w:pPr>
              <w:widowControl/>
              <w:spacing w:line="240" w:lineRule="exact"/>
              <w:jc w:val="left"/>
              <w:rPr>
                <w:rFonts w:hint="eastAsia" w:ascii="仿宋_GB2312" w:hAnsi="SimSun" w:eastAsia="仿宋_GB2312" w:cs="SimSun"/>
                <w:kern w:val="0"/>
                <w:sz w:val="18"/>
                <w:szCs w:val="18"/>
              </w:rPr>
            </w:pPr>
            <w:r>
              <w:rPr>
                <w:rFonts w:hint="eastAsia" w:ascii="仿宋_GB2312" w:hAnsi="SimSun" w:eastAsia="仿宋_GB2312" w:cs="SimSun"/>
                <w:kern w:val="0"/>
                <w:sz w:val="18"/>
                <w:szCs w:val="18"/>
              </w:rPr>
              <w:t>75%（含）-85%，计1分；</w:t>
            </w:r>
          </w:p>
          <w:p>
            <w:pPr>
              <w:widowControl/>
              <w:spacing w:line="240" w:lineRule="exact"/>
              <w:jc w:val="left"/>
              <w:rPr>
                <w:rFonts w:ascii="仿宋_GB2312" w:hAnsi="SimSun" w:eastAsia="仿宋_GB2312" w:cs="SimSun"/>
                <w:kern w:val="0"/>
                <w:sz w:val="18"/>
                <w:szCs w:val="18"/>
              </w:rPr>
            </w:pPr>
            <w:r>
              <w:rPr>
                <w:rFonts w:hint="eastAsia" w:ascii="仿宋_GB2312" w:hAnsi="SimSun" w:eastAsia="仿宋_GB2312" w:cs="SimSun"/>
                <w:kern w:val="0"/>
                <w:sz w:val="18"/>
                <w:szCs w:val="18"/>
              </w:rPr>
              <w:t>低于75%计0分。</w:t>
            </w:r>
          </w:p>
        </w:tc>
        <w:tc>
          <w:tcPr>
            <w:tcW w:w="62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kern w:val="0"/>
                <w:sz w:val="18"/>
                <w:szCs w:val="18"/>
              </w:rPr>
            </w:pPr>
            <w:r>
              <w:rPr>
                <w:rFonts w:hint="eastAsia" w:ascii="仿宋_GB2312" w:hAnsi="SimSun" w:eastAsia="仿宋_GB2312" w:cs="SimSun"/>
                <w:kern w:val="0"/>
                <w:sz w:val="18"/>
                <w:szCs w:val="18"/>
              </w:rPr>
              <w:t>5</w:t>
            </w:r>
          </w:p>
        </w:tc>
        <w:tc>
          <w:tcPr>
            <w:tcW w:w="72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SimSun" w:eastAsia="仿宋_GB2312" w:cs="SimSun"/>
                <w:kern w:val="0"/>
                <w:sz w:val="18"/>
                <w:szCs w:val="18"/>
                <w:lang w:val="en-US" w:eastAsia="zh-CN"/>
              </w:rPr>
            </w:pPr>
            <w:r>
              <w:rPr>
                <w:rFonts w:hint="eastAsia" w:ascii="仿宋_GB2312" w:hAnsi="SimSun" w:eastAsia="仿宋_GB2312" w:cs="SimSun"/>
                <w:kern w:val="0"/>
                <w:sz w:val="18"/>
                <w:szCs w:val="18"/>
                <w:lang w:val="en-US" w:eastAsia="zh-CN"/>
              </w:rPr>
              <w:t>5</w:t>
            </w:r>
          </w:p>
        </w:tc>
        <w:tc>
          <w:tcPr>
            <w:tcW w:w="108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kern w:val="0"/>
                <w:sz w:val="18"/>
                <w:szCs w:val="18"/>
              </w:rPr>
            </w:pPr>
          </w:p>
        </w:tc>
      </w:tr>
      <w:tr>
        <w:tblPrEx>
          <w:tblCellMar>
            <w:top w:w="0" w:type="dxa"/>
            <w:left w:w="108" w:type="dxa"/>
            <w:bottom w:w="0" w:type="dxa"/>
            <w:right w:w="108" w:type="dxa"/>
          </w:tblCellMar>
        </w:tblPrEx>
        <w:trPr>
          <w:trHeight w:val="756" w:hRule="atLeast"/>
          <w:jc w:val="center"/>
        </w:trPr>
        <w:tc>
          <w:tcPr>
            <w:tcW w:w="980" w:type="dxa"/>
            <w:gridSpan w:val="2"/>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SimSun" w:eastAsia="仿宋_GB2312" w:cs="SimSun"/>
                <w:b/>
                <w:bCs/>
                <w:kern w:val="0"/>
                <w:sz w:val="18"/>
                <w:szCs w:val="18"/>
              </w:rPr>
            </w:pPr>
            <w:r>
              <w:rPr>
                <w:rFonts w:hint="eastAsia" w:ascii="仿宋_GB2312" w:hAnsi="SimSun" w:eastAsia="仿宋_GB2312" w:cs="SimSun"/>
                <w:b/>
                <w:bCs/>
                <w:kern w:val="0"/>
                <w:sz w:val="18"/>
                <w:szCs w:val="18"/>
              </w:rPr>
              <w:t>总 分</w:t>
            </w:r>
          </w:p>
        </w:tc>
        <w:tc>
          <w:tcPr>
            <w:tcW w:w="94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b/>
                <w:bCs/>
                <w:kern w:val="0"/>
                <w:sz w:val="18"/>
                <w:szCs w:val="18"/>
              </w:rPr>
            </w:pPr>
          </w:p>
        </w:tc>
        <w:tc>
          <w:tcPr>
            <w:tcW w:w="139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b/>
                <w:bCs/>
                <w:kern w:val="0"/>
                <w:sz w:val="18"/>
                <w:szCs w:val="18"/>
              </w:rPr>
            </w:pPr>
          </w:p>
        </w:tc>
        <w:tc>
          <w:tcPr>
            <w:tcW w:w="41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b/>
                <w:bCs/>
                <w:kern w:val="0"/>
                <w:sz w:val="18"/>
                <w:szCs w:val="18"/>
              </w:rPr>
            </w:pPr>
          </w:p>
        </w:tc>
        <w:tc>
          <w:tcPr>
            <w:tcW w:w="62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b/>
                <w:bCs/>
                <w:spacing w:val="-8"/>
                <w:kern w:val="0"/>
                <w:sz w:val="18"/>
                <w:szCs w:val="18"/>
              </w:rPr>
            </w:pPr>
            <w:r>
              <w:rPr>
                <w:rFonts w:hint="eastAsia" w:ascii="仿宋_GB2312" w:hAnsi="SimSun" w:eastAsia="仿宋_GB2312" w:cs="SimSun"/>
                <w:b/>
                <w:bCs/>
                <w:spacing w:val="-8"/>
                <w:kern w:val="0"/>
                <w:sz w:val="18"/>
                <w:szCs w:val="18"/>
              </w:rPr>
              <w:t>100</w:t>
            </w:r>
          </w:p>
        </w:tc>
        <w:tc>
          <w:tcPr>
            <w:tcW w:w="723"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SimSun" w:eastAsia="仿宋_GB2312" w:cs="SimSun"/>
                <w:b/>
                <w:bCs/>
                <w:kern w:val="0"/>
                <w:sz w:val="18"/>
                <w:szCs w:val="18"/>
                <w:lang w:val="en-US" w:eastAsia="zh-CN"/>
              </w:rPr>
            </w:pPr>
            <w:r>
              <w:rPr>
                <w:rFonts w:hint="eastAsia" w:ascii="仿宋_GB2312" w:hAnsi="SimSun" w:eastAsia="仿宋_GB2312" w:cs="SimSun"/>
                <w:b/>
                <w:bCs/>
                <w:kern w:val="0"/>
                <w:sz w:val="18"/>
                <w:szCs w:val="18"/>
                <w:lang w:val="en-US" w:eastAsia="zh-CN"/>
              </w:rPr>
              <w:t>99.9</w:t>
            </w:r>
          </w:p>
        </w:tc>
        <w:tc>
          <w:tcPr>
            <w:tcW w:w="108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SimSun" w:eastAsia="仿宋_GB2312" w:cs="SimSun"/>
                <w:b/>
                <w:bCs/>
                <w:kern w:val="0"/>
                <w:sz w:val="18"/>
                <w:szCs w:val="18"/>
              </w:rPr>
            </w:pPr>
          </w:p>
        </w:tc>
      </w:tr>
    </w:tbl>
    <w:p>
      <w:pPr>
        <w:adjustRightInd w:val="0"/>
        <w:snapToGrid w:val="0"/>
        <w:spacing w:before="156" w:beforeLines="50"/>
        <w:contextualSpacing/>
        <w:rPr>
          <w:rFonts w:hint="eastAsia" w:ascii="仿宋_GB2312" w:hAnsi="SimSun" w:eastAsia="仿宋_GB2312" w:cs="SimSun"/>
          <w:kern w:val="0"/>
          <w:szCs w:val="21"/>
        </w:rPr>
      </w:pPr>
    </w:p>
    <w:p>
      <w:pPr>
        <w:adjustRightInd w:val="0"/>
        <w:snapToGrid w:val="0"/>
        <w:spacing w:before="156" w:beforeLines="50"/>
        <w:contextualSpacing/>
        <w:rPr>
          <w:rFonts w:hint="eastAsia" w:ascii="仿宋_GB2312" w:hAnsi="SimSun" w:eastAsia="仿宋_GB2312" w:cs="SimSun"/>
          <w:kern w:val="0"/>
          <w:szCs w:val="21"/>
        </w:rPr>
      </w:pPr>
    </w:p>
    <w:p>
      <w:pPr>
        <w:adjustRightInd w:val="0"/>
        <w:snapToGrid w:val="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FangSong"/>
    <w:panose1 w:val="02010609030101010101"/>
    <w:charset w:val="86"/>
    <w:family w:val="swiss"/>
    <w:pitch w:val="default"/>
    <w:sig w:usb0="00000000" w:usb1="00000000" w:usb2="00000000" w:usb3="00000000" w:csb0="00040000" w:csb1="00000000"/>
  </w:font>
  <w:font w:name="FangSong">
    <w:panose1 w:val="02010609060101010101"/>
    <w:charset w:val="86"/>
    <w:family w:val="auto"/>
    <w:pitch w:val="default"/>
    <w:sig w:usb0="800002BF" w:usb1="38CF7CFA" w:usb2="00000016" w:usb3="00000000" w:csb0="00040001" w:csb1="00000000"/>
  </w:font>
  <w:font w:name="楷体_GB2312">
    <w:altName w:val="KaiTi"/>
    <w:panose1 w:val="02010609030101010101"/>
    <w:charset w:val="86"/>
    <w:family w:val="swiss"/>
    <w:pitch w:val="default"/>
    <w:sig w:usb0="00000000" w:usb1="00000000" w:usb2="00000000" w:usb3="00000000" w:csb0="00040000" w:csb1="00000000"/>
  </w:font>
  <w:font w:name="KaiTi">
    <w:panose1 w:val="02010609060101010101"/>
    <w:charset w:val="86"/>
    <w:family w:val="auto"/>
    <w:pitch w:val="default"/>
    <w:sig w:usb0="800002BF" w:usb1="38CF7CFA" w:usb2="00000016" w:usb3="00000000" w:csb0="00040001" w:csb1="00000000"/>
  </w:font>
  <w:font w:name="方正小标宋简体">
    <w:altName w:val="SimHei"/>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BC735"/>
    <w:multiLevelType w:val="singleLevel"/>
    <w:tmpl w:val="9F8BC735"/>
    <w:lvl w:ilvl="0" w:tentative="0">
      <w:start w:val="2"/>
      <w:numFmt w:val="chineseCounting"/>
      <w:suff w:val="nothing"/>
      <w:lvlText w:val="（%1）"/>
      <w:lvlJc w:val="left"/>
      <w:rPr>
        <w:rFonts w:hint="eastAsia"/>
      </w:rPr>
    </w:lvl>
  </w:abstractNum>
  <w:abstractNum w:abstractNumId="1">
    <w:nsid w:val="206A94FF"/>
    <w:multiLevelType w:val="singleLevel"/>
    <w:tmpl w:val="206A94FF"/>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1ODM3ZjU5MmI2MGE2ZGU0MDRlYTI2YmQ1ZDc0YzcifQ=="/>
  </w:docVars>
  <w:rsids>
    <w:rsidRoot w:val="2CE55C20"/>
    <w:rsid w:val="007B2063"/>
    <w:rsid w:val="083749E7"/>
    <w:rsid w:val="0C8B6F96"/>
    <w:rsid w:val="0CB679B8"/>
    <w:rsid w:val="0DE528CD"/>
    <w:rsid w:val="10054735"/>
    <w:rsid w:val="1336279F"/>
    <w:rsid w:val="18725427"/>
    <w:rsid w:val="1D4C16FF"/>
    <w:rsid w:val="24A97696"/>
    <w:rsid w:val="254E2FC7"/>
    <w:rsid w:val="25B607B7"/>
    <w:rsid w:val="263C173A"/>
    <w:rsid w:val="26E72CF4"/>
    <w:rsid w:val="289D055E"/>
    <w:rsid w:val="2A770606"/>
    <w:rsid w:val="2C9F197B"/>
    <w:rsid w:val="2CA33441"/>
    <w:rsid w:val="2CE55C20"/>
    <w:rsid w:val="2F287302"/>
    <w:rsid w:val="30426D13"/>
    <w:rsid w:val="368E56B2"/>
    <w:rsid w:val="3A43255A"/>
    <w:rsid w:val="3D6201A1"/>
    <w:rsid w:val="3EC46785"/>
    <w:rsid w:val="3F45423A"/>
    <w:rsid w:val="3F8A6044"/>
    <w:rsid w:val="3FED6268"/>
    <w:rsid w:val="40152228"/>
    <w:rsid w:val="43A702D9"/>
    <w:rsid w:val="44592EA4"/>
    <w:rsid w:val="477245B4"/>
    <w:rsid w:val="49617FA5"/>
    <w:rsid w:val="4BAD6FBB"/>
    <w:rsid w:val="4D171D42"/>
    <w:rsid w:val="4DEF1A85"/>
    <w:rsid w:val="4E4F0BB0"/>
    <w:rsid w:val="508E3344"/>
    <w:rsid w:val="5444374C"/>
    <w:rsid w:val="5BE95901"/>
    <w:rsid w:val="6A0A15CD"/>
    <w:rsid w:val="6D452F22"/>
    <w:rsid w:val="6DC85BA0"/>
    <w:rsid w:val="6DF352BD"/>
    <w:rsid w:val="705E3E6D"/>
    <w:rsid w:val="71C1048A"/>
    <w:rsid w:val="7396188C"/>
    <w:rsid w:val="73A6715E"/>
    <w:rsid w:val="73F35F5B"/>
    <w:rsid w:val="78B43685"/>
    <w:rsid w:val="79C04582"/>
    <w:rsid w:val="7D1F0DA2"/>
    <w:rsid w:val="7FE622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5112</Words>
  <Characters>5424</Characters>
  <Lines>0</Lines>
  <Paragraphs>0</Paragraphs>
  <TotalTime>29</TotalTime>
  <ScaleCrop>false</ScaleCrop>
  <LinksUpToDate>false</LinksUpToDate>
  <CharactersWithSpaces>5968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longyuehong</cp:lastModifiedBy>
  <cp:lastPrinted>2022-10-12T00:31:59Z</cp:lastPrinted>
  <dcterms:modified xsi:type="dcterms:W3CDTF">2022-10-12T00:32:04Z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676F5F55D9C44A0BAE879458A23140C7</vt:lpwstr>
  </property>
</Properties>
</file>