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A0DF31">
      <w:pPr>
        <w:spacing w:beforeLines="50" w:afterLines="100" w:line="600" w:lineRule="exact"/>
        <w:ind w:firstLine="320" w:firstLineChars="100"/>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附件1</w:t>
      </w:r>
    </w:p>
    <w:p w14:paraId="31EF701E">
      <w:pPr>
        <w:spacing w:beforeLines="50" w:afterLines="100" w:line="600" w:lineRule="exact"/>
        <w:ind w:firstLine="440" w:firstLineChars="1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2022年度部门整体支出绩效评价基础数据表</w:t>
      </w:r>
    </w:p>
    <w:tbl>
      <w:tblPr>
        <w:tblStyle w:val="14"/>
        <w:tblW w:w="4994" w:type="pct"/>
        <w:jc w:val="center"/>
        <w:tblLayout w:type="autofit"/>
        <w:tblCellMar>
          <w:top w:w="0" w:type="dxa"/>
          <w:left w:w="108" w:type="dxa"/>
          <w:bottom w:w="0" w:type="dxa"/>
          <w:right w:w="108" w:type="dxa"/>
        </w:tblCellMar>
      </w:tblPr>
      <w:tblGrid>
        <w:gridCol w:w="3216"/>
        <w:gridCol w:w="1954"/>
        <w:gridCol w:w="2435"/>
        <w:gridCol w:w="1672"/>
      </w:tblGrid>
      <w:tr w14:paraId="58067754">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ign w:val="center"/>
          </w:tcPr>
          <w:p w14:paraId="30C61425">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财政供养人员情况（人）</w:t>
            </w:r>
          </w:p>
        </w:tc>
        <w:tc>
          <w:tcPr>
            <w:tcW w:w="1053" w:type="pct"/>
            <w:tcBorders>
              <w:top w:val="single" w:color="auto" w:sz="4" w:space="0"/>
              <w:left w:val="nil"/>
              <w:bottom w:val="single" w:color="auto" w:sz="4" w:space="0"/>
              <w:right w:val="single" w:color="auto" w:sz="4" w:space="0"/>
            </w:tcBorders>
            <w:noWrap/>
            <w:vAlign w:val="center"/>
          </w:tcPr>
          <w:p w14:paraId="67344594">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编制数</w:t>
            </w:r>
          </w:p>
        </w:tc>
        <w:tc>
          <w:tcPr>
            <w:tcW w:w="1312" w:type="pct"/>
            <w:tcBorders>
              <w:top w:val="single" w:color="auto" w:sz="4" w:space="0"/>
              <w:left w:val="nil"/>
              <w:bottom w:val="single" w:color="auto" w:sz="4" w:space="0"/>
              <w:right w:val="single" w:color="auto" w:sz="4" w:space="0"/>
            </w:tcBorders>
            <w:noWrap/>
            <w:vAlign w:val="center"/>
          </w:tcPr>
          <w:p w14:paraId="1A5575AA">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2022年实际在职人数</w:t>
            </w:r>
          </w:p>
        </w:tc>
        <w:tc>
          <w:tcPr>
            <w:tcW w:w="901" w:type="pct"/>
            <w:tcBorders>
              <w:top w:val="single" w:color="auto" w:sz="4" w:space="0"/>
              <w:left w:val="nil"/>
              <w:bottom w:val="single" w:color="auto" w:sz="4" w:space="0"/>
              <w:right w:val="single" w:color="auto" w:sz="4" w:space="0"/>
            </w:tcBorders>
            <w:noWrap/>
            <w:vAlign w:val="center"/>
          </w:tcPr>
          <w:p w14:paraId="317B6F1A">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控制率</w:t>
            </w:r>
          </w:p>
        </w:tc>
      </w:tr>
      <w:tr w14:paraId="304F2175">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ign w:val="center"/>
          </w:tcPr>
          <w:p w14:paraId="572F1E18">
            <w:pPr>
              <w:widowControl/>
              <w:spacing w:line="360" w:lineRule="exact"/>
              <w:jc w:val="center"/>
              <w:rPr>
                <w:rFonts w:ascii="新宋体" w:hAnsi="新宋体" w:eastAsia="新宋体" w:cs="新宋体"/>
                <w:szCs w:val="21"/>
              </w:rPr>
            </w:pPr>
          </w:p>
        </w:tc>
        <w:tc>
          <w:tcPr>
            <w:tcW w:w="1053" w:type="pct"/>
            <w:tcBorders>
              <w:top w:val="single" w:color="auto" w:sz="4" w:space="0"/>
              <w:left w:val="nil"/>
              <w:bottom w:val="single" w:color="auto" w:sz="4" w:space="0"/>
              <w:right w:val="single" w:color="auto" w:sz="4" w:space="0"/>
            </w:tcBorders>
            <w:noWrap/>
            <w:vAlign w:val="center"/>
          </w:tcPr>
          <w:p w14:paraId="4A1AB35C">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43</w:t>
            </w:r>
          </w:p>
        </w:tc>
        <w:tc>
          <w:tcPr>
            <w:tcW w:w="1312" w:type="pct"/>
            <w:tcBorders>
              <w:top w:val="single" w:color="auto" w:sz="4" w:space="0"/>
              <w:left w:val="nil"/>
              <w:bottom w:val="single" w:color="auto" w:sz="4" w:space="0"/>
              <w:right w:val="single" w:color="auto" w:sz="4" w:space="0"/>
            </w:tcBorders>
            <w:noWrap/>
            <w:vAlign w:val="center"/>
          </w:tcPr>
          <w:p w14:paraId="53850880">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47</w:t>
            </w:r>
          </w:p>
        </w:tc>
        <w:tc>
          <w:tcPr>
            <w:tcW w:w="901" w:type="pct"/>
            <w:tcBorders>
              <w:top w:val="single" w:color="auto" w:sz="4" w:space="0"/>
              <w:left w:val="nil"/>
              <w:bottom w:val="single" w:color="auto" w:sz="4" w:space="0"/>
              <w:right w:val="single" w:color="auto" w:sz="4" w:space="0"/>
            </w:tcBorders>
            <w:noWrap/>
            <w:vAlign w:val="center"/>
          </w:tcPr>
          <w:p w14:paraId="1B7E22A3">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109%</w:t>
            </w:r>
          </w:p>
        </w:tc>
      </w:tr>
      <w:tr w14:paraId="18F4DC50">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344D9A18">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经费控制情况（万元）</w:t>
            </w:r>
          </w:p>
        </w:tc>
        <w:tc>
          <w:tcPr>
            <w:tcW w:w="1053" w:type="pct"/>
            <w:tcBorders>
              <w:top w:val="single" w:color="auto" w:sz="4" w:space="0"/>
              <w:left w:val="nil"/>
              <w:bottom w:val="single" w:color="auto" w:sz="4" w:space="0"/>
              <w:right w:val="single" w:color="000000" w:sz="4" w:space="0"/>
            </w:tcBorders>
            <w:noWrap/>
            <w:vAlign w:val="center"/>
          </w:tcPr>
          <w:p w14:paraId="6E5C0824">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2021年决算数</w:t>
            </w:r>
          </w:p>
        </w:tc>
        <w:tc>
          <w:tcPr>
            <w:tcW w:w="1312" w:type="pct"/>
            <w:tcBorders>
              <w:top w:val="single" w:color="auto" w:sz="4" w:space="0"/>
              <w:left w:val="nil"/>
              <w:bottom w:val="single" w:color="auto" w:sz="4" w:space="0"/>
              <w:right w:val="single" w:color="000000" w:sz="4" w:space="0"/>
            </w:tcBorders>
            <w:noWrap/>
            <w:vAlign w:val="center"/>
          </w:tcPr>
          <w:p w14:paraId="0D5C186A">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2022年预算数</w:t>
            </w:r>
          </w:p>
        </w:tc>
        <w:tc>
          <w:tcPr>
            <w:tcW w:w="901" w:type="pct"/>
            <w:tcBorders>
              <w:top w:val="single" w:color="auto" w:sz="4" w:space="0"/>
              <w:left w:val="nil"/>
              <w:bottom w:val="single" w:color="auto" w:sz="4" w:space="0"/>
              <w:right w:val="single" w:color="000000" w:sz="4" w:space="0"/>
            </w:tcBorders>
            <w:noWrap/>
            <w:vAlign w:val="center"/>
          </w:tcPr>
          <w:p w14:paraId="310316E0">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2022年决算数</w:t>
            </w:r>
          </w:p>
        </w:tc>
      </w:tr>
      <w:tr w14:paraId="657E03D4">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0363FD81">
            <w:pPr>
              <w:widowControl/>
              <w:spacing w:line="360" w:lineRule="exact"/>
              <w:rPr>
                <w:rFonts w:ascii="新宋体" w:hAnsi="新宋体" w:eastAsia="新宋体" w:cs="新宋体"/>
                <w:szCs w:val="21"/>
              </w:rPr>
            </w:pPr>
            <w:r>
              <w:rPr>
                <w:rFonts w:hint="eastAsia" w:ascii="新宋体" w:hAnsi="新宋体" w:eastAsia="新宋体" w:cs="新宋体"/>
                <w:szCs w:val="21"/>
              </w:rPr>
              <w:t>一、基本支出：</w:t>
            </w:r>
          </w:p>
        </w:tc>
        <w:tc>
          <w:tcPr>
            <w:tcW w:w="1053" w:type="pct"/>
            <w:tcBorders>
              <w:top w:val="single" w:color="auto" w:sz="4" w:space="0"/>
              <w:left w:val="nil"/>
              <w:bottom w:val="single" w:color="auto" w:sz="4" w:space="0"/>
              <w:right w:val="single" w:color="000000" w:sz="4" w:space="0"/>
            </w:tcBorders>
            <w:noWrap/>
            <w:vAlign w:val="center"/>
          </w:tcPr>
          <w:p w14:paraId="7DE9EDDB">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644.25</w:t>
            </w:r>
          </w:p>
        </w:tc>
        <w:tc>
          <w:tcPr>
            <w:tcW w:w="1312" w:type="pct"/>
            <w:tcBorders>
              <w:top w:val="single" w:color="auto" w:sz="4" w:space="0"/>
              <w:left w:val="nil"/>
              <w:bottom w:val="single" w:color="auto" w:sz="4" w:space="0"/>
              <w:right w:val="single" w:color="000000" w:sz="4" w:space="0"/>
            </w:tcBorders>
            <w:noWrap/>
            <w:vAlign w:val="center"/>
          </w:tcPr>
          <w:p w14:paraId="32E5B4DA">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665.26</w:t>
            </w:r>
          </w:p>
        </w:tc>
        <w:tc>
          <w:tcPr>
            <w:tcW w:w="901" w:type="pct"/>
            <w:tcBorders>
              <w:top w:val="single" w:color="auto" w:sz="4" w:space="0"/>
              <w:left w:val="nil"/>
              <w:bottom w:val="single" w:color="auto" w:sz="4" w:space="0"/>
              <w:right w:val="single" w:color="000000" w:sz="4" w:space="0"/>
            </w:tcBorders>
            <w:noWrap/>
            <w:vAlign w:val="center"/>
          </w:tcPr>
          <w:p w14:paraId="4C399FE3">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665.26</w:t>
            </w:r>
          </w:p>
        </w:tc>
      </w:tr>
      <w:tr w14:paraId="20EED8E7">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4AF43B83">
            <w:pPr>
              <w:widowControl/>
              <w:spacing w:line="360" w:lineRule="exact"/>
              <w:rPr>
                <w:rFonts w:ascii="新宋体" w:hAnsi="新宋体" w:eastAsia="新宋体" w:cs="新宋体"/>
                <w:szCs w:val="21"/>
              </w:rPr>
            </w:pPr>
            <w:r>
              <w:rPr>
                <w:rFonts w:hint="eastAsia" w:ascii="新宋体" w:hAnsi="新宋体" w:eastAsia="新宋体" w:cs="新宋体"/>
                <w:szCs w:val="21"/>
              </w:rPr>
              <w:t>其中：三公经费</w:t>
            </w:r>
          </w:p>
        </w:tc>
        <w:tc>
          <w:tcPr>
            <w:tcW w:w="1053" w:type="pct"/>
            <w:tcBorders>
              <w:top w:val="single" w:color="auto" w:sz="4" w:space="0"/>
              <w:left w:val="nil"/>
              <w:bottom w:val="single" w:color="auto" w:sz="4" w:space="0"/>
              <w:right w:val="single" w:color="000000" w:sz="4" w:space="0"/>
            </w:tcBorders>
            <w:noWrap/>
            <w:vAlign w:val="center"/>
          </w:tcPr>
          <w:p w14:paraId="33F3BF51">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3.64</w:t>
            </w:r>
          </w:p>
        </w:tc>
        <w:tc>
          <w:tcPr>
            <w:tcW w:w="1312" w:type="pct"/>
            <w:tcBorders>
              <w:top w:val="single" w:color="auto" w:sz="4" w:space="0"/>
              <w:left w:val="nil"/>
              <w:bottom w:val="single" w:color="auto" w:sz="4" w:space="0"/>
              <w:right w:val="single" w:color="000000" w:sz="4" w:space="0"/>
            </w:tcBorders>
            <w:noWrap/>
            <w:vAlign w:val="center"/>
          </w:tcPr>
          <w:p w14:paraId="54EB6F01">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4.00</w:t>
            </w:r>
          </w:p>
        </w:tc>
        <w:tc>
          <w:tcPr>
            <w:tcW w:w="901" w:type="pct"/>
            <w:tcBorders>
              <w:top w:val="single" w:color="auto" w:sz="4" w:space="0"/>
              <w:left w:val="nil"/>
              <w:bottom w:val="single" w:color="auto" w:sz="4" w:space="0"/>
              <w:right w:val="single" w:color="000000" w:sz="4" w:space="0"/>
            </w:tcBorders>
            <w:noWrap/>
            <w:vAlign w:val="center"/>
          </w:tcPr>
          <w:p w14:paraId="19DB7B87">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2.24</w:t>
            </w:r>
          </w:p>
        </w:tc>
      </w:tr>
      <w:tr w14:paraId="3B9BA6AB">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0802943C">
            <w:pPr>
              <w:widowControl/>
              <w:spacing w:line="360" w:lineRule="exact"/>
              <w:rPr>
                <w:rFonts w:ascii="新宋体" w:hAnsi="新宋体" w:eastAsia="新宋体" w:cs="新宋体"/>
                <w:szCs w:val="21"/>
              </w:rPr>
            </w:pPr>
            <w:r>
              <w:rPr>
                <w:rFonts w:hint="eastAsia" w:ascii="新宋体" w:hAnsi="新宋体" w:eastAsia="新宋体" w:cs="新宋体"/>
                <w:szCs w:val="21"/>
              </w:rPr>
              <w:t>1.公务用车购置和维护经费</w:t>
            </w:r>
          </w:p>
        </w:tc>
        <w:tc>
          <w:tcPr>
            <w:tcW w:w="1053" w:type="pct"/>
            <w:tcBorders>
              <w:top w:val="single" w:color="auto" w:sz="4" w:space="0"/>
              <w:left w:val="nil"/>
              <w:bottom w:val="single" w:color="auto" w:sz="4" w:space="0"/>
              <w:right w:val="single" w:color="000000" w:sz="4" w:space="0"/>
            </w:tcBorders>
            <w:noWrap/>
            <w:vAlign w:val="center"/>
          </w:tcPr>
          <w:p w14:paraId="438E922D">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412F8554">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30F24D65">
            <w:pPr>
              <w:widowControl/>
              <w:spacing w:line="360" w:lineRule="exact"/>
              <w:jc w:val="center"/>
              <w:rPr>
                <w:rFonts w:ascii="新宋体" w:hAnsi="新宋体" w:eastAsia="新宋体" w:cs="新宋体"/>
                <w:szCs w:val="21"/>
              </w:rPr>
            </w:pPr>
          </w:p>
        </w:tc>
      </w:tr>
      <w:tr w14:paraId="6637440D">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4A11B98C">
            <w:pPr>
              <w:widowControl/>
              <w:spacing w:line="360" w:lineRule="exact"/>
              <w:rPr>
                <w:rFonts w:ascii="新宋体" w:hAnsi="新宋体" w:eastAsia="新宋体" w:cs="新宋体"/>
                <w:szCs w:val="21"/>
              </w:rPr>
            </w:pPr>
            <w:r>
              <w:rPr>
                <w:rFonts w:hint="eastAsia" w:ascii="新宋体" w:hAnsi="新宋体" w:eastAsia="新宋体" w:cs="新宋体"/>
                <w:szCs w:val="21"/>
              </w:rPr>
              <w:t>其中：公车购置</w:t>
            </w:r>
          </w:p>
        </w:tc>
        <w:tc>
          <w:tcPr>
            <w:tcW w:w="1053" w:type="pct"/>
            <w:tcBorders>
              <w:top w:val="single" w:color="auto" w:sz="4" w:space="0"/>
              <w:left w:val="nil"/>
              <w:bottom w:val="single" w:color="auto" w:sz="4" w:space="0"/>
              <w:right w:val="single" w:color="000000" w:sz="4" w:space="0"/>
            </w:tcBorders>
            <w:noWrap/>
            <w:vAlign w:val="center"/>
          </w:tcPr>
          <w:p w14:paraId="26B6E7F6">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1A2BFE7D">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497C1EF2">
            <w:pPr>
              <w:widowControl/>
              <w:spacing w:line="360" w:lineRule="exact"/>
              <w:jc w:val="center"/>
              <w:rPr>
                <w:rFonts w:ascii="新宋体" w:hAnsi="新宋体" w:eastAsia="新宋体" w:cs="新宋体"/>
                <w:szCs w:val="21"/>
              </w:rPr>
            </w:pPr>
          </w:p>
        </w:tc>
      </w:tr>
      <w:tr w14:paraId="10AC82C7">
        <w:tblPrEx>
          <w:tblCellMar>
            <w:top w:w="0" w:type="dxa"/>
            <w:left w:w="108" w:type="dxa"/>
            <w:bottom w:w="0" w:type="dxa"/>
            <w:right w:w="108" w:type="dxa"/>
          </w:tblCellMar>
        </w:tblPrEx>
        <w:trPr>
          <w:trHeight w:val="457" w:hRule="atLeast"/>
          <w:jc w:val="center"/>
        </w:trPr>
        <w:tc>
          <w:tcPr>
            <w:tcW w:w="1733" w:type="pct"/>
            <w:tcBorders>
              <w:top w:val="nil"/>
              <w:left w:val="single" w:color="auto" w:sz="4" w:space="0"/>
              <w:bottom w:val="single" w:color="auto" w:sz="4" w:space="0"/>
              <w:right w:val="single" w:color="auto" w:sz="4" w:space="0"/>
            </w:tcBorders>
            <w:noWrap/>
            <w:vAlign w:val="center"/>
          </w:tcPr>
          <w:p w14:paraId="0F83BA92">
            <w:pPr>
              <w:widowControl/>
              <w:spacing w:line="360" w:lineRule="exact"/>
              <w:rPr>
                <w:rFonts w:ascii="新宋体" w:hAnsi="新宋体" w:eastAsia="新宋体" w:cs="新宋体"/>
                <w:szCs w:val="21"/>
              </w:rPr>
            </w:pPr>
            <w:r>
              <w:rPr>
                <w:rFonts w:hint="eastAsia" w:ascii="新宋体" w:hAnsi="新宋体" w:eastAsia="新宋体" w:cs="新宋体"/>
                <w:szCs w:val="21"/>
              </w:rPr>
              <w:t>公车运行维护</w:t>
            </w:r>
          </w:p>
        </w:tc>
        <w:tc>
          <w:tcPr>
            <w:tcW w:w="1053" w:type="pct"/>
            <w:tcBorders>
              <w:top w:val="single" w:color="auto" w:sz="4" w:space="0"/>
              <w:left w:val="nil"/>
              <w:bottom w:val="single" w:color="auto" w:sz="4" w:space="0"/>
              <w:right w:val="single" w:color="000000" w:sz="4" w:space="0"/>
            </w:tcBorders>
            <w:noWrap/>
            <w:vAlign w:val="center"/>
          </w:tcPr>
          <w:p w14:paraId="3536EFAF">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451098E7">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38DFCF58">
            <w:pPr>
              <w:widowControl/>
              <w:spacing w:line="360" w:lineRule="exact"/>
              <w:jc w:val="center"/>
              <w:rPr>
                <w:rFonts w:ascii="新宋体" w:hAnsi="新宋体" w:eastAsia="新宋体" w:cs="新宋体"/>
                <w:szCs w:val="21"/>
              </w:rPr>
            </w:pPr>
          </w:p>
        </w:tc>
      </w:tr>
      <w:tr w14:paraId="21A8F878">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71628D1D">
            <w:pPr>
              <w:widowControl/>
              <w:spacing w:line="360" w:lineRule="exact"/>
              <w:rPr>
                <w:rFonts w:ascii="新宋体" w:hAnsi="新宋体" w:eastAsia="新宋体" w:cs="新宋体"/>
                <w:szCs w:val="21"/>
              </w:rPr>
            </w:pPr>
            <w:r>
              <w:rPr>
                <w:rFonts w:hint="eastAsia" w:ascii="新宋体" w:hAnsi="新宋体" w:eastAsia="新宋体" w:cs="新宋体"/>
                <w:szCs w:val="21"/>
              </w:rPr>
              <w:t>2.出国经费</w:t>
            </w:r>
          </w:p>
        </w:tc>
        <w:tc>
          <w:tcPr>
            <w:tcW w:w="1053" w:type="pct"/>
            <w:tcBorders>
              <w:top w:val="single" w:color="auto" w:sz="4" w:space="0"/>
              <w:left w:val="nil"/>
              <w:bottom w:val="single" w:color="auto" w:sz="4" w:space="0"/>
              <w:right w:val="single" w:color="000000" w:sz="4" w:space="0"/>
            </w:tcBorders>
            <w:noWrap/>
            <w:vAlign w:val="center"/>
          </w:tcPr>
          <w:p w14:paraId="4ABD7DD1">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2FA04C8E">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69AA222E">
            <w:pPr>
              <w:widowControl/>
              <w:spacing w:line="360" w:lineRule="exact"/>
              <w:jc w:val="center"/>
              <w:rPr>
                <w:rFonts w:ascii="新宋体" w:hAnsi="新宋体" w:eastAsia="新宋体" w:cs="新宋体"/>
                <w:szCs w:val="21"/>
              </w:rPr>
            </w:pPr>
          </w:p>
        </w:tc>
      </w:tr>
      <w:tr w14:paraId="436E2A38">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2D16FD83">
            <w:pPr>
              <w:widowControl/>
              <w:spacing w:line="360" w:lineRule="exact"/>
              <w:rPr>
                <w:rFonts w:ascii="新宋体" w:hAnsi="新宋体" w:eastAsia="新宋体" w:cs="新宋体"/>
                <w:szCs w:val="21"/>
              </w:rPr>
            </w:pPr>
            <w:r>
              <w:rPr>
                <w:rFonts w:hint="eastAsia" w:ascii="新宋体" w:hAnsi="新宋体" w:eastAsia="新宋体" w:cs="新宋体"/>
                <w:szCs w:val="21"/>
              </w:rPr>
              <w:t>3.公务接待</w:t>
            </w:r>
          </w:p>
        </w:tc>
        <w:tc>
          <w:tcPr>
            <w:tcW w:w="1053" w:type="pct"/>
            <w:tcBorders>
              <w:top w:val="single" w:color="auto" w:sz="4" w:space="0"/>
              <w:left w:val="nil"/>
              <w:bottom w:val="single" w:color="auto" w:sz="4" w:space="0"/>
              <w:right w:val="single" w:color="000000" w:sz="4" w:space="0"/>
            </w:tcBorders>
            <w:noWrap/>
            <w:vAlign w:val="center"/>
          </w:tcPr>
          <w:p w14:paraId="5F29B1D0">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3.64</w:t>
            </w:r>
          </w:p>
        </w:tc>
        <w:tc>
          <w:tcPr>
            <w:tcW w:w="1312" w:type="pct"/>
            <w:tcBorders>
              <w:top w:val="single" w:color="auto" w:sz="4" w:space="0"/>
              <w:left w:val="nil"/>
              <w:bottom w:val="single" w:color="auto" w:sz="4" w:space="0"/>
              <w:right w:val="single" w:color="000000" w:sz="4" w:space="0"/>
            </w:tcBorders>
            <w:noWrap/>
            <w:vAlign w:val="center"/>
          </w:tcPr>
          <w:p w14:paraId="2AF85405">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4.00</w:t>
            </w:r>
          </w:p>
        </w:tc>
        <w:tc>
          <w:tcPr>
            <w:tcW w:w="901" w:type="pct"/>
            <w:tcBorders>
              <w:top w:val="single" w:color="auto" w:sz="4" w:space="0"/>
              <w:left w:val="nil"/>
              <w:bottom w:val="single" w:color="auto" w:sz="4" w:space="0"/>
              <w:right w:val="single" w:color="000000" w:sz="4" w:space="0"/>
            </w:tcBorders>
            <w:noWrap/>
            <w:vAlign w:val="center"/>
          </w:tcPr>
          <w:p w14:paraId="6D511EC5">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2.24</w:t>
            </w:r>
          </w:p>
        </w:tc>
      </w:tr>
      <w:tr w14:paraId="2D014751">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73170EFA">
            <w:pPr>
              <w:widowControl/>
              <w:spacing w:line="360" w:lineRule="exact"/>
              <w:rPr>
                <w:rFonts w:ascii="新宋体" w:hAnsi="新宋体" w:eastAsia="新宋体" w:cs="新宋体"/>
                <w:szCs w:val="21"/>
              </w:rPr>
            </w:pPr>
            <w:r>
              <w:rPr>
                <w:rFonts w:hint="eastAsia" w:ascii="新宋体" w:hAnsi="新宋体" w:eastAsia="新宋体" w:cs="新宋体"/>
                <w:szCs w:val="21"/>
              </w:rPr>
              <w:t>二、项目支出：</w:t>
            </w:r>
          </w:p>
        </w:tc>
        <w:tc>
          <w:tcPr>
            <w:tcW w:w="1053" w:type="pct"/>
            <w:tcBorders>
              <w:top w:val="single" w:color="auto" w:sz="4" w:space="0"/>
              <w:left w:val="nil"/>
              <w:bottom w:val="single" w:color="auto" w:sz="4" w:space="0"/>
              <w:right w:val="single" w:color="000000" w:sz="4" w:space="0"/>
            </w:tcBorders>
            <w:noWrap/>
            <w:vAlign w:val="center"/>
          </w:tcPr>
          <w:p w14:paraId="7000C73B">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412.53</w:t>
            </w:r>
          </w:p>
        </w:tc>
        <w:tc>
          <w:tcPr>
            <w:tcW w:w="1312" w:type="pct"/>
            <w:tcBorders>
              <w:top w:val="single" w:color="auto" w:sz="4" w:space="0"/>
              <w:left w:val="nil"/>
              <w:bottom w:val="single" w:color="auto" w:sz="4" w:space="0"/>
              <w:right w:val="single" w:color="000000" w:sz="4" w:space="0"/>
            </w:tcBorders>
            <w:noWrap/>
            <w:vAlign w:val="center"/>
          </w:tcPr>
          <w:p w14:paraId="23101DB2">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4CD3CEE7">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368.68</w:t>
            </w:r>
          </w:p>
        </w:tc>
      </w:tr>
      <w:tr w14:paraId="777DF146">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4169B8A9">
            <w:pPr>
              <w:widowControl/>
              <w:jc w:val="left"/>
              <w:textAlignment w:val="center"/>
              <w:rPr>
                <w:rFonts w:ascii="新宋体" w:hAnsi="新宋体" w:eastAsia="新宋体" w:cs="新宋体"/>
                <w:szCs w:val="21"/>
              </w:rPr>
            </w:pPr>
            <w:r>
              <w:rPr>
                <w:rFonts w:hint="eastAsia" w:ascii="宋体" w:hAnsi="宋体" w:cs="宋体"/>
                <w:color w:val="000000"/>
                <w:kern w:val="0"/>
                <w:sz w:val="22"/>
                <w:szCs w:val="22"/>
              </w:rPr>
              <w:t>一般公共服务支出</w:t>
            </w:r>
          </w:p>
        </w:tc>
        <w:tc>
          <w:tcPr>
            <w:tcW w:w="1053" w:type="pct"/>
            <w:tcBorders>
              <w:top w:val="single" w:color="auto" w:sz="4" w:space="0"/>
              <w:left w:val="nil"/>
              <w:bottom w:val="single" w:color="auto" w:sz="4" w:space="0"/>
              <w:right w:val="single" w:color="000000" w:sz="4" w:space="0"/>
            </w:tcBorders>
            <w:noWrap/>
            <w:vAlign w:val="center"/>
          </w:tcPr>
          <w:p w14:paraId="34E7C441">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077422E3">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7E9AB80E">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15.00</w:t>
            </w:r>
          </w:p>
        </w:tc>
      </w:tr>
      <w:tr w14:paraId="35C67C9E">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750626D9">
            <w:pPr>
              <w:widowControl/>
              <w:jc w:val="left"/>
              <w:textAlignment w:val="center"/>
              <w:rPr>
                <w:rFonts w:ascii="新宋体" w:hAnsi="新宋体" w:eastAsia="新宋体" w:cs="新宋体"/>
                <w:szCs w:val="21"/>
              </w:rPr>
            </w:pPr>
            <w:r>
              <w:rPr>
                <w:rFonts w:hint="eastAsia" w:ascii="宋体" w:hAnsi="宋体" w:cs="宋体"/>
                <w:color w:val="000000"/>
                <w:kern w:val="0"/>
                <w:sz w:val="22"/>
                <w:szCs w:val="22"/>
              </w:rPr>
              <w:t>文化旅游体育与传媒支出</w:t>
            </w:r>
          </w:p>
        </w:tc>
        <w:tc>
          <w:tcPr>
            <w:tcW w:w="1053" w:type="pct"/>
            <w:tcBorders>
              <w:top w:val="single" w:color="auto" w:sz="4" w:space="0"/>
              <w:left w:val="nil"/>
              <w:bottom w:val="single" w:color="auto" w:sz="4" w:space="0"/>
              <w:right w:val="single" w:color="000000" w:sz="4" w:space="0"/>
            </w:tcBorders>
            <w:noWrap/>
            <w:vAlign w:val="center"/>
          </w:tcPr>
          <w:p w14:paraId="02B27EDB">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2E8AF9B6">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4EB48A5F">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330.18</w:t>
            </w:r>
          </w:p>
        </w:tc>
      </w:tr>
      <w:tr w14:paraId="02ABE175">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4411C13E">
            <w:pPr>
              <w:widowControl/>
              <w:jc w:val="left"/>
              <w:textAlignment w:val="center"/>
              <w:rPr>
                <w:rFonts w:ascii="新宋体" w:hAnsi="新宋体" w:eastAsia="新宋体" w:cs="新宋体"/>
                <w:szCs w:val="21"/>
              </w:rPr>
            </w:pPr>
            <w:r>
              <w:rPr>
                <w:rFonts w:hint="eastAsia" w:ascii="宋体" w:hAnsi="宋体" w:cs="宋体"/>
                <w:color w:val="000000"/>
                <w:kern w:val="0"/>
                <w:sz w:val="22"/>
                <w:szCs w:val="22"/>
              </w:rPr>
              <w:t>社会保障和就业支出</w:t>
            </w:r>
          </w:p>
        </w:tc>
        <w:tc>
          <w:tcPr>
            <w:tcW w:w="1053" w:type="pct"/>
            <w:tcBorders>
              <w:top w:val="single" w:color="auto" w:sz="4" w:space="0"/>
              <w:left w:val="nil"/>
              <w:bottom w:val="single" w:color="auto" w:sz="4" w:space="0"/>
              <w:right w:val="single" w:color="000000" w:sz="4" w:space="0"/>
            </w:tcBorders>
            <w:noWrap/>
            <w:vAlign w:val="center"/>
          </w:tcPr>
          <w:p w14:paraId="4E89F3F3">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757A8AA2">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1F715007">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4.00</w:t>
            </w:r>
          </w:p>
        </w:tc>
      </w:tr>
      <w:tr w14:paraId="179C83A8">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540F6985">
            <w:pPr>
              <w:widowControl/>
              <w:jc w:val="left"/>
              <w:textAlignment w:val="center"/>
              <w:rPr>
                <w:rFonts w:ascii="新宋体" w:hAnsi="新宋体" w:eastAsia="新宋体" w:cs="新宋体"/>
                <w:szCs w:val="21"/>
              </w:rPr>
            </w:pPr>
            <w:r>
              <w:rPr>
                <w:rFonts w:hint="eastAsia" w:ascii="新宋体" w:hAnsi="新宋体" w:eastAsia="新宋体" w:cs="新宋体"/>
                <w:szCs w:val="21"/>
              </w:rPr>
              <w:t>“四上”企业资金</w:t>
            </w:r>
          </w:p>
        </w:tc>
        <w:tc>
          <w:tcPr>
            <w:tcW w:w="1053" w:type="pct"/>
            <w:tcBorders>
              <w:top w:val="single" w:color="auto" w:sz="4" w:space="0"/>
              <w:left w:val="nil"/>
              <w:bottom w:val="single" w:color="auto" w:sz="4" w:space="0"/>
              <w:right w:val="single" w:color="000000" w:sz="4" w:space="0"/>
            </w:tcBorders>
            <w:noWrap/>
            <w:vAlign w:val="center"/>
          </w:tcPr>
          <w:p w14:paraId="2F1F0832">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6C831368">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51D696BB">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12.50</w:t>
            </w:r>
          </w:p>
        </w:tc>
      </w:tr>
      <w:tr w14:paraId="22B5AEB5">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7F06C410">
            <w:pPr>
              <w:widowControl/>
              <w:jc w:val="left"/>
              <w:textAlignment w:val="center"/>
              <w:rPr>
                <w:rFonts w:ascii="新宋体" w:hAnsi="新宋体" w:eastAsia="新宋体" w:cs="新宋体"/>
                <w:szCs w:val="21"/>
              </w:rPr>
            </w:pPr>
            <w:r>
              <w:rPr>
                <w:rFonts w:hint="eastAsia" w:ascii="宋体" w:hAnsi="宋体" w:cs="宋体"/>
                <w:color w:val="000000"/>
                <w:kern w:val="0"/>
                <w:sz w:val="22"/>
                <w:szCs w:val="22"/>
              </w:rPr>
              <w:t>彩票公益金安排的支出</w:t>
            </w:r>
          </w:p>
        </w:tc>
        <w:tc>
          <w:tcPr>
            <w:tcW w:w="1053" w:type="pct"/>
            <w:tcBorders>
              <w:top w:val="single" w:color="auto" w:sz="4" w:space="0"/>
              <w:left w:val="nil"/>
              <w:bottom w:val="single" w:color="auto" w:sz="4" w:space="0"/>
              <w:right w:val="single" w:color="000000" w:sz="4" w:space="0"/>
            </w:tcBorders>
            <w:noWrap/>
            <w:vAlign w:val="center"/>
          </w:tcPr>
          <w:p w14:paraId="329FD026">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7BEA7341">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260BD509">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5.00</w:t>
            </w:r>
          </w:p>
        </w:tc>
      </w:tr>
      <w:tr w14:paraId="17E9484C">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2A55DDA8">
            <w:pPr>
              <w:widowControl/>
              <w:jc w:val="left"/>
              <w:textAlignment w:val="center"/>
              <w:rPr>
                <w:rFonts w:ascii="新宋体" w:hAnsi="新宋体" w:eastAsia="新宋体" w:cs="新宋体"/>
                <w:szCs w:val="21"/>
              </w:rPr>
            </w:pPr>
            <w:r>
              <w:rPr>
                <w:rFonts w:hint="eastAsia" w:ascii="宋体" w:hAnsi="宋体" w:cs="宋体"/>
                <w:color w:val="000000"/>
                <w:kern w:val="0"/>
                <w:sz w:val="22"/>
                <w:szCs w:val="22"/>
              </w:rPr>
              <w:t>对企业补助</w:t>
            </w:r>
          </w:p>
        </w:tc>
        <w:tc>
          <w:tcPr>
            <w:tcW w:w="1053" w:type="pct"/>
            <w:tcBorders>
              <w:top w:val="single" w:color="auto" w:sz="4" w:space="0"/>
              <w:left w:val="nil"/>
              <w:bottom w:val="single" w:color="auto" w:sz="4" w:space="0"/>
              <w:right w:val="single" w:color="000000" w:sz="4" w:space="0"/>
            </w:tcBorders>
            <w:noWrap/>
            <w:vAlign w:val="center"/>
          </w:tcPr>
          <w:p w14:paraId="35ED052B">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71A26BC6">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48B66A99">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2.00</w:t>
            </w:r>
          </w:p>
        </w:tc>
      </w:tr>
      <w:tr w14:paraId="0D9BB932">
        <w:tblPrEx>
          <w:tblCellMar>
            <w:top w:w="0" w:type="dxa"/>
            <w:left w:w="108" w:type="dxa"/>
            <w:bottom w:w="0" w:type="dxa"/>
            <w:right w:w="108" w:type="dxa"/>
          </w:tblCellMar>
        </w:tblPrEx>
        <w:trPr>
          <w:trHeight w:val="539" w:hRule="atLeast"/>
          <w:jc w:val="center"/>
        </w:trPr>
        <w:tc>
          <w:tcPr>
            <w:tcW w:w="1733" w:type="pct"/>
            <w:tcBorders>
              <w:top w:val="single" w:color="auto" w:sz="4" w:space="0"/>
              <w:left w:val="single" w:color="auto" w:sz="4" w:space="0"/>
              <w:bottom w:val="single" w:color="auto" w:sz="4" w:space="0"/>
              <w:right w:val="single" w:color="auto" w:sz="4" w:space="0"/>
            </w:tcBorders>
            <w:noWrap/>
            <w:vAlign w:val="center"/>
          </w:tcPr>
          <w:p w14:paraId="08CFE413">
            <w:pPr>
              <w:widowControl/>
              <w:spacing w:line="360" w:lineRule="exact"/>
              <w:rPr>
                <w:rFonts w:ascii="新宋体" w:hAnsi="新宋体" w:eastAsia="新宋体" w:cs="新宋体"/>
                <w:szCs w:val="21"/>
              </w:rPr>
            </w:pPr>
            <w:r>
              <w:rPr>
                <w:rFonts w:hint="eastAsia" w:ascii="新宋体" w:hAnsi="新宋体" w:eastAsia="新宋体" w:cs="新宋体"/>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ign w:val="center"/>
          </w:tcPr>
          <w:p w14:paraId="631B9B06">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减少不必要的开支</w:t>
            </w:r>
          </w:p>
        </w:tc>
      </w:tr>
    </w:tbl>
    <w:p w14:paraId="4F485A65">
      <w:pPr>
        <w:widowControl/>
        <w:spacing w:line="400" w:lineRule="exact"/>
        <w:jc w:val="left"/>
        <w:rPr>
          <w:rFonts w:eastAsia="仿宋_GB2312"/>
          <w:sz w:val="22"/>
        </w:rPr>
      </w:pPr>
      <w:r>
        <w:rPr>
          <w:rFonts w:hint="eastAsia" w:ascii="新宋体" w:hAnsi="新宋体" w:eastAsia="新宋体" w:cs="新宋体"/>
          <w:szCs w:val="21"/>
        </w:rPr>
        <w:t>说明：以上数据均来源于部门决算报表，其中“基本支出”数据参照基本支出决算明细表（财决05-1表）；“三公经费”数据参照机构运行信息表（财决附03表）；“项目支出”数据参照项目支出决算明细表（财决05-2表）。</w:t>
      </w:r>
    </w:p>
    <w:p w14:paraId="57ABE1D0">
      <w:pPr>
        <w:widowControl/>
        <w:spacing w:line="400" w:lineRule="exact"/>
        <w:jc w:val="left"/>
        <w:rPr>
          <w:rFonts w:eastAsia="黑体"/>
          <w:sz w:val="32"/>
          <w:szCs w:val="32"/>
        </w:rPr>
      </w:pPr>
      <w:r>
        <w:rPr>
          <w:rFonts w:eastAsia="仿宋_GB2312"/>
          <w:sz w:val="22"/>
        </w:rPr>
        <w:t>填表人：</w:t>
      </w:r>
      <w:r>
        <w:rPr>
          <w:rFonts w:hint="eastAsia" w:eastAsia="仿宋_GB2312"/>
          <w:sz w:val="22"/>
        </w:rPr>
        <w:t>李文广</w:t>
      </w:r>
      <w:r>
        <w:rPr>
          <w:rFonts w:eastAsia="仿宋_GB2312"/>
          <w:sz w:val="22"/>
        </w:rPr>
        <w:t xml:space="preserve"> 填报日期：</w:t>
      </w:r>
      <w:r>
        <w:rPr>
          <w:rFonts w:hint="eastAsia" w:eastAsia="仿宋_GB2312"/>
          <w:sz w:val="22"/>
        </w:rPr>
        <w:t>2023.7.12</w:t>
      </w:r>
      <w:r>
        <w:rPr>
          <w:rFonts w:eastAsia="仿宋_GB2312"/>
          <w:sz w:val="22"/>
        </w:rPr>
        <w:t xml:space="preserve">  联系电话：</w:t>
      </w:r>
      <w:r>
        <w:rPr>
          <w:rFonts w:hint="eastAsia" w:eastAsia="仿宋_GB2312"/>
          <w:sz w:val="22"/>
        </w:rPr>
        <w:t>13607405252</w:t>
      </w:r>
      <w:r>
        <w:rPr>
          <w:rFonts w:eastAsia="仿宋_GB2312"/>
          <w:sz w:val="22"/>
        </w:rPr>
        <w:t xml:space="preserve">  单位负责人签字：</w:t>
      </w:r>
      <w:r>
        <w:rPr>
          <w:rFonts w:eastAsia="仿宋_GB2312"/>
          <w:sz w:val="22"/>
        </w:rPr>
        <w:br w:type="page"/>
      </w:r>
      <w:r>
        <w:rPr>
          <w:rFonts w:ascii="黑体" w:hAnsi="黑体" w:eastAsia="黑体" w:cs="黑体"/>
          <w:sz w:val="32"/>
          <w:szCs w:val="32"/>
        </w:rPr>
        <w:t>附件</w:t>
      </w:r>
      <w:r>
        <w:rPr>
          <w:rFonts w:hint="eastAsia" w:ascii="黑体" w:hAnsi="黑体" w:eastAsia="黑体" w:cs="黑体"/>
          <w:sz w:val="32"/>
          <w:szCs w:val="32"/>
        </w:rPr>
        <w:t>2</w:t>
      </w:r>
    </w:p>
    <w:p w14:paraId="0FAAAF9D">
      <w:pPr>
        <w:spacing w:beforeLines="50" w:afterLines="100"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2022年度部门整体支出绩效自评表</w:t>
      </w:r>
    </w:p>
    <w:tbl>
      <w:tblPr>
        <w:tblStyle w:val="14"/>
        <w:tblW w:w="4995" w:type="pct"/>
        <w:jc w:val="center"/>
        <w:tblLayout w:type="fixed"/>
        <w:tblCellMar>
          <w:top w:w="0" w:type="dxa"/>
          <w:left w:w="108" w:type="dxa"/>
          <w:bottom w:w="0" w:type="dxa"/>
          <w:right w:w="108" w:type="dxa"/>
        </w:tblCellMar>
      </w:tblPr>
      <w:tblGrid>
        <w:gridCol w:w="877"/>
        <w:gridCol w:w="669"/>
        <w:gridCol w:w="943"/>
        <w:gridCol w:w="1754"/>
        <w:gridCol w:w="1201"/>
        <w:gridCol w:w="1132"/>
        <w:gridCol w:w="599"/>
        <w:gridCol w:w="818"/>
        <w:gridCol w:w="1286"/>
      </w:tblGrid>
      <w:tr w14:paraId="6E081F3B">
        <w:tblPrEx>
          <w:tblCellMar>
            <w:top w:w="0" w:type="dxa"/>
            <w:left w:w="108" w:type="dxa"/>
            <w:bottom w:w="0" w:type="dxa"/>
            <w:right w:w="108" w:type="dxa"/>
          </w:tblCellMar>
        </w:tblPrEx>
        <w:trPr>
          <w:trHeight w:val="1003" w:hRule="atLeast"/>
          <w:jc w:val="center"/>
        </w:trPr>
        <w:tc>
          <w:tcPr>
            <w:tcW w:w="472" w:type="pct"/>
            <w:tcBorders>
              <w:top w:val="single" w:color="auto" w:sz="4" w:space="0"/>
              <w:left w:val="single" w:color="auto" w:sz="4" w:space="0"/>
              <w:bottom w:val="single" w:color="auto" w:sz="4" w:space="0"/>
              <w:right w:val="single" w:color="auto" w:sz="4" w:space="0"/>
            </w:tcBorders>
            <w:noWrap/>
            <w:vAlign w:val="center"/>
          </w:tcPr>
          <w:p w14:paraId="73849C7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县级预算部门名称</w:t>
            </w:r>
          </w:p>
        </w:tc>
        <w:tc>
          <w:tcPr>
            <w:tcW w:w="4527" w:type="pct"/>
            <w:gridSpan w:val="8"/>
            <w:tcBorders>
              <w:top w:val="single" w:color="auto" w:sz="4" w:space="0"/>
              <w:left w:val="nil"/>
              <w:bottom w:val="single" w:color="auto" w:sz="4" w:space="0"/>
              <w:right w:val="single" w:color="auto" w:sz="4" w:space="0"/>
            </w:tcBorders>
            <w:noWrap/>
            <w:vAlign w:val="center"/>
          </w:tcPr>
          <w:p w14:paraId="22771437">
            <w:pPr>
              <w:widowControl/>
              <w:spacing w:line="0" w:lineRule="atLeast"/>
              <w:jc w:val="center"/>
              <w:rPr>
                <w:rFonts w:ascii="新宋体" w:hAnsi="新宋体" w:eastAsia="新宋体" w:cs="新宋体"/>
                <w:color w:val="000000"/>
                <w:szCs w:val="21"/>
              </w:rPr>
            </w:pPr>
            <w:r>
              <w:rPr>
                <w:rFonts w:hint="eastAsia" w:eastAsia="仿宋_GB2312"/>
                <w:sz w:val="32"/>
                <w:szCs w:val="32"/>
              </w:rPr>
              <w:t>华容县文化旅游广电局本级</w:t>
            </w:r>
          </w:p>
        </w:tc>
      </w:tr>
      <w:tr w14:paraId="79E546E0">
        <w:tblPrEx>
          <w:tblCellMar>
            <w:top w:w="0" w:type="dxa"/>
            <w:left w:w="108" w:type="dxa"/>
            <w:bottom w:w="0" w:type="dxa"/>
            <w:right w:w="108" w:type="dxa"/>
          </w:tblCellMar>
        </w:tblPrEx>
        <w:trPr>
          <w:trHeight w:val="863" w:hRule="atLeast"/>
          <w:jc w:val="center"/>
        </w:trPr>
        <w:tc>
          <w:tcPr>
            <w:tcW w:w="472" w:type="pct"/>
            <w:vMerge w:val="restart"/>
            <w:tcBorders>
              <w:top w:val="nil"/>
              <w:left w:val="single" w:color="auto" w:sz="4" w:space="0"/>
              <w:right w:val="single" w:color="auto" w:sz="4" w:space="0"/>
            </w:tcBorders>
            <w:noWrap/>
            <w:vAlign w:val="center"/>
          </w:tcPr>
          <w:p w14:paraId="4C7852B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14:paraId="0632EC9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预算</w:t>
            </w:r>
          </w:p>
          <w:p w14:paraId="597BB98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申请</w:t>
            </w:r>
          </w:p>
          <w:p w14:paraId="1B385CE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（万元）</w:t>
            </w:r>
          </w:p>
        </w:tc>
        <w:tc>
          <w:tcPr>
            <w:tcW w:w="868" w:type="pct"/>
            <w:gridSpan w:val="2"/>
            <w:tcBorders>
              <w:top w:val="nil"/>
              <w:left w:val="nil"/>
              <w:bottom w:val="single" w:color="auto" w:sz="4" w:space="0"/>
              <w:right w:val="single" w:color="auto" w:sz="4" w:space="0"/>
            </w:tcBorders>
            <w:noWrap/>
            <w:vAlign w:val="center"/>
          </w:tcPr>
          <w:p w14:paraId="5F5FF408">
            <w:pPr>
              <w:spacing w:line="0" w:lineRule="atLeast"/>
              <w:jc w:val="center"/>
              <w:rPr>
                <w:rFonts w:ascii="新宋体" w:hAnsi="新宋体" w:eastAsia="新宋体" w:cs="新宋体"/>
                <w:szCs w:val="21"/>
              </w:rPr>
            </w:pPr>
          </w:p>
        </w:tc>
        <w:tc>
          <w:tcPr>
            <w:tcW w:w="945" w:type="pct"/>
            <w:tcBorders>
              <w:top w:val="nil"/>
              <w:left w:val="nil"/>
              <w:bottom w:val="single" w:color="auto" w:sz="4" w:space="0"/>
              <w:right w:val="single" w:color="auto" w:sz="4" w:space="0"/>
            </w:tcBorders>
            <w:noWrap/>
            <w:vAlign w:val="center"/>
          </w:tcPr>
          <w:p w14:paraId="42362F56">
            <w:pPr>
              <w:spacing w:line="0" w:lineRule="atLeast"/>
              <w:jc w:val="center"/>
              <w:rPr>
                <w:rFonts w:ascii="新宋体" w:hAnsi="新宋体" w:eastAsia="新宋体" w:cs="新宋体"/>
                <w:szCs w:val="21"/>
              </w:rPr>
            </w:pPr>
            <w:r>
              <w:rPr>
                <w:rFonts w:hint="eastAsia" w:ascii="新宋体" w:hAnsi="新宋体" w:eastAsia="新宋体" w:cs="新宋体"/>
                <w:szCs w:val="21"/>
              </w:rPr>
              <w:t>年初</w:t>
            </w:r>
          </w:p>
          <w:p w14:paraId="4866A457">
            <w:pPr>
              <w:spacing w:line="0" w:lineRule="atLeast"/>
              <w:jc w:val="center"/>
              <w:rPr>
                <w:rFonts w:ascii="新宋体" w:hAnsi="新宋体" w:eastAsia="新宋体" w:cs="新宋体"/>
                <w:szCs w:val="21"/>
              </w:rPr>
            </w:pPr>
            <w:r>
              <w:rPr>
                <w:rFonts w:hint="eastAsia" w:ascii="新宋体" w:hAnsi="新宋体" w:eastAsia="新宋体" w:cs="新宋体"/>
                <w:szCs w:val="21"/>
              </w:rPr>
              <w:t>预算数</w:t>
            </w:r>
          </w:p>
        </w:tc>
        <w:tc>
          <w:tcPr>
            <w:tcW w:w="646" w:type="pct"/>
            <w:tcBorders>
              <w:top w:val="nil"/>
              <w:left w:val="nil"/>
              <w:bottom w:val="single" w:color="auto" w:sz="4" w:space="0"/>
              <w:right w:val="single" w:color="auto" w:sz="4" w:space="0"/>
            </w:tcBorders>
            <w:noWrap/>
            <w:vAlign w:val="center"/>
          </w:tcPr>
          <w:p w14:paraId="74BD7107">
            <w:pPr>
              <w:spacing w:line="0" w:lineRule="atLeast"/>
              <w:jc w:val="center"/>
              <w:rPr>
                <w:rFonts w:ascii="新宋体" w:hAnsi="新宋体" w:eastAsia="新宋体" w:cs="新宋体"/>
                <w:szCs w:val="21"/>
              </w:rPr>
            </w:pPr>
            <w:r>
              <w:rPr>
                <w:rFonts w:hint="eastAsia" w:ascii="新宋体" w:hAnsi="新宋体" w:eastAsia="新宋体" w:cs="新宋体"/>
                <w:szCs w:val="21"/>
              </w:rPr>
              <w:t>全年</w:t>
            </w:r>
          </w:p>
          <w:p w14:paraId="1F297106">
            <w:pPr>
              <w:spacing w:line="0" w:lineRule="atLeast"/>
              <w:jc w:val="center"/>
              <w:rPr>
                <w:rFonts w:ascii="新宋体" w:hAnsi="新宋体" w:eastAsia="新宋体" w:cs="新宋体"/>
                <w:szCs w:val="21"/>
              </w:rPr>
            </w:pPr>
            <w:r>
              <w:rPr>
                <w:rFonts w:hint="eastAsia" w:ascii="新宋体" w:hAnsi="新宋体" w:eastAsia="新宋体" w:cs="新宋体"/>
                <w:szCs w:val="21"/>
              </w:rPr>
              <w:t>预算数</w:t>
            </w:r>
          </w:p>
        </w:tc>
        <w:tc>
          <w:tcPr>
            <w:tcW w:w="610" w:type="pct"/>
            <w:tcBorders>
              <w:top w:val="nil"/>
              <w:left w:val="nil"/>
              <w:bottom w:val="single" w:color="auto" w:sz="4" w:space="0"/>
              <w:right w:val="single" w:color="auto" w:sz="4" w:space="0"/>
            </w:tcBorders>
            <w:noWrap/>
            <w:vAlign w:val="center"/>
          </w:tcPr>
          <w:p w14:paraId="1BD89519">
            <w:pPr>
              <w:spacing w:line="0" w:lineRule="atLeast"/>
              <w:jc w:val="center"/>
              <w:rPr>
                <w:rFonts w:ascii="新宋体" w:hAnsi="新宋体" w:eastAsia="新宋体" w:cs="新宋体"/>
                <w:szCs w:val="21"/>
              </w:rPr>
            </w:pPr>
            <w:r>
              <w:rPr>
                <w:rFonts w:hint="eastAsia" w:ascii="新宋体" w:hAnsi="新宋体" w:eastAsia="新宋体" w:cs="新宋体"/>
                <w:szCs w:val="21"/>
              </w:rPr>
              <w:t>全年</w:t>
            </w:r>
          </w:p>
          <w:p w14:paraId="08BFC280">
            <w:pPr>
              <w:spacing w:line="0" w:lineRule="atLeast"/>
              <w:jc w:val="center"/>
              <w:rPr>
                <w:rFonts w:ascii="新宋体" w:hAnsi="新宋体" w:eastAsia="新宋体" w:cs="新宋体"/>
                <w:szCs w:val="21"/>
              </w:rPr>
            </w:pPr>
            <w:r>
              <w:rPr>
                <w:rFonts w:hint="eastAsia" w:ascii="新宋体" w:hAnsi="新宋体" w:eastAsia="新宋体" w:cs="新宋体"/>
                <w:szCs w:val="21"/>
              </w:rPr>
              <w:t>执行数</w:t>
            </w:r>
          </w:p>
        </w:tc>
        <w:tc>
          <w:tcPr>
            <w:tcW w:w="323" w:type="pct"/>
            <w:tcBorders>
              <w:top w:val="nil"/>
              <w:left w:val="nil"/>
              <w:bottom w:val="single" w:color="auto" w:sz="4" w:space="0"/>
              <w:right w:val="single" w:color="auto" w:sz="4" w:space="0"/>
            </w:tcBorders>
            <w:noWrap/>
            <w:vAlign w:val="center"/>
          </w:tcPr>
          <w:p w14:paraId="3702F389">
            <w:pPr>
              <w:spacing w:line="0" w:lineRule="atLeast"/>
              <w:jc w:val="center"/>
              <w:rPr>
                <w:rFonts w:ascii="新宋体" w:hAnsi="新宋体" w:eastAsia="新宋体" w:cs="新宋体"/>
                <w:szCs w:val="21"/>
              </w:rPr>
            </w:pPr>
            <w:r>
              <w:rPr>
                <w:rFonts w:hint="eastAsia" w:ascii="新宋体" w:hAnsi="新宋体" w:eastAsia="新宋体" w:cs="新宋体"/>
                <w:szCs w:val="21"/>
              </w:rPr>
              <w:t>分值</w:t>
            </w:r>
          </w:p>
        </w:tc>
        <w:tc>
          <w:tcPr>
            <w:tcW w:w="441" w:type="pct"/>
            <w:tcBorders>
              <w:top w:val="nil"/>
              <w:left w:val="nil"/>
              <w:bottom w:val="single" w:color="auto" w:sz="4" w:space="0"/>
              <w:right w:val="single" w:color="auto" w:sz="4" w:space="0"/>
            </w:tcBorders>
            <w:noWrap/>
            <w:vAlign w:val="center"/>
          </w:tcPr>
          <w:p w14:paraId="0D6EF97D">
            <w:pPr>
              <w:spacing w:line="0" w:lineRule="atLeast"/>
              <w:jc w:val="center"/>
              <w:rPr>
                <w:rFonts w:ascii="新宋体" w:hAnsi="新宋体" w:eastAsia="新宋体" w:cs="新宋体"/>
                <w:szCs w:val="21"/>
              </w:rPr>
            </w:pPr>
            <w:r>
              <w:rPr>
                <w:rFonts w:hint="eastAsia" w:ascii="新宋体" w:hAnsi="新宋体" w:eastAsia="新宋体" w:cs="新宋体"/>
                <w:szCs w:val="21"/>
              </w:rPr>
              <w:t>执行率</w:t>
            </w:r>
          </w:p>
        </w:tc>
        <w:tc>
          <w:tcPr>
            <w:tcW w:w="692" w:type="pct"/>
            <w:tcBorders>
              <w:top w:val="nil"/>
              <w:left w:val="nil"/>
              <w:bottom w:val="single" w:color="auto" w:sz="4" w:space="0"/>
              <w:right w:val="single" w:color="auto" w:sz="4" w:space="0"/>
            </w:tcBorders>
            <w:noWrap/>
            <w:vAlign w:val="center"/>
          </w:tcPr>
          <w:p w14:paraId="718EBFAD">
            <w:pPr>
              <w:spacing w:line="0" w:lineRule="atLeast"/>
              <w:jc w:val="center"/>
              <w:rPr>
                <w:rFonts w:ascii="新宋体" w:hAnsi="新宋体" w:eastAsia="新宋体" w:cs="新宋体"/>
                <w:szCs w:val="21"/>
              </w:rPr>
            </w:pPr>
            <w:r>
              <w:rPr>
                <w:rFonts w:hint="eastAsia" w:ascii="新宋体" w:hAnsi="新宋体" w:eastAsia="新宋体" w:cs="新宋体"/>
                <w:szCs w:val="21"/>
              </w:rPr>
              <w:t>得分</w:t>
            </w:r>
          </w:p>
        </w:tc>
      </w:tr>
      <w:tr w14:paraId="2D1B888E">
        <w:tblPrEx>
          <w:tblCellMar>
            <w:top w:w="0" w:type="dxa"/>
            <w:left w:w="108" w:type="dxa"/>
            <w:bottom w:w="0" w:type="dxa"/>
            <w:right w:w="108" w:type="dxa"/>
          </w:tblCellMar>
        </w:tblPrEx>
        <w:trPr>
          <w:trHeight w:val="462" w:hRule="atLeast"/>
          <w:jc w:val="center"/>
        </w:trPr>
        <w:tc>
          <w:tcPr>
            <w:tcW w:w="472" w:type="pct"/>
            <w:vMerge w:val="continue"/>
            <w:tcBorders>
              <w:top w:val="nil"/>
              <w:left w:val="single" w:color="auto" w:sz="4" w:space="0"/>
              <w:right w:val="single" w:color="auto" w:sz="4" w:space="0"/>
            </w:tcBorders>
            <w:noWrap/>
            <w:vAlign w:val="center"/>
          </w:tcPr>
          <w:p w14:paraId="2D9AC649">
            <w:pPr>
              <w:widowControl/>
              <w:spacing w:line="0" w:lineRule="atLeast"/>
              <w:jc w:val="center"/>
              <w:rPr>
                <w:rFonts w:ascii="新宋体" w:hAnsi="新宋体" w:eastAsia="新宋体" w:cs="新宋体"/>
                <w:color w:val="000000"/>
                <w:szCs w:val="21"/>
              </w:rPr>
            </w:pPr>
          </w:p>
        </w:tc>
        <w:tc>
          <w:tcPr>
            <w:tcW w:w="868" w:type="pct"/>
            <w:gridSpan w:val="2"/>
            <w:tcBorders>
              <w:top w:val="nil"/>
              <w:left w:val="nil"/>
              <w:bottom w:val="single" w:color="auto" w:sz="4" w:space="0"/>
              <w:right w:val="single" w:color="auto" w:sz="4" w:space="0"/>
            </w:tcBorders>
            <w:noWrap/>
            <w:vAlign w:val="center"/>
          </w:tcPr>
          <w:p w14:paraId="3D0DEF51">
            <w:pPr>
              <w:spacing w:line="0" w:lineRule="atLeast"/>
              <w:jc w:val="center"/>
              <w:rPr>
                <w:rFonts w:ascii="新宋体" w:hAnsi="新宋体" w:eastAsia="新宋体" w:cs="新宋体"/>
                <w:szCs w:val="21"/>
              </w:rPr>
            </w:pPr>
            <w:r>
              <w:rPr>
                <w:rFonts w:hint="eastAsia" w:ascii="新宋体" w:hAnsi="新宋体" w:eastAsia="新宋体" w:cs="新宋体"/>
                <w:color w:val="000000"/>
                <w:szCs w:val="21"/>
              </w:rPr>
              <w:t>年度资金总额</w:t>
            </w:r>
          </w:p>
        </w:tc>
        <w:tc>
          <w:tcPr>
            <w:tcW w:w="945" w:type="pct"/>
            <w:tcBorders>
              <w:top w:val="nil"/>
              <w:left w:val="nil"/>
              <w:bottom w:val="single" w:color="auto" w:sz="4" w:space="0"/>
              <w:right w:val="single" w:color="auto" w:sz="4" w:space="0"/>
            </w:tcBorders>
            <w:noWrap/>
            <w:vAlign w:val="center"/>
          </w:tcPr>
          <w:p w14:paraId="4843A5B8">
            <w:pPr>
              <w:spacing w:line="0" w:lineRule="atLeast"/>
              <w:jc w:val="center"/>
              <w:rPr>
                <w:rFonts w:ascii="新宋体" w:hAnsi="新宋体" w:eastAsia="新宋体" w:cs="新宋体"/>
                <w:szCs w:val="21"/>
              </w:rPr>
            </w:pPr>
            <w:r>
              <w:rPr>
                <w:rFonts w:hint="eastAsia" w:ascii="新宋体" w:hAnsi="新宋体" w:eastAsia="新宋体" w:cs="新宋体"/>
                <w:szCs w:val="21"/>
              </w:rPr>
              <w:t>535.00</w:t>
            </w:r>
          </w:p>
        </w:tc>
        <w:tc>
          <w:tcPr>
            <w:tcW w:w="646" w:type="pct"/>
            <w:tcBorders>
              <w:top w:val="nil"/>
              <w:left w:val="nil"/>
              <w:bottom w:val="single" w:color="auto" w:sz="4" w:space="0"/>
              <w:right w:val="single" w:color="auto" w:sz="4" w:space="0"/>
            </w:tcBorders>
            <w:noWrap/>
            <w:vAlign w:val="center"/>
          </w:tcPr>
          <w:p w14:paraId="7855E6C0">
            <w:pPr>
              <w:spacing w:line="0" w:lineRule="atLeast"/>
              <w:jc w:val="center"/>
              <w:rPr>
                <w:rFonts w:ascii="新宋体" w:hAnsi="新宋体" w:eastAsia="新宋体" w:cs="新宋体"/>
                <w:szCs w:val="21"/>
              </w:rPr>
            </w:pPr>
            <w:r>
              <w:rPr>
                <w:rFonts w:hint="eastAsia" w:ascii="新宋体" w:hAnsi="新宋体" w:eastAsia="新宋体" w:cs="新宋体"/>
                <w:szCs w:val="21"/>
              </w:rPr>
              <w:t>1033.94</w:t>
            </w:r>
          </w:p>
        </w:tc>
        <w:tc>
          <w:tcPr>
            <w:tcW w:w="610" w:type="pct"/>
            <w:tcBorders>
              <w:top w:val="nil"/>
              <w:left w:val="nil"/>
              <w:bottom w:val="single" w:color="auto" w:sz="4" w:space="0"/>
              <w:right w:val="single" w:color="auto" w:sz="4" w:space="0"/>
            </w:tcBorders>
            <w:noWrap/>
            <w:vAlign w:val="center"/>
          </w:tcPr>
          <w:p w14:paraId="60AFFDBC">
            <w:pPr>
              <w:spacing w:line="0" w:lineRule="atLeast"/>
              <w:jc w:val="center"/>
              <w:rPr>
                <w:rFonts w:ascii="新宋体" w:hAnsi="新宋体" w:eastAsia="新宋体" w:cs="新宋体"/>
                <w:szCs w:val="21"/>
              </w:rPr>
            </w:pPr>
            <w:r>
              <w:rPr>
                <w:rFonts w:hint="eastAsia" w:ascii="新宋体" w:hAnsi="新宋体" w:eastAsia="新宋体" w:cs="新宋体"/>
                <w:szCs w:val="21"/>
              </w:rPr>
              <w:t>1033.94</w:t>
            </w:r>
          </w:p>
        </w:tc>
        <w:tc>
          <w:tcPr>
            <w:tcW w:w="323" w:type="pct"/>
            <w:tcBorders>
              <w:top w:val="nil"/>
              <w:left w:val="nil"/>
              <w:bottom w:val="single" w:color="auto" w:sz="4" w:space="0"/>
              <w:right w:val="single" w:color="auto" w:sz="4" w:space="0"/>
            </w:tcBorders>
            <w:noWrap/>
            <w:vAlign w:val="center"/>
          </w:tcPr>
          <w:p w14:paraId="704BD63D">
            <w:pPr>
              <w:spacing w:line="0" w:lineRule="atLeast"/>
              <w:jc w:val="center"/>
              <w:rPr>
                <w:rFonts w:ascii="新宋体" w:hAnsi="新宋体" w:eastAsia="新宋体" w:cs="新宋体"/>
                <w:szCs w:val="21"/>
              </w:rPr>
            </w:pPr>
            <w:r>
              <w:rPr>
                <w:rFonts w:hint="eastAsia" w:ascii="新宋体" w:hAnsi="新宋体" w:eastAsia="新宋体" w:cs="新宋体"/>
                <w:szCs w:val="21"/>
              </w:rPr>
              <w:t>10</w:t>
            </w:r>
          </w:p>
        </w:tc>
        <w:tc>
          <w:tcPr>
            <w:tcW w:w="441" w:type="pct"/>
            <w:tcBorders>
              <w:top w:val="nil"/>
              <w:left w:val="nil"/>
              <w:bottom w:val="single" w:color="auto" w:sz="4" w:space="0"/>
              <w:right w:val="single" w:color="auto" w:sz="4" w:space="0"/>
            </w:tcBorders>
            <w:noWrap/>
            <w:vAlign w:val="center"/>
          </w:tcPr>
          <w:p w14:paraId="0FDC945F">
            <w:pPr>
              <w:spacing w:line="0" w:lineRule="atLeast"/>
              <w:jc w:val="center"/>
              <w:rPr>
                <w:rFonts w:ascii="新宋体" w:hAnsi="新宋体" w:eastAsia="新宋体" w:cs="新宋体"/>
                <w:szCs w:val="21"/>
              </w:rPr>
            </w:pPr>
            <w:r>
              <w:rPr>
                <w:rFonts w:hint="eastAsia" w:ascii="新宋体" w:hAnsi="新宋体" w:eastAsia="新宋体" w:cs="新宋体"/>
                <w:szCs w:val="21"/>
              </w:rPr>
              <w:t>100%</w:t>
            </w:r>
          </w:p>
        </w:tc>
        <w:tc>
          <w:tcPr>
            <w:tcW w:w="692" w:type="pct"/>
            <w:tcBorders>
              <w:top w:val="nil"/>
              <w:left w:val="nil"/>
              <w:bottom w:val="single" w:color="auto" w:sz="4" w:space="0"/>
              <w:right w:val="single" w:color="auto" w:sz="4" w:space="0"/>
            </w:tcBorders>
            <w:noWrap/>
            <w:vAlign w:val="center"/>
          </w:tcPr>
          <w:p w14:paraId="68F88D96">
            <w:pPr>
              <w:spacing w:line="0" w:lineRule="atLeast"/>
              <w:jc w:val="center"/>
              <w:rPr>
                <w:rFonts w:ascii="新宋体" w:hAnsi="新宋体" w:eastAsia="新宋体" w:cs="新宋体"/>
                <w:szCs w:val="21"/>
              </w:rPr>
            </w:pPr>
            <w:r>
              <w:rPr>
                <w:rFonts w:hint="eastAsia" w:ascii="新宋体" w:hAnsi="新宋体" w:eastAsia="新宋体" w:cs="新宋体"/>
                <w:szCs w:val="21"/>
              </w:rPr>
              <w:t>10</w:t>
            </w:r>
          </w:p>
        </w:tc>
      </w:tr>
      <w:tr w14:paraId="16AC6589">
        <w:tblPrEx>
          <w:tblCellMar>
            <w:top w:w="0" w:type="dxa"/>
            <w:left w:w="108" w:type="dxa"/>
            <w:bottom w:w="0" w:type="dxa"/>
            <w:right w:w="108" w:type="dxa"/>
          </w:tblCellMar>
        </w:tblPrEx>
        <w:trPr>
          <w:trHeight w:val="462" w:hRule="atLeast"/>
          <w:jc w:val="center"/>
        </w:trPr>
        <w:tc>
          <w:tcPr>
            <w:tcW w:w="472" w:type="pct"/>
            <w:vMerge w:val="continue"/>
            <w:tcBorders>
              <w:left w:val="single" w:color="auto" w:sz="4" w:space="0"/>
              <w:right w:val="single" w:color="auto" w:sz="4" w:space="0"/>
            </w:tcBorders>
            <w:noWrap/>
            <w:vAlign w:val="center"/>
          </w:tcPr>
          <w:p w14:paraId="7DF41444">
            <w:pPr>
              <w:widowControl/>
              <w:spacing w:line="0" w:lineRule="atLeast"/>
              <w:jc w:val="center"/>
              <w:rPr>
                <w:rFonts w:ascii="新宋体" w:hAnsi="新宋体" w:eastAsia="新宋体" w:cs="新宋体"/>
                <w:color w:val="000000"/>
                <w:szCs w:val="21"/>
              </w:rPr>
            </w:pPr>
          </w:p>
        </w:tc>
        <w:tc>
          <w:tcPr>
            <w:tcW w:w="2460" w:type="pct"/>
            <w:gridSpan w:val="4"/>
            <w:tcBorders>
              <w:top w:val="nil"/>
              <w:left w:val="nil"/>
              <w:bottom w:val="single" w:color="auto" w:sz="4" w:space="0"/>
              <w:right w:val="single" w:color="auto" w:sz="4" w:space="0"/>
            </w:tcBorders>
            <w:noWrap/>
            <w:vAlign w:val="center"/>
          </w:tcPr>
          <w:p w14:paraId="064287F8">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按收入性质分：</w:t>
            </w:r>
          </w:p>
        </w:tc>
        <w:tc>
          <w:tcPr>
            <w:tcW w:w="2067" w:type="pct"/>
            <w:gridSpan w:val="4"/>
            <w:tcBorders>
              <w:top w:val="nil"/>
              <w:left w:val="nil"/>
              <w:bottom w:val="single" w:color="auto" w:sz="4" w:space="0"/>
              <w:right w:val="single" w:color="auto" w:sz="4" w:space="0"/>
            </w:tcBorders>
            <w:noWrap/>
            <w:vAlign w:val="center"/>
          </w:tcPr>
          <w:p w14:paraId="2B723A01">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按支出性质分：</w:t>
            </w:r>
          </w:p>
        </w:tc>
      </w:tr>
      <w:tr w14:paraId="5A3CEFF0">
        <w:tblPrEx>
          <w:tblCellMar>
            <w:top w:w="0" w:type="dxa"/>
            <w:left w:w="108" w:type="dxa"/>
            <w:bottom w:w="0" w:type="dxa"/>
            <w:right w:w="108" w:type="dxa"/>
          </w:tblCellMar>
        </w:tblPrEx>
        <w:trPr>
          <w:trHeight w:val="462" w:hRule="atLeast"/>
          <w:jc w:val="center"/>
        </w:trPr>
        <w:tc>
          <w:tcPr>
            <w:tcW w:w="472" w:type="pct"/>
            <w:vMerge w:val="continue"/>
            <w:tcBorders>
              <w:left w:val="single" w:color="auto" w:sz="4" w:space="0"/>
              <w:right w:val="single" w:color="auto" w:sz="4" w:space="0"/>
            </w:tcBorders>
            <w:noWrap/>
            <w:vAlign w:val="center"/>
          </w:tcPr>
          <w:p w14:paraId="176A339B">
            <w:pPr>
              <w:widowControl/>
              <w:spacing w:line="0" w:lineRule="atLeast"/>
              <w:jc w:val="center"/>
              <w:rPr>
                <w:rFonts w:ascii="新宋体" w:hAnsi="新宋体" w:eastAsia="新宋体" w:cs="新宋体"/>
                <w:color w:val="000000"/>
                <w:szCs w:val="21"/>
              </w:rPr>
            </w:pPr>
          </w:p>
        </w:tc>
        <w:tc>
          <w:tcPr>
            <w:tcW w:w="2460" w:type="pct"/>
            <w:gridSpan w:val="4"/>
            <w:tcBorders>
              <w:top w:val="nil"/>
              <w:left w:val="nil"/>
              <w:bottom w:val="single" w:color="auto" w:sz="4" w:space="0"/>
              <w:right w:val="single" w:color="auto" w:sz="4" w:space="0"/>
            </w:tcBorders>
            <w:noWrap/>
            <w:vAlign w:val="center"/>
          </w:tcPr>
          <w:p w14:paraId="6649DC0C">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其中：一般公共预算：1028.94</w:t>
            </w:r>
          </w:p>
        </w:tc>
        <w:tc>
          <w:tcPr>
            <w:tcW w:w="2067" w:type="pct"/>
            <w:gridSpan w:val="4"/>
            <w:tcBorders>
              <w:top w:val="nil"/>
              <w:left w:val="nil"/>
              <w:bottom w:val="single" w:color="auto" w:sz="4" w:space="0"/>
              <w:right w:val="single" w:color="auto" w:sz="4" w:space="0"/>
            </w:tcBorders>
            <w:noWrap/>
            <w:vAlign w:val="center"/>
          </w:tcPr>
          <w:p w14:paraId="4C53B0AF">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其中：基本支出：665.26</w:t>
            </w:r>
          </w:p>
        </w:tc>
      </w:tr>
      <w:tr w14:paraId="33CD802E">
        <w:tblPrEx>
          <w:tblCellMar>
            <w:top w:w="0" w:type="dxa"/>
            <w:left w:w="108" w:type="dxa"/>
            <w:bottom w:w="0" w:type="dxa"/>
            <w:right w:w="108" w:type="dxa"/>
          </w:tblCellMar>
        </w:tblPrEx>
        <w:trPr>
          <w:trHeight w:val="462" w:hRule="atLeast"/>
          <w:jc w:val="center"/>
        </w:trPr>
        <w:tc>
          <w:tcPr>
            <w:tcW w:w="472" w:type="pct"/>
            <w:vMerge w:val="continue"/>
            <w:tcBorders>
              <w:left w:val="single" w:color="auto" w:sz="4" w:space="0"/>
              <w:right w:val="single" w:color="auto" w:sz="4" w:space="0"/>
            </w:tcBorders>
            <w:noWrap/>
            <w:vAlign w:val="center"/>
          </w:tcPr>
          <w:p w14:paraId="57C2E031">
            <w:pPr>
              <w:widowControl/>
              <w:spacing w:line="0" w:lineRule="atLeast"/>
              <w:jc w:val="center"/>
              <w:rPr>
                <w:rFonts w:ascii="新宋体" w:hAnsi="新宋体" w:eastAsia="新宋体" w:cs="新宋体"/>
                <w:color w:val="000000"/>
                <w:szCs w:val="21"/>
              </w:rPr>
            </w:pPr>
          </w:p>
        </w:tc>
        <w:tc>
          <w:tcPr>
            <w:tcW w:w="2460" w:type="pct"/>
            <w:gridSpan w:val="4"/>
            <w:tcBorders>
              <w:top w:val="nil"/>
              <w:left w:val="nil"/>
              <w:bottom w:val="single" w:color="auto" w:sz="4" w:space="0"/>
              <w:right w:val="single" w:color="auto" w:sz="4" w:space="0"/>
            </w:tcBorders>
            <w:noWrap/>
            <w:vAlign w:val="center"/>
          </w:tcPr>
          <w:p w14:paraId="5E83EA24">
            <w:pPr>
              <w:widowControl/>
              <w:spacing w:line="0" w:lineRule="atLeast"/>
              <w:ind w:firstLine="630" w:firstLineChars="300"/>
              <w:jc w:val="left"/>
              <w:rPr>
                <w:rFonts w:ascii="新宋体" w:hAnsi="新宋体" w:eastAsia="新宋体" w:cs="新宋体"/>
                <w:color w:val="000000"/>
                <w:szCs w:val="21"/>
              </w:rPr>
            </w:pPr>
            <w:r>
              <w:rPr>
                <w:rFonts w:hint="eastAsia" w:ascii="新宋体" w:hAnsi="新宋体" w:eastAsia="新宋体" w:cs="新宋体"/>
                <w:color w:val="000000"/>
                <w:szCs w:val="21"/>
              </w:rPr>
              <w:t>政府性基金拨款：5.00</w:t>
            </w:r>
          </w:p>
        </w:tc>
        <w:tc>
          <w:tcPr>
            <w:tcW w:w="2067" w:type="pct"/>
            <w:gridSpan w:val="4"/>
            <w:tcBorders>
              <w:top w:val="nil"/>
              <w:left w:val="nil"/>
              <w:bottom w:val="single" w:color="auto" w:sz="4" w:space="0"/>
              <w:right w:val="single" w:color="auto" w:sz="4" w:space="0"/>
            </w:tcBorders>
            <w:noWrap/>
            <w:vAlign w:val="center"/>
          </w:tcPr>
          <w:p w14:paraId="3FC1097D">
            <w:pPr>
              <w:widowControl/>
              <w:spacing w:line="0" w:lineRule="atLeast"/>
              <w:ind w:firstLine="630" w:firstLineChars="300"/>
              <w:jc w:val="left"/>
              <w:rPr>
                <w:rFonts w:ascii="新宋体" w:hAnsi="新宋体" w:eastAsia="新宋体" w:cs="新宋体"/>
                <w:color w:val="000000"/>
                <w:szCs w:val="21"/>
              </w:rPr>
            </w:pPr>
            <w:r>
              <w:rPr>
                <w:rFonts w:hint="eastAsia" w:ascii="新宋体" w:hAnsi="新宋体" w:eastAsia="新宋体" w:cs="新宋体"/>
                <w:color w:val="000000"/>
                <w:szCs w:val="21"/>
              </w:rPr>
              <w:t>项目支出：368.68</w:t>
            </w:r>
          </w:p>
        </w:tc>
      </w:tr>
      <w:tr w14:paraId="049CE4CB">
        <w:tblPrEx>
          <w:tblCellMar>
            <w:top w:w="0" w:type="dxa"/>
            <w:left w:w="108" w:type="dxa"/>
            <w:bottom w:w="0" w:type="dxa"/>
            <w:right w:w="108" w:type="dxa"/>
          </w:tblCellMar>
        </w:tblPrEx>
        <w:trPr>
          <w:trHeight w:val="462" w:hRule="atLeast"/>
          <w:jc w:val="center"/>
        </w:trPr>
        <w:tc>
          <w:tcPr>
            <w:tcW w:w="472" w:type="pct"/>
            <w:vMerge w:val="continue"/>
            <w:tcBorders>
              <w:left w:val="single" w:color="auto" w:sz="4" w:space="0"/>
              <w:right w:val="single" w:color="auto" w:sz="4" w:space="0"/>
            </w:tcBorders>
            <w:noWrap/>
            <w:vAlign w:val="center"/>
          </w:tcPr>
          <w:p w14:paraId="7396EFE8">
            <w:pPr>
              <w:widowControl/>
              <w:spacing w:line="0" w:lineRule="atLeast"/>
              <w:jc w:val="center"/>
              <w:rPr>
                <w:rFonts w:ascii="新宋体" w:hAnsi="新宋体" w:eastAsia="新宋体" w:cs="新宋体"/>
                <w:color w:val="000000"/>
                <w:szCs w:val="21"/>
              </w:rPr>
            </w:pPr>
          </w:p>
        </w:tc>
        <w:tc>
          <w:tcPr>
            <w:tcW w:w="2460" w:type="pct"/>
            <w:gridSpan w:val="4"/>
            <w:tcBorders>
              <w:top w:val="nil"/>
              <w:left w:val="nil"/>
              <w:bottom w:val="single" w:color="auto" w:sz="4" w:space="0"/>
              <w:right w:val="single" w:color="auto" w:sz="4" w:space="0"/>
            </w:tcBorders>
            <w:noWrap/>
            <w:vAlign w:val="center"/>
          </w:tcPr>
          <w:p w14:paraId="535A2C21">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纳入专户管理的非税收入拨款：</w:t>
            </w:r>
          </w:p>
        </w:tc>
        <w:tc>
          <w:tcPr>
            <w:tcW w:w="2067" w:type="pct"/>
            <w:gridSpan w:val="4"/>
            <w:tcBorders>
              <w:top w:val="nil"/>
              <w:left w:val="nil"/>
              <w:bottom w:val="single" w:color="auto" w:sz="4" w:space="0"/>
              <w:right w:val="single" w:color="auto" w:sz="4" w:space="0"/>
            </w:tcBorders>
            <w:noWrap/>
            <w:vAlign w:val="center"/>
          </w:tcPr>
          <w:p w14:paraId="71D67169">
            <w:pPr>
              <w:widowControl/>
              <w:spacing w:line="0" w:lineRule="atLeast"/>
              <w:jc w:val="left"/>
              <w:rPr>
                <w:rFonts w:ascii="新宋体" w:hAnsi="新宋体" w:eastAsia="新宋体" w:cs="新宋体"/>
                <w:color w:val="000000"/>
                <w:szCs w:val="21"/>
              </w:rPr>
            </w:pPr>
          </w:p>
        </w:tc>
      </w:tr>
      <w:tr w14:paraId="3BA19D4C">
        <w:tblPrEx>
          <w:tblCellMar>
            <w:top w:w="0" w:type="dxa"/>
            <w:left w:w="108" w:type="dxa"/>
            <w:bottom w:w="0" w:type="dxa"/>
            <w:right w:w="108" w:type="dxa"/>
          </w:tblCellMar>
        </w:tblPrEx>
        <w:trPr>
          <w:trHeight w:val="462" w:hRule="atLeast"/>
          <w:jc w:val="center"/>
        </w:trPr>
        <w:tc>
          <w:tcPr>
            <w:tcW w:w="472" w:type="pct"/>
            <w:vMerge w:val="continue"/>
            <w:tcBorders>
              <w:left w:val="single" w:color="auto" w:sz="4" w:space="0"/>
              <w:bottom w:val="single" w:color="000000" w:sz="4" w:space="0"/>
              <w:right w:val="single" w:color="auto" w:sz="4" w:space="0"/>
            </w:tcBorders>
            <w:noWrap/>
            <w:vAlign w:val="center"/>
          </w:tcPr>
          <w:p w14:paraId="3BFADC03">
            <w:pPr>
              <w:widowControl/>
              <w:spacing w:line="0" w:lineRule="atLeast"/>
              <w:jc w:val="center"/>
              <w:rPr>
                <w:rFonts w:ascii="新宋体" w:hAnsi="新宋体" w:eastAsia="新宋体" w:cs="新宋体"/>
                <w:color w:val="000000"/>
                <w:szCs w:val="21"/>
              </w:rPr>
            </w:pPr>
          </w:p>
        </w:tc>
        <w:tc>
          <w:tcPr>
            <w:tcW w:w="2460" w:type="pct"/>
            <w:gridSpan w:val="4"/>
            <w:tcBorders>
              <w:top w:val="nil"/>
              <w:left w:val="nil"/>
              <w:bottom w:val="single" w:color="auto" w:sz="4" w:space="0"/>
              <w:right w:val="single" w:color="auto" w:sz="4" w:space="0"/>
            </w:tcBorders>
            <w:noWrap/>
            <w:vAlign w:val="center"/>
          </w:tcPr>
          <w:p w14:paraId="13183F2D">
            <w:pPr>
              <w:widowControl/>
              <w:spacing w:line="0" w:lineRule="atLeast"/>
              <w:ind w:firstLine="1260" w:firstLineChars="600"/>
              <w:jc w:val="left"/>
              <w:rPr>
                <w:rFonts w:ascii="新宋体" w:hAnsi="新宋体" w:eastAsia="新宋体" w:cs="新宋体"/>
                <w:color w:val="000000"/>
                <w:szCs w:val="21"/>
              </w:rPr>
            </w:pPr>
            <w:r>
              <w:rPr>
                <w:rFonts w:hint="eastAsia" w:ascii="新宋体" w:hAnsi="新宋体" w:eastAsia="新宋体" w:cs="新宋体"/>
                <w:color w:val="000000"/>
                <w:szCs w:val="21"/>
              </w:rPr>
              <w:t>其他资金：</w:t>
            </w:r>
          </w:p>
        </w:tc>
        <w:tc>
          <w:tcPr>
            <w:tcW w:w="2067" w:type="pct"/>
            <w:gridSpan w:val="4"/>
            <w:tcBorders>
              <w:top w:val="nil"/>
              <w:left w:val="nil"/>
              <w:bottom w:val="single" w:color="auto" w:sz="4" w:space="0"/>
              <w:right w:val="single" w:color="auto" w:sz="4" w:space="0"/>
            </w:tcBorders>
            <w:noWrap/>
            <w:vAlign w:val="center"/>
          </w:tcPr>
          <w:p w14:paraId="650BD042">
            <w:pPr>
              <w:widowControl/>
              <w:spacing w:line="0" w:lineRule="atLeast"/>
              <w:jc w:val="left"/>
              <w:rPr>
                <w:rFonts w:ascii="新宋体" w:hAnsi="新宋体" w:eastAsia="新宋体" w:cs="新宋体"/>
                <w:color w:val="000000"/>
                <w:szCs w:val="21"/>
              </w:rPr>
            </w:pPr>
          </w:p>
        </w:tc>
      </w:tr>
      <w:tr w14:paraId="21F30431">
        <w:tblPrEx>
          <w:tblCellMar>
            <w:top w:w="0" w:type="dxa"/>
            <w:left w:w="108" w:type="dxa"/>
            <w:bottom w:w="0" w:type="dxa"/>
            <w:right w:w="108" w:type="dxa"/>
          </w:tblCellMar>
        </w:tblPrEx>
        <w:trPr>
          <w:trHeight w:val="462" w:hRule="atLeast"/>
          <w:jc w:val="center"/>
        </w:trPr>
        <w:tc>
          <w:tcPr>
            <w:tcW w:w="472" w:type="pct"/>
            <w:vMerge w:val="restart"/>
            <w:tcBorders>
              <w:top w:val="nil"/>
              <w:left w:val="single" w:color="auto" w:sz="4" w:space="0"/>
              <w:bottom w:val="single" w:color="000000" w:sz="4" w:space="0"/>
              <w:right w:val="single" w:color="auto" w:sz="4" w:space="0"/>
            </w:tcBorders>
            <w:noWrap/>
            <w:vAlign w:val="center"/>
          </w:tcPr>
          <w:p w14:paraId="0DC75DD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14:paraId="170BF49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总体目标</w:t>
            </w:r>
          </w:p>
        </w:tc>
        <w:tc>
          <w:tcPr>
            <w:tcW w:w="2460" w:type="pct"/>
            <w:gridSpan w:val="4"/>
            <w:tcBorders>
              <w:top w:val="single" w:color="auto" w:sz="4" w:space="0"/>
              <w:left w:val="nil"/>
              <w:bottom w:val="single" w:color="auto" w:sz="4" w:space="0"/>
              <w:right w:val="single" w:color="000000" w:sz="4" w:space="0"/>
            </w:tcBorders>
            <w:noWrap/>
            <w:vAlign w:val="center"/>
          </w:tcPr>
          <w:p w14:paraId="70D3D4E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预期目标</w:t>
            </w:r>
          </w:p>
        </w:tc>
        <w:tc>
          <w:tcPr>
            <w:tcW w:w="2067" w:type="pct"/>
            <w:gridSpan w:val="4"/>
            <w:tcBorders>
              <w:top w:val="single" w:color="auto" w:sz="4" w:space="0"/>
              <w:left w:val="nil"/>
              <w:bottom w:val="single" w:color="auto" w:sz="4" w:space="0"/>
              <w:right w:val="single" w:color="auto" w:sz="4" w:space="0"/>
            </w:tcBorders>
            <w:noWrap/>
            <w:vAlign w:val="center"/>
          </w:tcPr>
          <w:p w14:paraId="1A3BD2F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实际完成情况　</w:t>
            </w:r>
          </w:p>
        </w:tc>
      </w:tr>
      <w:tr w14:paraId="04FAC8F1">
        <w:tblPrEx>
          <w:tblCellMar>
            <w:top w:w="0" w:type="dxa"/>
            <w:left w:w="108" w:type="dxa"/>
            <w:bottom w:w="0" w:type="dxa"/>
            <w:right w:w="108" w:type="dxa"/>
          </w:tblCellMar>
        </w:tblPrEx>
        <w:trPr>
          <w:trHeight w:val="462" w:hRule="atLeast"/>
          <w:jc w:val="center"/>
        </w:trPr>
        <w:tc>
          <w:tcPr>
            <w:tcW w:w="472" w:type="pct"/>
            <w:vMerge w:val="continue"/>
            <w:tcBorders>
              <w:top w:val="nil"/>
              <w:left w:val="single" w:color="auto" w:sz="4" w:space="0"/>
              <w:bottom w:val="single" w:color="auto" w:sz="4" w:space="0"/>
              <w:right w:val="single" w:color="auto" w:sz="4" w:space="0"/>
            </w:tcBorders>
            <w:noWrap/>
            <w:vAlign w:val="center"/>
          </w:tcPr>
          <w:p w14:paraId="730E7DFA">
            <w:pPr>
              <w:widowControl/>
              <w:spacing w:line="0" w:lineRule="atLeast"/>
              <w:jc w:val="center"/>
              <w:rPr>
                <w:rFonts w:ascii="新宋体" w:hAnsi="新宋体" w:eastAsia="新宋体" w:cs="新宋体"/>
                <w:color w:val="000000"/>
                <w:szCs w:val="21"/>
              </w:rPr>
            </w:pPr>
          </w:p>
        </w:tc>
        <w:tc>
          <w:tcPr>
            <w:tcW w:w="2460" w:type="pct"/>
            <w:gridSpan w:val="4"/>
            <w:tcBorders>
              <w:top w:val="single" w:color="auto" w:sz="4" w:space="0"/>
              <w:left w:val="nil"/>
              <w:bottom w:val="single" w:color="auto" w:sz="4" w:space="0"/>
              <w:right w:val="single" w:color="000000" w:sz="4" w:space="0"/>
            </w:tcBorders>
            <w:noWrap/>
            <w:vAlign w:val="center"/>
          </w:tcPr>
          <w:p w14:paraId="2801C29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推进两大旅游度假区建设；2、局党委严格对照各责任人报送的工作任务清单“四四表单”，开展跟踪督查督办；3、巩固文化体制改革成果，实现电影公司、影剧院、艺术团3家改制企业稳定发展；4、举办了乡镇文化旅游广电业务知识培训班；5、开展全县包括乡镇文旅市场安全生产大检查</w:t>
            </w:r>
          </w:p>
        </w:tc>
        <w:tc>
          <w:tcPr>
            <w:tcW w:w="2067" w:type="pct"/>
            <w:gridSpan w:val="4"/>
            <w:tcBorders>
              <w:top w:val="single" w:color="auto" w:sz="4" w:space="0"/>
              <w:left w:val="nil"/>
              <w:bottom w:val="single" w:color="auto" w:sz="4" w:space="0"/>
              <w:right w:val="single" w:color="auto" w:sz="4" w:space="0"/>
            </w:tcBorders>
            <w:noWrap/>
            <w:vAlign w:val="center"/>
          </w:tcPr>
          <w:p w14:paraId="3B93346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已完成</w:t>
            </w:r>
          </w:p>
        </w:tc>
      </w:tr>
      <w:tr w14:paraId="4B4DECD7">
        <w:tblPrEx>
          <w:tblCellMar>
            <w:top w:w="0" w:type="dxa"/>
            <w:left w:w="108" w:type="dxa"/>
            <w:bottom w:w="0" w:type="dxa"/>
            <w:right w:w="108" w:type="dxa"/>
          </w:tblCellMar>
        </w:tblPrEx>
        <w:trPr>
          <w:trHeight w:val="850" w:hRule="atLeast"/>
          <w:jc w:val="center"/>
        </w:trPr>
        <w:tc>
          <w:tcPr>
            <w:tcW w:w="472" w:type="pct"/>
            <w:vMerge w:val="restart"/>
            <w:tcBorders>
              <w:top w:val="single" w:color="auto" w:sz="4" w:space="0"/>
              <w:left w:val="single" w:color="auto" w:sz="4" w:space="0"/>
              <w:bottom w:val="single" w:color="auto" w:sz="4" w:space="0"/>
              <w:right w:val="single" w:color="auto" w:sz="4" w:space="0"/>
            </w:tcBorders>
            <w:noWrap/>
            <w:vAlign w:val="center"/>
          </w:tcPr>
          <w:p w14:paraId="48ABED9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绩</w:t>
            </w:r>
          </w:p>
          <w:p w14:paraId="50C9586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w:t>
            </w:r>
          </w:p>
          <w:p w14:paraId="0ABF5C9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w:t>
            </w:r>
          </w:p>
          <w:p w14:paraId="18CE158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标</w:t>
            </w:r>
          </w:p>
        </w:tc>
        <w:tc>
          <w:tcPr>
            <w:tcW w:w="360" w:type="pct"/>
            <w:tcBorders>
              <w:top w:val="single" w:color="auto" w:sz="4" w:space="0"/>
              <w:left w:val="single" w:color="auto" w:sz="4" w:space="0"/>
              <w:bottom w:val="single" w:color="auto" w:sz="4" w:space="0"/>
              <w:right w:val="single" w:color="auto" w:sz="4" w:space="0"/>
            </w:tcBorders>
            <w:noWrap/>
            <w:vAlign w:val="center"/>
          </w:tcPr>
          <w:p w14:paraId="11838C3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14:paraId="7CC4B2B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508" w:type="pct"/>
            <w:tcBorders>
              <w:top w:val="single" w:color="auto" w:sz="4" w:space="0"/>
              <w:left w:val="single" w:color="auto" w:sz="4" w:space="0"/>
              <w:bottom w:val="single" w:color="auto" w:sz="4" w:space="0"/>
              <w:right w:val="single" w:color="auto" w:sz="4" w:space="0"/>
            </w:tcBorders>
            <w:noWrap/>
            <w:vAlign w:val="center"/>
          </w:tcPr>
          <w:p w14:paraId="11D1601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14:paraId="1200DCC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945" w:type="pct"/>
            <w:tcBorders>
              <w:top w:val="single" w:color="auto" w:sz="4" w:space="0"/>
              <w:left w:val="single" w:color="auto" w:sz="4" w:space="0"/>
              <w:bottom w:val="single" w:color="auto" w:sz="4" w:space="0"/>
              <w:right w:val="single" w:color="auto" w:sz="4" w:space="0"/>
            </w:tcBorders>
            <w:noWrap/>
            <w:vAlign w:val="center"/>
          </w:tcPr>
          <w:p w14:paraId="49A2EF5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14:paraId="756197E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646" w:type="pct"/>
            <w:tcBorders>
              <w:top w:val="single" w:color="auto" w:sz="4" w:space="0"/>
              <w:left w:val="single" w:color="auto" w:sz="4" w:space="0"/>
              <w:bottom w:val="single" w:color="auto" w:sz="4" w:space="0"/>
              <w:right w:val="single" w:color="auto" w:sz="4" w:space="0"/>
            </w:tcBorders>
            <w:noWrap/>
            <w:vAlign w:val="center"/>
          </w:tcPr>
          <w:p w14:paraId="79BC465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14:paraId="4C197ED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610" w:type="pct"/>
            <w:tcBorders>
              <w:top w:val="single" w:color="auto" w:sz="4" w:space="0"/>
              <w:left w:val="single" w:color="auto" w:sz="4" w:space="0"/>
              <w:bottom w:val="single" w:color="auto" w:sz="4" w:space="0"/>
              <w:right w:val="single" w:color="auto" w:sz="4" w:space="0"/>
            </w:tcBorders>
            <w:noWrap/>
            <w:vAlign w:val="center"/>
          </w:tcPr>
          <w:p w14:paraId="7808FE9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14:paraId="0B93950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323" w:type="pct"/>
            <w:tcBorders>
              <w:top w:val="single" w:color="auto" w:sz="4" w:space="0"/>
              <w:left w:val="single" w:color="auto" w:sz="4" w:space="0"/>
              <w:bottom w:val="single" w:color="auto" w:sz="4" w:space="0"/>
              <w:right w:val="single" w:color="auto" w:sz="4" w:space="0"/>
            </w:tcBorders>
            <w:noWrap/>
            <w:vAlign w:val="center"/>
          </w:tcPr>
          <w:p w14:paraId="483A528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441" w:type="pct"/>
            <w:tcBorders>
              <w:top w:val="single" w:color="auto" w:sz="4" w:space="0"/>
              <w:left w:val="single" w:color="auto" w:sz="4" w:space="0"/>
              <w:bottom w:val="single" w:color="auto" w:sz="4" w:space="0"/>
              <w:right w:val="single" w:color="auto" w:sz="4" w:space="0"/>
            </w:tcBorders>
            <w:noWrap/>
            <w:vAlign w:val="center"/>
          </w:tcPr>
          <w:p w14:paraId="3DFCB27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692" w:type="pct"/>
            <w:tcBorders>
              <w:top w:val="single" w:color="auto" w:sz="4" w:space="0"/>
              <w:left w:val="single" w:color="auto" w:sz="4" w:space="0"/>
              <w:bottom w:val="single" w:color="auto" w:sz="4" w:space="0"/>
              <w:right w:val="single" w:color="auto" w:sz="4" w:space="0"/>
            </w:tcBorders>
            <w:noWrap/>
            <w:vAlign w:val="center"/>
          </w:tcPr>
          <w:p w14:paraId="4114B9D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偏差原因分析及改进措施</w:t>
            </w:r>
          </w:p>
        </w:tc>
      </w:tr>
      <w:tr w14:paraId="6CD782BC">
        <w:tblPrEx>
          <w:tblCellMar>
            <w:top w:w="0" w:type="dxa"/>
            <w:left w:w="108" w:type="dxa"/>
            <w:bottom w:w="0" w:type="dxa"/>
            <w:right w:w="108" w:type="dxa"/>
          </w:tblCellMar>
        </w:tblPrEx>
        <w:trPr>
          <w:trHeight w:val="462" w:hRule="atLeast"/>
          <w:jc w:val="center"/>
        </w:trPr>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4929B8E4">
            <w:pPr>
              <w:spacing w:line="0" w:lineRule="atLeast"/>
              <w:jc w:val="center"/>
              <w:rPr>
                <w:rFonts w:ascii="新宋体" w:hAnsi="新宋体" w:eastAsia="新宋体" w:cs="新宋体"/>
                <w:color w:val="000000"/>
                <w:szCs w:val="21"/>
              </w:rPr>
            </w:pPr>
          </w:p>
        </w:tc>
        <w:tc>
          <w:tcPr>
            <w:tcW w:w="360" w:type="pct"/>
            <w:vMerge w:val="restart"/>
            <w:tcBorders>
              <w:top w:val="single" w:color="auto" w:sz="4" w:space="0"/>
              <w:left w:val="single" w:color="auto" w:sz="4" w:space="0"/>
              <w:bottom w:val="single" w:color="auto" w:sz="4" w:space="0"/>
              <w:right w:val="single" w:color="auto" w:sz="4" w:space="0"/>
            </w:tcBorders>
            <w:noWrap/>
            <w:vAlign w:val="center"/>
          </w:tcPr>
          <w:p w14:paraId="54972A1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产出</w:t>
            </w:r>
          </w:p>
          <w:p w14:paraId="5915C0A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14:paraId="04AC27F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(50分)</w:t>
            </w:r>
          </w:p>
        </w:tc>
        <w:tc>
          <w:tcPr>
            <w:tcW w:w="508" w:type="pct"/>
            <w:vMerge w:val="restart"/>
            <w:tcBorders>
              <w:top w:val="single" w:color="auto" w:sz="4" w:space="0"/>
              <w:left w:val="single" w:color="auto" w:sz="4" w:space="0"/>
              <w:bottom w:val="single" w:color="auto" w:sz="4" w:space="0"/>
              <w:right w:val="single" w:color="auto" w:sz="4" w:space="0"/>
            </w:tcBorders>
            <w:noWrap/>
            <w:vAlign w:val="center"/>
          </w:tcPr>
          <w:p w14:paraId="2B1884F5">
            <w:pPr>
              <w:widowControl/>
              <w:spacing w:line="0" w:lineRule="atLeast"/>
              <w:jc w:val="center"/>
              <w:rPr>
                <w:rFonts w:ascii="新宋体" w:hAnsi="新宋体" w:eastAsia="新宋体" w:cs="新宋体"/>
                <w:color w:val="000000"/>
                <w:spacing w:val="-2"/>
                <w:szCs w:val="21"/>
              </w:rPr>
            </w:pPr>
            <w:r>
              <w:rPr>
                <w:rFonts w:hint="eastAsia" w:ascii="新宋体" w:hAnsi="新宋体" w:eastAsia="新宋体" w:cs="新宋体"/>
                <w:color w:val="000000"/>
                <w:spacing w:val="-2"/>
                <w:szCs w:val="21"/>
              </w:rPr>
              <w:t>数量</w:t>
            </w:r>
          </w:p>
          <w:p w14:paraId="0DF7F234">
            <w:pPr>
              <w:widowControl/>
              <w:spacing w:line="0" w:lineRule="atLeast"/>
              <w:jc w:val="center"/>
              <w:rPr>
                <w:rFonts w:ascii="新宋体" w:hAnsi="新宋体" w:eastAsia="新宋体" w:cs="新宋体"/>
                <w:color w:val="000000"/>
                <w:spacing w:val="-2"/>
                <w:szCs w:val="21"/>
              </w:rPr>
            </w:pPr>
            <w:r>
              <w:rPr>
                <w:rFonts w:hint="eastAsia" w:ascii="新宋体" w:hAnsi="新宋体" w:eastAsia="新宋体" w:cs="新宋体"/>
                <w:color w:val="000000"/>
                <w:spacing w:val="-2"/>
                <w:szCs w:val="21"/>
              </w:rPr>
              <w:t>指标</w:t>
            </w:r>
          </w:p>
        </w:tc>
        <w:tc>
          <w:tcPr>
            <w:tcW w:w="945" w:type="pct"/>
            <w:tcBorders>
              <w:top w:val="single" w:color="auto" w:sz="4" w:space="0"/>
              <w:left w:val="single" w:color="auto" w:sz="4" w:space="0"/>
              <w:bottom w:val="single" w:color="auto" w:sz="4" w:space="0"/>
              <w:right w:val="single" w:color="auto" w:sz="4" w:space="0"/>
            </w:tcBorders>
            <w:noWrap/>
            <w:vAlign w:val="center"/>
          </w:tcPr>
          <w:p w14:paraId="1D6EA3D1">
            <w:pPr>
              <w:widowControl/>
              <w:spacing w:line="0" w:lineRule="atLeast"/>
              <w:jc w:val="left"/>
              <w:rPr>
                <w:rFonts w:ascii="新宋体" w:hAnsi="新宋体" w:eastAsia="新宋体" w:cs="新宋体"/>
                <w:color w:val="000000"/>
                <w:spacing w:val="-2"/>
                <w:szCs w:val="21"/>
              </w:rPr>
            </w:pPr>
            <w:r>
              <w:rPr>
                <w:rFonts w:hint="eastAsia" w:ascii="新宋体" w:hAnsi="新宋体" w:eastAsia="新宋体" w:cs="新宋体"/>
                <w:color w:val="000000"/>
                <w:spacing w:val="-2"/>
                <w:szCs w:val="21"/>
              </w:rPr>
              <w:t>送戏下乡</w:t>
            </w:r>
          </w:p>
        </w:tc>
        <w:tc>
          <w:tcPr>
            <w:tcW w:w="646" w:type="pct"/>
            <w:tcBorders>
              <w:top w:val="single" w:color="auto" w:sz="4" w:space="0"/>
              <w:left w:val="single" w:color="auto" w:sz="4" w:space="0"/>
              <w:bottom w:val="single" w:color="auto" w:sz="4" w:space="0"/>
              <w:right w:val="single" w:color="auto" w:sz="4" w:space="0"/>
            </w:tcBorders>
            <w:noWrap/>
            <w:vAlign w:val="center"/>
          </w:tcPr>
          <w:p w14:paraId="4A82BD3C">
            <w:pPr>
              <w:widowControl/>
              <w:spacing w:line="0" w:lineRule="atLeast"/>
              <w:jc w:val="center"/>
              <w:rPr>
                <w:rFonts w:ascii="宋体" w:hAnsi="宋体" w:cs="宋体"/>
                <w:color w:val="000000"/>
                <w:kern w:val="0"/>
                <w:sz w:val="20"/>
                <w:szCs w:val="20"/>
              </w:rPr>
            </w:pPr>
            <w:r>
              <w:rPr>
                <w:rFonts w:hint="eastAsia" w:ascii="宋体" w:hAnsi="宋体" w:cs="宋体"/>
                <w:color w:val="000000"/>
                <w:kern w:val="0"/>
                <w:sz w:val="20"/>
                <w:szCs w:val="20"/>
              </w:rPr>
              <w:t>≧80场</w:t>
            </w:r>
          </w:p>
        </w:tc>
        <w:tc>
          <w:tcPr>
            <w:tcW w:w="610" w:type="pct"/>
            <w:tcBorders>
              <w:top w:val="single" w:color="auto" w:sz="4" w:space="0"/>
              <w:left w:val="single" w:color="auto" w:sz="4" w:space="0"/>
              <w:bottom w:val="single" w:color="auto" w:sz="4" w:space="0"/>
              <w:right w:val="single" w:color="auto" w:sz="4" w:space="0"/>
            </w:tcBorders>
            <w:noWrap/>
            <w:vAlign w:val="center"/>
          </w:tcPr>
          <w:p w14:paraId="0EEFE761">
            <w:pPr>
              <w:widowControl/>
              <w:spacing w:line="0" w:lineRule="atLeast"/>
              <w:jc w:val="center"/>
              <w:rPr>
                <w:rFonts w:ascii="宋体" w:hAnsi="宋体" w:cs="宋体"/>
                <w:color w:val="000000"/>
                <w:kern w:val="0"/>
                <w:sz w:val="20"/>
                <w:szCs w:val="20"/>
              </w:rPr>
            </w:pPr>
            <w:r>
              <w:rPr>
                <w:rFonts w:hint="eastAsia" w:ascii="宋体" w:hAnsi="宋体" w:cs="宋体"/>
                <w:color w:val="000000"/>
                <w:kern w:val="0"/>
                <w:sz w:val="20"/>
                <w:szCs w:val="20"/>
              </w:rPr>
              <w:t>80场</w:t>
            </w:r>
          </w:p>
        </w:tc>
        <w:tc>
          <w:tcPr>
            <w:tcW w:w="323" w:type="pct"/>
            <w:tcBorders>
              <w:top w:val="single" w:color="auto" w:sz="4" w:space="0"/>
              <w:left w:val="single" w:color="auto" w:sz="4" w:space="0"/>
              <w:bottom w:val="single" w:color="auto" w:sz="4" w:space="0"/>
              <w:right w:val="single" w:color="auto" w:sz="4" w:space="0"/>
            </w:tcBorders>
            <w:noWrap/>
            <w:vAlign w:val="center"/>
          </w:tcPr>
          <w:p w14:paraId="2EF91E4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41" w:type="pct"/>
            <w:tcBorders>
              <w:top w:val="single" w:color="auto" w:sz="4" w:space="0"/>
              <w:left w:val="single" w:color="auto" w:sz="4" w:space="0"/>
              <w:bottom w:val="single" w:color="auto" w:sz="4" w:space="0"/>
              <w:right w:val="single" w:color="auto" w:sz="4" w:space="0"/>
            </w:tcBorders>
            <w:noWrap/>
            <w:vAlign w:val="center"/>
          </w:tcPr>
          <w:p w14:paraId="1D6871B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92" w:type="pct"/>
            <w:tcBorders>
              <w:top w:val="single" w:color="auto" w:sz="4" w:space="0"/>
              <w:left w:val="single" w:color="auto" w:sz="4" w:space="0"/>
              <w:bottom w:val="single" w:color="auto" w:sz="4" w:space="0"/>
              <w:right w:val="single" w:color="auto" w:sz="4" w:space="0"/>
            </w:tcBorders>
            <w:noWrap/>
            <w:vAlign w:val="center"/>
          </w:tcPr>
          <w:p w14:paraId="17727A7F">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70702DD9">
        <w:tblPrEx>
          <w:tblCellMar>
            <w:top w:w="0" w:type="dxa"/>
            <w:left w:w="108" w:type="dxa"/>
            <w:bottom w:w="0" w:type="dxa"/>
            <w:right w:w="108" w:type="dxa"/>
          </w:tblCellMar>
        </w:tblPrEx>
        <w:trPr>
          <w:trHeight w:val="462" w:hRule="atLeast"/>
          <w:jc w:val="center"/>
        </w:trPr>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4454FDF2">
            <w:pPr>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4F496625">
            <w:pPr>
              <w:spacing w:line="0" w:lineRule="atLeast"/>
              <w:jc w:val="center"/>
              <w:rPr>
                <w:rFonts w:ascii="新宋体" w:hAnsi="新宋体" w:eastAsia="新宋体" w:cs="新宋体"/>
                <w:color w:val="000000"/>
                <w:szCs w:val="21"/>
              </w:rPr>
            </w:pPr>
          </w:p>
        </w:tc>
        <w:tc>
          <w:tcPr>
            <w:tcW w:w="508" w:type="pct"/>
            <w:vMerge w:val="continue"/>
            <w:tcBorders>
              <w:top w:val="single" w:color="auto" w:sz="4" w:space="0"/>
              <w:left w:val="single" w:color="auto" w:sz="4" w:space="0"/>
              <w:bottom w:val="single" w:color="auto" w:sz="4" w:space="0"/>
              <w:right w:val="single" w:color="auto" w:sz="4" w:space="0"/>
            </w:tcBorders>
            <w:noWrap/>
            <w:vAlign w:val="center"/>
          </w:tcPr>
          <w:p w14:paraId="0931C3AA">
            <w:pPr>
              <w:spacing w:line="0" w:lineRule="atLeast"/>
              <w:jc w:val="center"/>
              <w:rPr>
                <w:rFonts w:ascii="新宋体" w:hAnsi="新宋体" w:eastAsia="新宋体" w:cs="新宋体"/>
                <w:color w:val="000000"/>
                <w:spacing w:val="-2"/>
                <w:szCs w:val="21"/>
              </w:rPr>
            </w:pPr>
          </w:p>
        </w:tc>
        <w:tc>
          <w:tcPr>
            <w:tcW w:w="945" w:type="pct"/>
            <w:tcBorders>
              <w:top w:val="single" w:color="auto" w:sz="4" w:space="0"/>
              <w:left w:val="single" w:color="auto" w:sz="4" w:space="0"/>
              <w:bottom w:val="single" w:color="auto" w:sz="4" w:space="0"/>
              <w:right w:val="single" w:color="auto" w:sz="4" w:space="0"/>
            </w:tcBorders>
            <w:noWrap/>
            <w:vAlign w:val="center"/>
          </w:tcPr>
          <w:p w14:paraId="651882EC">
            <w:pPr>
              <w:widowControl/>
              <w:spacing w:line="0" w:lineRule="atLeast"/>
              <w:jc w:val="left"/>
              <w:rPr>
                <w:rFonts w:ascii="新宋体" w:hAnsi="新宋体" w:eastAsia="新宋体" w:cs="新宋体"/>
                <w:color w:val="000000"/>
                <w:spacing w:val="-10"/>
                <w:w w:val="90"/>
                <w:szCs w:val="21"/>
              </w:rPr>
            </w:pPr>
            <w:r>
              <w:rPr>
                <w:rFonts w:hint="eastAsia" w:ascii="新宋体" w:hAnsi="新宋体" w:eastAsia="新宋体" w:cs="新宋体"/>
                <w:color w:val="000000"/>
                <w:spacing w:val="-10"/>
                <w:w w:val="90"/>
                <w:szCs w:val="21"/>
              </w:rPr>
              <w:t>财政供养人员控制率</w:t>
            </w:r>
          </w:p>
        </w:tc>
        <w:tc>
          <w:tcPr>
            <w:tcW w:w="646" w:type="pct"/>
            <w:tcBorders>
              <w:top w:val="single" w:color="auto" w:sz="4" w:space="0"/>
              <w:left w:val="single" w:color="auto" w:sz="4" w:space="0"/>
              <w:bottom w:val="single" w:color="auto" w:sz="4" w:space="0"/>
              <w:right w:val="single" w:color="auto" w:sz="4" w:space="0"/>
            </w:tcBorders>
            <w:noWrap/>
            <w:vAlign w:val="center"/>
          </w:tcPr>
          <w:p w14:paraId="76B35DF6">
            <w:pPr>
              <w:widowControl/>
              <w:spacing w:line="0" w:lineRule="atLeast"/>
              <w:jc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610" w:type="pct"/>
            <w:tcBorders>
              <w:top w:val="single" w:color="auto" w:sz="4" w:space="0"/>
              <w:left w:val="single" w:color="auto" w:sz="4" w:space="0"/>
              <w:bottom w:val="single" w:color="auto" w:sz="4" w:space="0"/>
              <w:right w:val="single" w:color="auto" w:sz="4" w:space="0"/>
            </w:tcBorders>
            <w:noWrap/>
            <w:vAlign w:val="center"/>
          </w:tcPr>
          <w:p w14:paraId="62E1268C">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323" w:type="pct"/>
            <w:tcBorders>
              <w:top w:val="single" w:color="auto" w:sz="4" w:space="0"/>
              <w:left w:val="single" w:color="auto" w:sz="4" w:space="0"/>
              <w:bottom w:val="single" w:color="auto" w:sz="4" w:space="0"/>
              <w:right w:val="single" w:color="auto" w:sz="4" w:space="0"/>
            </w:tcBorders>
            <w:noWrap/>
            <w:vAlign w:val="center"/>
          </w:tcPr>
          <w:p w14:paraId="312596C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41" w:type="pct"/>
            <w:tcBorders>
              <w:top w:val="single" w:color="auto" w:sz="4" w:space="0"/>
              <w:left w:val="single" w:color="auto" w:sz="4" w:space="0"/>
              <w:bottom w:val="single" w:color="auto" w:sz="4" w:space="0"/>
              <w:right w:val="single" w:color="auto" w:sz="4" w:space="0"/>
            </w:tcBorders>
            <w:noWrap/>
            <w:vAlign w:val="center"/>
          </w:tcPr>
          <w:p w14:paraId="1466B0B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92" w:type="pct"/>
            <w:tcBorders>
              <w:top w:val="single" w:color="auto" w:sz="4" w:space="0"/>
              <w:left w:val="single" w:color="auto" w:sz="4" w:space="0"/>
              <w:bottom w:val="single" w:color="auto" w:sz="4" w:space="0"/>
              <w:right w:val="single" w:color="auto" w:sz="4" w:space="0"/>
            </w:tcBorders>
            <w:noWrap/>
            <w:vAlign w:val="center"/>
          </w:tcPr>
          <w:p w14:paraId="78F5E492">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507B7FCB">
        <w:tblPrEx>
          <w:tblCellMar>
            <w:top w:w="0" w:type="dxa"/>
            <w:left w:w="108" w:type="dxa"/>
            <w:bottom w:w="0" w:type="dxa"/>
            <w:right w:w="108" w:type="dxa"/>
          </w:tblCellMar>
        </w:tblPrEx>
        <w:trPr>
          <w:trHeight w:val="462" w:hRule="atLeast"/>
          <w:jc w:val="center"/>
        </w:trPr>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51AB7393">
            <w:pPr>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0914C799">
            <w:pPr>
              <w:spacing w:line="0" w:lineRule="atLeast"/>
              <w:jc w:val="center"/>
              <w:rPr>
                <w:rFonts w:ascii="新宋体" w:hAnsi="新宋体" w:eastAsia="新宋体" w:cs="新宋体"/>
                <w:color w:val="000000"/>
                <w:szCs w:val="21"/>
              </w:rPr>
            </w:pPr>
          </w:p>
        </w:tc>
        <w:tc>
          <w:tcPr>
            <w:tcW w:w="508" w:type="pct"/>
            <w:vMerge w:val="continue"/>
            <w:tcBorders>
              <w:top w:val="single" w:color="auto" w:sz="4" w:space="0"/>
              <w:left w:val="single" w:color="auto" w:sz="4" w:space="0"/>
              <w:bottom w:val="single" w:color="auto" w:sz="4" w:space="0"/>
              <w:right w:val="single" w:color="auto" w:sz="4" w:space="0"/>
            </w:tcBorders>
            <w:noWrap/>
            <w:vAlign w:val="center"/>
          </w:tcPr>
          <w:p w14:paraId="52367CB3">
            <w:pPr>
              <w:widowControl/>
              <w:spacing w:line="0" w:lineRule="atLeast"/>
              <w:jc w:val="center"/>
              <w:rPr>
                <w:rFonts w:ascii="新宋体" w:hAnsi="新宋体" w:eastAsia="新宋体" w:cs="新宋体"/>
                <w:color w:val="000000"/>
                <w:spacing w:val="-2"/>
                <w:szCs w:val="21"/>
              </w:rPr>
            </w:pPr>
          </w:p>
        </w:tc>
        <w:tc>
          <w:tcPr>
            <w:tcW w:w="945" w:type="pct"/>
            <w:tcBorders>
              <w:top w:val="single" w:color="auto" w:sz="4" w:space="0"/>
              <w:left w:val="single" w:color="auto" w:sz="4" w:space="0"/>
              <w:bottom w:val="single" w:color="auto" w:sz="4" w:space="0"/>
              <w:right w:val="single" w:color="auto" w:sz="4" w:space="0"/>
            </w:tcBorders>
            <w:noWrap/>
            <w:vAlign w:val="center"/>
          </w:tcPr>
          <w:p w14:paraId="4CD8E13E">
            <w:pPr>
              <w:widowControl/>
              <w:spacing w:line="0" w:lineRule="atLeast"/>
              <w:jc w:val="left"/>
              <w:rPr>
                <w:rFonts w:ascii="新宋体" w:hAnsi="新宋体" w:eastAsia="新宋体" w:cs="新宋体"/>
                <w:color w:val="000000"/>
                <w:spacing w:val="-2"/>
                <w:szCs w:val="21"/>
              </w:rPr>
            </w:pPr>
            <w:r>
              <w:rPr>
                <w:rFonts w:hint="eastAsia" w:ascii="新宋体" w:hAnsi="新宋体" w:eastAsia="新宋体" w:cs="新宋体"/>
                <w:color w:val="000000"/>
                <w:spacing w:val="-2"/>
                <w:szCs w:val="21"/>
              </w:rPr>
              <w:t>三公经费变动率</w:t>
            </w:r>
          </w:p>
        </w:tc>
        <w:tc>
          <w:tcPr>
            <w:tcW w:w="646" w:type="pct"/>
            <w:tcBorders>
              <w:top w:val="single" w:color="auto" w:sz="4" w:space="0"/>
              <w:left w:val="single" w:color="auto" w:sz="4" w:space="0"/>
              <w:bottom w:val="single" w:color="auto" w:sz="4" w:space="0"/>
              <w:right w:val="single" w:color="auto" w:sz="4" w:space="0"/>
            </w:tcBorders>
            <w:noWrap/>
            <w:vAlign w:val="center"/>
          </w:tcPr>
          <w:p w14:paraId="0DD2BC7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≦0</w:t>
            </w:r>
          </w:p>
        </w:tc>
        <w:tc>
          <w:tcPr>
            <w:tcW w:w="610" w:type="pct"/>
            <w:tcBorders>
              <w:top w:val="single" w:color="auto" w:sz="4" w:space="0"/>
              <w:left w:val="single" w:color="auto" w:sz="4" w:space="0"/>
              <w:bottom w:val="single" w:color="auto" w:sz="4" w:space="0"/>
              <w:right w:val="single" w:color="auto" w:sz="4" w:space="0"/>
            </w:tcBorders>
            <w:noWrap/>
            <w:vAlign w:val="center"/>
          </w:tcPr>
          <w:p w14:paraId="4DE940F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0</w:t>
            </w:r>
          </w:p>
        </w:tc>
        <w:tc>
          <w:tcPr>
            <w:tcW w:w="323" w:type="pct"/>
            <w:tcBorders>
              <w:top w:val="single" w:color="auto" w:sz="4" w:space="0"/>
              <w:left w:val="single" w:color="auto" w:sz="4" w:space="0"/>
              <w:bottom w:val="single" w:color="auto" w:sz="4" w:space="0"/>
              <w:right w:val="single" w:color="auto" w:sz="4" w:space="0"/>
            </w:tcBorders>
            <w:noWrap/>
            <w:vAlign w:val="center"/>
          </w:tcPr>
          <w:p w14:paraId="187256B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41" w:type="pct"/>
            <w:tcBorders>
              <w:top w:val="single" w:color="auto" w:sz="4" w:space="0"/>
              <w:left w:val="single" w:color="auto" w:sz="4" w:space="0"/>
              <w:bottom w:val="single" w:color="auto" w:sz="4" w:space="0"/>
              <w:right w:val="single" w:color="auto" w:sz="4" w:space="0"/>
            </w:tcBorders>
            <w:noWrap/>
            <w:vAlign w:val="center"/>
          </w:tcPr>
          <w:p w14:paraId="437E11E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92" w:type="pct"/>
            <w:tcBorders>
              <w:top w:val="single" w:color="auto" w:sz="4" w:space="0"/>
              <w:left w:val="single" w:color="auto" w:sz="4" w:space="0"/>
              <w:bottom w:val="single" w:color="auto" w:sz="4" w:space="0"/>
              <w:right w:val="single" w:color="auto" w:sz="4" w:space="0"/>
            </w:tcBorders>
            <w:noWrap/>
            <w:vAlign w:val="center"/>
          </w:tcPr>
          <w:p w14:paraId="038D3149">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0093366A">
        <w:tblPrEx>
          <w:tblCellMar>
            <w:top w:w="0" w:type="dxa"/>
            <w:left w:w="108" w:type="dxa"/>
            <w:bottom w:w="0" w:type="dxa"/>
            <w:right w:w="108" w:type="dxa"/>
          </w:tblCellMar>
        </w:tblPrEx>
        <w:trPr>
          <w:trHeight w:val="334" w:hRule="atLeast"/>
          <w:jc w:val="center"/>
        </w:trPr>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130D2393">
            <w:pPr>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59EF5018">
            <w:pPr>
              <w:spacing w:line="0" w:lineRule="atLeast"/>
              <w:jc w:val="center"/>
              <w:rPr>
                <w:rFonts w:ascii="新宋体" w:hAnsi="新宋体" w:eastAsia="新宋体" w:cs="新宋体"/>
                <w:color w:val="000000"/>
                <w:szCs w:val="21"/>
              </w:rPr>
            </w:pPr>
          </w:p>
        </w:tc>
        <w:tc>
          <w:tcPr>
            <w:tcW w:w="508" w:type="pct"/>
            <w:vMerge w:val="restart"/>
            <w:tcBorders>
              <w:top w:val="single" w:color="auto" w:sz="4" w:space="0"/>
              <w:left w:val="single" w:color="auto" w:sz="4" w:space="0"/>
              <w:bottom w:val="single" w:color="auto" w:sz="4" w:space="0"/>
              <w:right w:val="single" w:color="auto" w:sz="4" w:space="0"/>
            </w:tcBorders>
            <w:noWrap/>
            <w:vAlign w:val="center"/>
          </w:tcPr>
          <w:p w14:paraId="46743626">
            <w:pPr>
              <w:widowControl/>
              <w:spacing w:line="0" w:lineRule="atLeast"/>
              <w:jc w:val="center"/>
              <w:rPr>
                <w:rFonts w:ascii="新宋体" w:hAnsi="新宋体" w:eastAsia="新宋体" w:cs="新宋体"/>
                <w:color w:val="000000"/>
                <w:spacing w:val="-2"/>
                <w:szCs w:val="21"/>
              </w:rPr>
            </w:pPr>
            <w:r>
              <w:rPr>
                <w:rFonts w:hint="eastAsia" w:ascii="新宋体" w:hAnsi="新宋体" w:eastAsia="新宋体" w:cs="新宋体"/>
                <w:color w:val="000000"/>
                <w:spacing w:val="-2"/>
                <w:szCs w:val="21"/>
              </w:rPr>
              <w:t>质量</w:t>
            </w:r>
          </w:p>
          <w:p w14:paraId="2A159EF4">
            <w:pPr>
              <w:widowControl/>
              <w:spacing w:line="0" w:lineRule="atLeast"/>
              <w:jc w:val="center"/>
              <w:rPr>
                <w:rFonts w:ascii="新宋体" w:hAnsi="新宋体" w:eastAsia="新宋体" w:cs="新宋体"/>
                <w:color w:val="000000"/>
                <w:spacing w:val="-2"/>
                <w:szCs w:val="21"/>
              </w:rPr>
            </w:pPr>
            <w:r>
              <w:rPr>
                <w:rFonts w:hint="eastAsia" w:ascii="新宋体" w:hAnsi="新宋体" w:eastAsia="新宋体" w:cs="新宋体"/>
                <w:color w:val="000000"/>
                <w:spacing w:val="-2"/>
                <w:szCs w:val="21"/>
              </w:rPr>
              <w:t>指标</w:t>
            </w:r>
          </w:p>
        </w:tc>
        <w:tc>
          <w:tcPr>
            <w:tcW w:w="945" w:type="pct"/>
            <w:tcBorders>
              <w:top w:val="single" w:color="auto" w:sz="4" w:space="0"/>
              <w:left w:val="single" w:color="auto" w:sz="4" w:space="0"/>
              <w:bottom w:val="single" w:color="auto" w:sz="4" w:space="0"/>
              <w:right w:val="single" w:color="auto" w:sz="4" w:space="0"/>
            </w:tcBorders>
            <w:noWrap/>
            <w:vAlign w:val="center"/>
          </w:tcPr>
          <w:p w14:paraId="100B104E">
            <w:pPr>
              <w:widowControl/>
              <w:spacing w:line="0" w:lineRule="atLeast"/>
              <w:jc w:val="left"/>
              <w:rPr>
                <w:rFonts w:ascii="新宋体" w:hAnsi="新宋体" w:eastAsia="新宋体" w:cs="新宋体"/>
                <w:color w:val="000000"/>
                <w:spacing w:val="-2"/>
                <w:szCs w:val="21"/>
              </w:rPr>
            </w:pPr>
            <w:r>
              <w:rPr>
                <w:rFonts w:hint="eastAsia" w:ascii="新宋体" w:hAnsi="新宋体" w:eastAsia="新宋体" w:cs="新宋体"/>
                <w:color w:val="000000"/>
                <w:spacing w:val="-2"/>
                <w:w w:val="90"/>
                <w:szCs w:val="21"/>
              </w:rPr>
              <w:t>固定资产利用率</w:t>
            </w:r>
          </w:p>
        </w:tc>
        <w:tc>
          <w:tcPr>
            <w:tcW w:w="646" w:type="pct"/>
            <w:tcBorders>
              <w:top w:val="single" w:color="auto" w:sz="4" w:space="0"/>
              <w:left w:val="single" w:color="auto" w:sz="4" w:space="0"/>
              <w:bottom w:val="single" w:color="auto" w:sz="4" w:space="0"/>
              <w:right w:val="single" w:color="auto" w:sz="4" w:space="0"/>
            </w:tcBorders>
            <w:noWrap/>
            <w:vAlign w:val="center"/>
          </w:tcPr>
          <w:p w14:paraId="67AD7F03">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≧90%</w:t>
            </w:r>
          </w:p>
        </w:tc>
        <w:tc>
          <w:tcPr>
            <w:tcW w:w="610" w:type="pct"/>
            <w:tcBorders>
              <w:top w:val="single" w:color="auto" w:sz="4" w:space="0"/>
              <w:left w:val="single" w:color="auto" w:sz="4" w:space="0"/>
              <w:bottom w:val="single" w:color="auto" w:sz="4" w:space="0"/>
              <w:right w:val="single" w:color="auto" w:sz="4" w:space="0"/>
            </w:tcBorders>
            <w:noWrap/>
            <w:vAlign w:val="center"/>
          </w:tcPr>
          <w:p w14:paraId="6C872FBB">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323" w:type="pct"/>
            <w:tcBorders>
              <w:top w:val="single" w:color="auto" w:sz="4" w:space="0"/>
              <w:left w:val="single" w:color="auto" w:sz="4" w:space="0"/>
              <w:bottom w:val="single" w:color="auto" w:sz="4" w:space="0"/>
              <w:right w:val="single" w:color="auto" w:sz="4" w:space="0"/>
            </w:tcBorders>
            <w:noWrap/>
            <w:vAlign w:val="center"/>
          </w:tcPr>
          <w:p w14:paraId="767F0F8E">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41" w:type="pct"/>
            <w:tcBorders>
              <w:top w:val="single" w:color="auto" w:sz="4" w:space="0"/>
              <w:left w:val="single" w:color="auto" w:sz="4" w:space="0"/>
              <w:bottom w:val="single" w:color="auto" w:sz="4" w:space="0"/>
              <w:right w:val="single" w:color="auto" w:sz="4" w:space="0"/>
            </w:tcBorders>
            <w:noWrap/>
            <w:vAlign w:val="center"/>
          </w:tcPr>
          <w:p w14:paraId="7DACE28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92" w:type="pct"/>
            <w:tcBorders>
              <w:top w:val="single" w:color="auto" w:sz="4" w:space="0"/>
              <w:left w:val="single" w:color="auto" w:sz="4" w:space="0"/>
              <w:bottom w:val="single" w:color="auto" w:sz="4" w:space="0"/>
              <w:right w:val="single" w:color="auto" w:sz="4" w:space="0"/>
            </w:tcBorders>
            <w:noWrap/>
            <w:vAlign w:val="center"/>
          </w:tcPr>
          <w:p w14:paraId="1DC7294F">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01217868">
        <w:tblPrEx>
          <w:tblCellMar>
            <w:top w:w="0" w:type="dxa"/>
            <w:left w:w="108" w:type="dxa"/>
            <w:bottom w:w="0" w:type="dxa"/>
            <w:right w:w="108" w:type="dxa"/>
          </w:tblCellMar>
        </w:tblPrEx>
        <w:trPr>
          <w:trHeight w:val="439" w:hRule="atLeast"/>
          <w:jc w:val="center"/>
        </w:trPr>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6AAE4DF9">
            <w:pPr>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4B76BBAD">
            <w:pPr>
              <w:spacing w:line="0" w:lineRule="atLeast"/>
              <w:jc w:val="center"/>
              <w:rPr>
                <w:rFonts w:ascii="新宋体" w:hAnsi="新宋体" w:eastAsia="新宋体" w:cs="新宋体"/>
                <w:color w:val="000000"/>
                <w:szCs w:val="21"/>
              </w:rPr>
            </w:pPr>
          </w:p>
        </w:tc>
        <w:tc>
          <w:tcPr>
            <w:tcW w:w="508" w:type="pct"/>
            <w:vMerge w:val="continue"/>
            <w:tcBorders>
              <w:top w:val="single" w:color="auto" w:sz="4" w:space="0"/>
              <w:left w:val="single" w:color="auto" w:sz="4" w:space="0"/>
              <w:bottom w:val="single" w:color="auto" w:sz="4" w:space="0"/>
              <w:right w:val="single" w:color="auto" w:sz="4" w:space="0"/>
            </w:tcBorders>
            <w:noWrap/>
            <w:vAlign w:val="center"/>
          </w:tcPr>
          <w:p w14:paraId="55B48B30">
            <w:pPr>
              <w:spacing w:line="0" w:lineRule="atLeast"/>
              <w:jc w:val="center"/>
              <w:rPr>
                <w:rFonts w:ascii="新宋体" w:hAnsi="新宋体" w:eastAsia="新宋体" w:cs="新宋体"/>
                <w:color w:val="000000"/>
                <w:szCs w:val="21"/>
              </w:rPr>
            </w:pPr>
          </w:p>
        </w:tc>
        <w:tc>
          <w:tcPr>
            <w:tcW w:w="945" w:type="pct"/>
            <w:tcBorders>
              <w:top w:val="single" w:color="auto" w:sz="4" w:space="0"/>
              <w:left w:val="single" w:color="auto" w:sz="4" w:space="0"/>
              <w:bottom w:val="single" w:color="auto" w:sz="4" w:space="0"/>
              <w:right w:val="single" w:color="auto" w:sz="4" w:space="0"/>
            </w:tcBorders>
            <w:noWrap/>
            <w:vAlign w:val="center"/>
          </w:tcPr>
          <w:p w14:paraId="606C1BDD">
            <w:pPr>
              <w:widowControl/>
              <w:spacing w:line="0" w:lineRule="atLeast"/>
              <w:jc w:val="left"/>
              <w:rPr>
                <w:rFonts w:ascii="新宋体" w:hAnsi="新宋体" w:eastAsia="新宋体" w:cs="新宋体"/>
                <w:color w:val="000000"/>
                <w:spacing w:val="-20"/>
                <w:w w:val="90"/>
                <w:szCs w:val="21"/>
              </w:rPr>
            </w:pPr>
            <w:r>
              <w:rPr>
                <w:rFonts w:hint="eastAsia" w:ascii="新宋体" w:hAnsi="新宋体" w:eastAsia="新宋体" w:cs="新宋体"/>
                <w:color w:val="000000"/>
                <w:spacing w:val="-20"/>
                <w:w w:val="90"/>
                <w:szCs w:val="21"/>
              </w:rPr>
              <w:t>各项经济指标完成率</w:t>
            </w:r>
          </w:p>
        </w:tc>
        <w:tc>
          <w:tcPr>
            <w:tcW w:w="646" w:type="pct"/>
            <w:tcBorders>
              <w:top w:val="single" w:color="auto" w:sz="4" w:space="0"/>
              <w:left w:val="single" w:color="auto" w:sz="4" w:space="0"/>
              <w:bottom w:val="single" w:color="auto" w:sz="4" w:space="0"/>
              <w:right w:val="single" w:color="auto" w:sz="4" w:space="0"/>
            </w:tcBorders>
            <w:noWrap/>
            <w:vAlign w:val="center"/>
          </w:tcPr>
          <w:p w14:paraId="0C230066">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≧90%</w:t>
            </w:r>
          </w:p>
        </w:tc>
        <w:tc>
          <w:tcPr>
            <w:tcW w:w="610" w:type="pct"/>
            <w:tcBorders>
              <w:top w:val="single" w:color="auto" w:sz="4" w:space="0"/>
              <w:left w:val="single" w:color="auto" w:sz="4" w:space="0"/>
              <w:bottom w:val="single" w:color="auto" w:sz="4" w:space="0"/>
              <w:right w:val="single" w:color="auto" w:sz="4" w:space="0"/>
            </w:tcBorders>
            <w:noWrap/>
            <w:vAlign w:val="center"/>
          </w:tcPr>
          <w:p w14:paraId="18841C41">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323" w:type="pct"/>
            <w:tcBorders>
              <w:top w:val="single" w:color="auto" w:sz="4" w:space="0"/>
              <w:left w:val="single" w:color="auto" w:sz="4" w:space="0"/>
              <w:bottom w:val="single" w:color="auto" w:sz="4" w:space="0"/>
              <w:right w:val="single" w:color="auto" w:sz="4" w:space="0"/>
            </w:tcBorders>
            <w:noWrap/>
            <w:vAlign w:val="center"/>
          </w:tcPr>
          <w:p w14:paraId="289D9060">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41" w:type="pct"/>
            <w:tcBorders>
              <w:top w:val="single" w:color="auto" w:sz="4" w:space="0"/>
              <w:left w:val="single" w:color="auto" w:sz="4" w:space="0"/>
              <w:bottom w:val="single" w:color="auto" w:sz="4" w:space="0"/>
              <w:right w:val="single" w:color="auto" w:sz="4" w:space="0"/>
            </w:tcBorders>
            <w:noWrap/>
            <w:vAlign w:val="center"/>
          </w:tcPr>
          <w:p w14:paraId="10AB82B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92" w:type="pct"/>
            <w:tcBorders>
              <w:top w:val="single" w:color="auto" w:sz="4" w:space="0"/>
              <w:left w:val="single" w:color="auto" w:sz="4" w:space="0"/>
              <w:bottom w:val="single" w:color="auto" w:sz="4" w:space="0"/>
              <w:right w:val="single" w:color="auto" w:sz="4" w:space="0"/>
            </w:tcBorders>
            <w:noWrap/>
            <w:vAlign w:val="center"/>
          </w:tcPr>
          <w:p w14:paraId="5D4DC183">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51BC2C7F">
        <w:tblPrEx>
          <w:tblCellMar>
            <w:top w:w="0" w:type="dxa"/>
            <w:left w:w="108" w:type="dxa"/>
            <w:bottom w:w="0" w:type="dxa"/>
            <w:right w:w="108" w:type="dxa"/>
          </w:tblCellMar>
        </w:tblPrEx>
        <w:trPr>
          <w:trHeight w:val="462" w:hRule="atLeast"/>
          <w:jc w:val="center"/>
        </w:trPr>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5052799D">
            <w:pPr>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655E5CF7">
            <w:pPr>
              <w:spacing w:line="0" w:lineRule="atLeast"/>
              <w:jc w:val="center"/>
              <w:rPr>
                <w:rFonts w:ascii="新宋体" w:hAnsi="新宋体" w:eastAsia="新宋体" w:cs="新宋体"/>
                <w:color w:val="000000"/>
                <w:szCs w:val="21"/>
              </w:rPr>
            </w:pPr>
          </w:p>
        </w:tc>
        <w:tc>
          <w:tcPr>
            <w:tcW w:w="508" w:type="pct"/>
            <w:vMerge w:val="continue"/>
            <w:tcBorders>
              <w:top w:val="single" w:color="auto" w:sz="4" w:space="0"/>
              <w:left w:val="single" w:color="auto" w:sz="4" w:space="0"/>
              <w:bottom w:val="single" w:color="auto" w:sz="4" w:space="0"/>
              <w:right w:val="single" w:color="auto" w:sz="4" w:space="0"/>
            </w:tcBorders>
            <w:noWrap/>
            <w:vAlign w:val="center"/>
          </w:tcPr>
          <w:p w14:paraId="266B5243">
            <w:pPr>
              <w:widowControl/>
              <w:spacing w:line="0" w:lineRule="atLeast"/>
              <w:jc w:val="center"/>
              <w:rPr>
                <w:rFonts w:ascii="新宋体" w:hAnsi="新宋体" w:eastAsia="新宋体" w:cs="新宋体"/>
                <w:color w:val="000000"/>
                <w:szCs w:val="21"/>
              </w:rPr>
            </w:pPr>
          </w:p>
        </w:tc>
        <w:tc>
          <w:tcPr>
            <w:tcW w:w="945" w:type="pct"/>
            <w:tcBorders>
              <w:top w:val="single" w:color="auto" w:sz="4" w:space="0"/>
              <w:left w:val="single" w:color="auto" w:sz="4" w:space="0"/>
              <w:bottom w:val="single" w:color="auto" w:sz="4" w:space="0"/>
              <w:right w:val="single" w:color="auto" w:sz="4" w:space="0"/>
            </w:tcBorders>
            <w:noWrap/>
            <w:vAlign w:val="center"/>
          </w:tcPr>
          <w:p w14:paraId="4AD8254A">
            <w:pPr>
              <w:widowControl/>
              <w:jc w:val="left"/>
              <w:textAlignment w:val="center"/>
              <w:rPr>
                <w:rFonts w:ascii="新宋体" w:hAnsi="新宋体" w:eastAsia="新宋体" w:cs="新宋体"/>
                <w:color w:val="000000"/>
                <w:szCs w:val="21"/>
              </w:rPr>
            </w:pPr>
            <w:r>
              <w:rPr>
                <w:rFonts w:hint="eastAsia" w:ascii="宋体" w:hAnsi="宋体" w:cs="宋体"/>
                <w:color w:val="000000"/>
                <w:kern w:val="0"/>
                <w:sz w:val="22"/>
                <w:szCs w:val="22"/>
              </w:rPr>
              <w:t>公务卡刷卡率</w:t>
            </w:r>
          </w:p>
        </w:tc>
        <w:tc>
          <w:tcPr>
            <w:tcW w:w="646" w:type="pct"/>
            <w:tcBorders>
              <w:top w:val="single" w:color="auto" w:sz="4" w:space="0"/>
              <w:left w:val="single" w:color="auto" w:sz="4" w:space="0"/>
              <w:bottom w:val="single" w:color="auto" w:sz="4" w:space="0"/>
              <w:right w:val="single" w:color="auto" w:sz="4" w:space="0"/>
            </w:tcBorders>
            <w:noWrap/>
            <w:vAlign w:val="center"/>
          </w:tcPr>
          <w:p w14:paraId="3F763272">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≧98%</w:t>
            </w:r>
          </w:p>
        </w:tc>
        <w:tc>
          <w:tcPr>
            <w:tcW w:w="610" w:type="pct"/>
            <w:tcBorders>
              <w:top w:val="single" w:color="auto" w:sz="4" w:space="0"/>
              <w:left w:val="single" w:color="auto" w:sz="4" w:space="0"/>
              <w:bottom w:val="single" w:color="auto" w:sz="4" w:space="0"/>
              <w:right w:val="single" w:color="auto" w:sz="4" w:space="0"/>
            </w:tcBorders>
            <w:noWrap/>
            <w:vAlign w:val="center"/>
          </w:tcPr>
          <w:p w14:paraId="02D8945E">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323" w:type="pct"/>
            <w:tcBorders>
              <w:top w:val="single" w:color="auto" w:sz="4" w:space="0"/>
              <w:left w:val="single" w:color="auto" w:sz="4" w:space="0"/>
              <w:bottom w:val="single" w:color="auto" w:sz="4" w:space="0"/>
              <w:right w:val="single" w:color="auto" w:sz="4" w:space="0"/>
            </w:tcBorders>
            <w:noWrap/>
            <w:vAlign w:val="center"/>
          </w:tcPr>
          <w:p w14:paraId="637AD724">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41" w:type="pct"/>
            <w:tcBorders>
              <w:top w:val="single" w:color="auto" w:sz="4" w:space="0"/>
              <w:left w:val="single" w:color="auto" w:sz="4" w:space="0"/>
              <w:bottom w:val="single" w:color="auto" w:sz="4" w:space="0"/>
              <w:right w:val="single" w:color="auto" w:sz="4" w:space="0"/>
            </w:tcBorders>
            <w:noWrap/>
            <w:vAlign w:val="center"/>
          </w:tcPr>
          <w:p w14:paraId="47B479F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92" w:type="pct"/>
            <w:tcBorders>
              <w:top w:val="single" w:color="auto" w:sz="4" w:space="0"/>
              <w:left w:val="single" w:color="auto" w:sz="4" w:space="0"/>
              <w:bottom w:val="single" w:color="auto" w:sz="4" w:space="0"/>
              <w:right w:val="single" w:color="auto" w:sz="4" w:space="0"/>
            </w:tcBorders>
            <w:noWrap/>
            <w:vAlign w:val="center"/>
          </w:tcPr>
          <w:p w14:paraId="46469709">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184B5120">
        <w:tblPrEx>
          <w:tblCellMar>
            <w:top w:w="0" w:type="dxa"/>
            <w:left w:w="108" w:type="dxa"/>
            <w:bottom w:w="0" w:type="dxa"/>
            <w:right w:w="108" w:type="dxa"/>
          </w:tblCellMar>
        </w:tblPrEx>
        <w:trPr>
          <w:trHeight w:val="462" w:hRule="atLeast"/>
          <w:jc w:val="center"/>
        </w:trPr>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42F193F9">
            <w:pPr>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2E261487">
            <w:pPr>
              <w:spacing w:line="0" w:lineRule="atLeast"/>
              <w:jc w:val="center"/>
              <w:rPr>
                <w:rFonts w:ascii="新宋体" w:hAnsi="新宋体" w:eastAsia="新宋体" w:cs="新宋体"/>
                <w:color w:val="000000"/>
                <w:szCs w:val="21"/>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41F0CD4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时效</w:t>
            </w:r>
          </w:p>
          <w:p w14:paraId="4FB41CA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945" w:type="pct"/>
            <w:tcBorders>
              <w:top w:val="single" w:color="auto" w:sz="4" w:space="0"/>
              <w:left w:val="single" w:color="auto" w:sz="4" w:space="0"/>
              <w:bottom w:val="single" w:color="auto" w:sz="4" w:space="0"/>
              <w:right w:val="single" w:color="auto" w:sz="4" w:space="0"/>
            </w:tcBorders>
            <w:noWrap/>
            <w:vAlign w:val="center"/>
          </w:tcPr>
          <w:p w14:paraId="24CD25F2">
            <w:pPr>
              <w:widowControl/>
              <w:jc w:val="left"/>
              <w:textAlignment w:val="center"/>
              <w:rPr>
                <w:rFonts w:ascii="新宋体" w:hAnsi="新宋体" w:eastAsia="新宋体" w:cs="新宋体"/>
                <w:color w:val="000000"/>
                <w:szCs w:val="21"/>
              </w:rPr>
            </w:pPr>
            <w:r>
              <w:rPr>
                <w:rFonts w:hint="eastAsia" w:ascii="宋体" w:hAnsi="宋体" w:cs="宋体"/>
                <w:color w:val="000000"/>
                <w:kern w:val="0"/>
                <w:sz w:val="22"/>
                <w:szCs w:val="22"/>
              </w:rPr>
              <w:t>12月20日前预算执行支出率</w:t>
            </w:r>
          </w:p>
        </w:tc>
        <w:tc>
          <w:tcPr>
            <w:tcW w:w="646" w:type="pct"/>
            <w:tcBorders>
              <w:top w:val="single" w:color="auto" w:sz="4" w:space="0"/>
              <w:left w:val="single" w:color="auto" w:sz="4" w:space="0"/>
              <w:bottom w:val="single" w:color="auto" w:sz="4" w:space="0"/>
              <w:right w:val="single" w:color="auto" w:sz="4" w:space="0"/>
            </w:tcBorders>
            <w:noWrap/>
            <w:vAlign w:val="center"/>
          </w:tcPr>
          <w:p w14:paraId="24B7C521">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=100%</w:t>
            </w:r>
          </w:p>
        </w:tc>
        <w:tc>
          <w:tcPr>
            <w:tcW w:w="610" w:type="pct"/>
            <w:tcBorders>
              <w:top w:val="single" w:color="auto" w:sz="4" w:space="0"/>
              <w:left w:val="single" w:color="auto" w:sz="4" w:space="0"/>
              <w:bottom w:val="single" w:color="auto" w:sz="4" w:space="0"/>
              <w:right w:val="single" w:color="auto" w:sz="4" w:space="0"/>
            </w:tcBorders>
            <w:noWrap/>
            <w:vAlign w:val="center"/>
          </w:tcPr>
          <w:p w14:paraId="458746A1">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323" w:type="pct"/>
            <w:tcBorders>
              <w:top w:val="single" w:color="auto" w:sz="4" w:space="0"/>
              <w:left w:val="single" w:color="auto" w:sz="4" w:space="0"/>
              <w:bottom w:val="single" w:color="auto" w:sz="4" w:space="0"/>
              <w:right w:val="single" w:color="auto" w:sz="4" w:space="0"/>
            </w:tcBorders>
            <w:noWrap/>
            <w:vAlign w:val="center"/>
          </w:tcPr>
          <w:p w14:paraId="383C820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w:t>
            </w:r>
          </w:p>
        </w:tc>
        <w:tc>
          <w:tcPr>
            <w:tcW w:w="441" w:type="pct"/>
            <w:tcBorders>
              <w:top w:val="single" w:color="auto" w:sz="4" w:space="0"/>
              <w:left w:val="single" w:color="auto" w:sz="4" w:space="0"/>
              <w:bottom w:val="single" w:color="auto" w:sz="4" w:space="0"/>
              <w:right w:val="single" w:color="auto" w:sz="4" w:space="0"/>
            </w:tcBorders>
            <w:noWrap/>
            <w:vAlign w:val="center"/>
          </w:tcPr>
          <w:p w14:paraId="0DD8631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w:t>
            </w:r>
          </w:p>
        </w:tc>
        <w:tc>
          <w:tcPr>
            <w:tcW w:w="692" w:type="pct"/>
            <w:tcBorders>
              <w:top w:val="single" w:color="auto" w:sz="4" w:space="0"/>
              <w:left w:val="single" w:color="auto" w:sz="4" w:space="0"/>
              <w:bottom w:val="single" w:color="auto" w:sz="4" w:space="0"/>
              <w:right w:val="single" w:color="auto" w:sz="4" w:space="0"/>
            </w:tcBorders>
            <w:noWrap/>
            <w:vAlign w:val="center"/>
          </w:tcPr>
          <w:p w14:paraId="2C3BA577">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3A8BA1B8">
        <w:tblPrEx>
          <w:tblCellMar>
            <w:top w:w="0" w:type="dxa"/>
            <w:left w:w="108" w:type="dxa"/>
            <w:bottom w:w="0" w:type="dxa"/>
            <w:right w:w="108" w:type="dxa"/>
          </w:tblCellMar>
        </w:tblPrEx>
        <w:trPr>
          <w:trHeight w:val="462" w:hRule="atLeast"/>
          <w:jc w:val="center"/>
        </w:trPr>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75295749">
            <w:pPr>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4D2379CA">
            <w:pPr>
              <w:spacing w:line="0" w:lineRule="atLeast"/>
              <w:jc w:val="center"/>
              <w:rPr>
                <w:rFonts w:ascii="新宋体" w:hAnsi="新宋体" w:eastAsia="新宋体" w:cs="新宋体"/>
                <w:color w:val="000000"/>
                <w:szCs w:val="21"/>
              </w:rPr>
            </w:pPr>
          </w:p>
        </w:tc>
        <w:tc>
          <w:tcPr>
            <w:tcW w:w="508" w:type="pct"/>
            <w:vMerge w:val="restart"/>
            <w:tcBorders>
              <w:top w:val="single" w:color="auto" w:sz="4" w:space="0"/>
              <w:left w:val="single" w:color="auto" w:sz="4" w:space="0"/>
              <w:bottom w:val="single" w:color="auto" w:sz="4" w:space="0"/>
              <w:right w:val="single" w:color="auto" w:sz="4" w:space="0"/>
            </w:tcBorders>
            <w:noWrap/>
            <w:vAlign w:val="center"/>
          </w:tcPr>
          <w:p w14:paraId="0D2E336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成本</w:t>
            </w:r>
          </w:p>
          <w:p w14:paraId="4807989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945" w:type="pct"/>
            <w:tcBorders>
              <w:top w:val="single" w:color="auto" w:sz="4" w:space="0"/>
              <w:left w:val="single" w:color="auto" w:sz="4" w:space="0"/>
              <w:bottom w:val="single" w:color="auto" w:sz="4" w:space="0"/>
              <w:right w:val="single" w:color="auto" w:sz="4" w:space="0"/>
            </w:tcBorders>
            <w:noWrap/>
            <w:vAlign w:val="center"/>
          </w:tcPr>
          <w:p w14:paraId="66584D28">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基本支出</w:t>
            </w:r>
          </w:p>
        </w:tc>
        <w:tc>
          <w:tcPr>
            <w:tcW w:w="646" w:type="pct"/>
            <w:tcBorders>
              <w:top w:val="single" w:color="auto" w:sz="4" w:space="0"/>
              <w:left w:val="single" w:color="auto" w:sz="4" w:space="0"/>
              <w:bottom w:val="single" w:color="auto" w:sz="4" w:space="0"/>
              <w:right w:val="single" w:color="auto" w:sz="4" w:space="0"/>
            </w:tcBorders>
            <w:noWrap/>
            <w:vAlign w:val="center"/>
          </w:tcPr>
          <w:p w14:paraId="4C4EA214">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665.26</w:t>
            </w:r>
          </w:p>
        </w:tc>
        <w:tc>
          <w:tcPr>
            <w:tcW w:w="610" w:type="pct"/>
            <w:tcBorders>
              <w:top w:val="single" w:color="auto" w:sz="4" w:space="0"/>
              <w:left w:val="single" w:color="auto" w:sz="4" w:space="0"/>
              <w:bottom w:val="single" w:color="auto" w:sz="4" w:space="0"/>
              <w:right w:val="single" w:color="auto" w:sz="4" w:space="0"/>
            </w:tcBorders>
            <w:noWrap/>
            <w:vAlign w:val="center"/>
          </w:tcPr>
          <w:p w14:paraId="2F32A7C0">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100%</w:t>
            </w:r>
          </w:p>
        </w:tc>
        <w:tc>
          <w:tcPr>
            <w:tcW w:w="323" w:type="pct"/>
            <w:tcBorders>
              <w:top w:val="single" w:color="auto" w:sz="4" w:space="0"/>
              <w:left w:val="single" w:color="auto" w:sz="4" w:space="0"/>
              <w:bottom w:val="single" w:color="auto" w:sz="4" w:space="0"/>
              <w:right w:val="single" w:color="auto" w:sz="4" w:space="0"/>
            </w:tcBorders>
            <w:noWrap/>
            <w:vAlign w:val="center"/>
          </w:tcPr>
          <w:p w14:paraId="486AFBD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41" w:type="pct"/>
            <w:tcBorders>
              <w:top w:val="single" w:color="auto" w:sz="4" w:space="0"/>
              <w:left w:val="single" w:color="auto" w:sz="4" w:space="0"/>
              <w:bottom w:val="single" w:color="auto" w:sz="4" w:space="0"/>
              <w:right w:val="single" w:color="auto" w:sz="4" w:space="0"/>
            </w:tcBorders>
            <w:noWrap/>
            <w:vAlign w:val="center"/>
          </w:tcPr>
          <w:p w14:paraId="2631E75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92" w:type="pct"/>
            <w:tcBorders>
              <w:top w:val="single" w:color="auto" w:sz="4" w:space="0"/>
              <w:left w:val="single" w:color="auto" w:sz="4" w:space="0"/>
              <w:bottom w:val="single" w:color="auto" w:sz="4" w:space="0"/>
              <w:right w:val="single" w:color="auto" w:sz="4" w:space="0"/>
            </w:tcBorders>
            <w:noWrap/>
            <w:vAlign w:val="center"/>
          </w:tcPr>
          <w:p w14:paraId="5EEC75C3">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179874D5">
        <w:tblPrEx>
          <w:tblCellMar>
            <w:top w:w="0" w:type="dxa"/>
            <w:left w:w="108" w:type="dxa"/>
            <w:bottom w:w="0" w:type="dxa"/>
            <w:right w:w="108" w:type="dxa"/>
          </w:tblCellMar>
        </w:tblPrEx>
        <w:trPr>
          <w:trHeight w:val="462" w:hRule="atLeast"/>
          <w:jc w:val="center"/>
        </w:trPr>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6C60DB4B">
            <w:pPr>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63709BE2">
            <w:pPr>
              <w:spacing w:line="0" w:lineRule="atLeast"/>
              <w:jc w:val="center"/>
              <w:rPr>
                <w:rFonts w:ascii="新宋体" w:hAnsi="新宋体" w:eastAsia="新宋体" w:cs="新宋体"/>
                <w:color w:val="000000"/>
                <w:szCs w:val="21"/>
              </w:rPr>
            </w:pPr>
          </w:p>
        </w:tc>
        <w:tc>
          <w:tcPr>
            <w:tcW w:w="508" w:type="pct"/>
            <w:vMerge w:val="continue"/>
            <w:tcBorders>
              <w:top w:val="single" w:color="auto" w:sz="4" w:space="0"/>
              <w:left w:val="single" w:color="auto" w:sz="4" w:space="0"/>
              <w:bottom w:val="single" w:color="auto" w:sz="4" w:space="0"/>
              <w:right w:val="single" w:color="auto" w:sz="4" w:space="0"/>
            </w:tcBorders>
            <w:noWrap/>
            <w:vAlign w:val="center"/>
          </w:tcPr>
          <w:p w14:paraId="5D7D91F1">
            <w:pPr>
              <w:spacing w:line="0" w:lineRule="atLeast"/>
              <w:jc w:val="left"/>
              <w:rPr>
                <w:rFonts w:ascii="新宋体" w:hAnsi="新宋体" w:eastAsia="新宋体" w:cs="新宋体"/>
                <w:color w:val="000000"/>
                <w:szCs w:val="21"/>
              </w:rPr>
            </w:pPr>
          </w:p>
        </w:tc>
        <w:tc>
          <w:tcPr>
            <w:tcW w:w="945" w:type="pct"/>
            <w:tcBorders>
              <w:top w:val="single" w:color="auto" w:sz="4" w:space="0"/>
              <w:left w:val="single" w:color="auto" w:sz="4" w:space="0"/>
              <w:bottom w:val="single" w:color="auto" w:sz="4" w:space="0"/>
              <w:right w:val="single" w:color="auto" w:sz="4" w:space="0"/>
            </w:tcBorders>
            <w:noWrap/>
            <w:vAlign w:val="center"/>
          </w:tcPr>
          <w:p w14:paraId="65EC267A">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项目支出</w:t>
            </w:r>
          </w:p>
        </w:tc>
        <w:tc>
          <w:tcPr>
            <w:tcW w:w="646" w:type="pct"/>
            <w:tcBorders>
              <w:top w:val="single" w:color="auto" w:sz="4" w:space="0"/>
              <w:left w:val="single" w:color="auto" w:sz="4" w:space="0"/>
              <w:bottom w:val="single" w:color="auto" w:sz="4" w:space="0"/>
              <w:right w:val="single" w:color="auto" w:sz="4" w:space="0"/>
            </w:tcBorders>
            <w:noWrap/>
            <w:vAlign w:val="center"/>
          </w:tcPr>
          <w:p w14:paraId="0ACD8CBD">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368.68</w:t>
            </w:r>
          </w:p>
        </w:tc>
        <w:tc>
          <w:tcPr>
            <w:tcW w:w="610" w:type="pct"/>
            <w:tcBorders>
              <w:top w:val="single" w:color="auto" w:sz="4" w:space="0"/>
              <w:left w:val="single" w:color="auto" w:sz="4" w:space="0"/>
              <w:bottom w:val="single" w:color="auto" w:sz="4" w:space="0"/>
              <w:right w:val="single" w:color="auto" w:sz="4" w:space="0"/>
            </w:tcBorders>
            <w:noWrap/>
            <w:vAlign w:val="center"/>
          </w:tcPr>
          <w:p w14:paraId="1B649268">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100%</w:t>
            </w:r>
          </w:p>
        </w:tc>
        <w:tc>
          <w:tcPr>
            <w:tcW w:w="323" w:type="pct"/>
            <w:tcBorders>
              <w:top w:val="single" w:color="auto" w:sz="4" w:space="0"/>
              <w:left w:val="single" w:color="auto" w:sz="4" w:space="0"/>
              <w:bottom w:val="single" w:color="auto" w:sz="4" w:space="0"/>
              <w:right w:val="single" w:color="auto" w:sz="4" w:space="0"/>
            </w:tcBorders>
            <w:noWrap/>
            <w:vAlign w:val="center"/>
          </w:tcPr>
          <w:p w14:paraId="465D30F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41" w:type="pct"/>
            <w:tcBorders>
              <w:top w:val="single" w:color="auto" w:sz="4" w:space="0"/>
              <w:left w:val="single" w:color="auto" w:sz="4" w:space="0"/>
              <w:bottom w:val="single" w:color="auto" w:sz="4" w:space="0"/>
              <w:right w:val="single" w:color="auto" w:sz="4" w:space="0"/>
            </w:tcBorders>
            <w:noWrap/>
            <w:vAlign w:val="center"/>
          </w:tcPr>
          <w:p w14:paraId="27C0282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92" w:type="pct"/>
            <w:tcBorders>
              <w:top w:val="single" w:color="auto" w:sz="4" w:space="0"/>
              <w:left w:val="single" w:color="auto" w:sz="4" w:space="0"/>
              <w:bottom w:val="single" w:color="auto" w:sz="4" w:space="0"/>
              <w:right w:val="single" w:color="auto" w:sz="4" w:space="0"/>
            </w:tcBorders>
            <w:noWrap/>
            <w:vAlign w:val="center"/>
          </w:tcPr>
          <w:p w14:paraId="63A759C7">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5274D58D">
        <w:tblPrEx>
          <w:tblCellMar>
            <w:top w:w="0" w:type="dxa"/>
            <w:left w:w="108" w:type="dxa"/>
            <w:bottom w:w="0" w:type="dxa"/>
            <w:right w:w="108" w:type="dxa"/>
          </w:tblCellMar>
        </w:tblPrEx>
        <w:trPr>
          <w:trHeight w:val="850" w:hRule="atLeast"/>
          <w:jc w:val="center"/>
        </w:trPr>
        <w:tc>
          <w:tcPr>
            <w:tcW w:w="472" w:type="pct"/>
            <w:vMerge w:val="restart"/>
            <w:tcBorders>
              <w:top w:val="single" w:color="auto" w:sz="4" w:space="0"/>
              <w:left w:val="single" w:color="auto" w:sz="4" w:space="0"/>
              <w:right w:val="single" w:color="auto" w:sz="4" w:space="0"/>
            </w:tcBorders>
            <w:noWrap/>
            <w:vAlign w:val="center"/>
          </w:tcPr>
          <w:p w14:paraId="67F869C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绩</w:t>
            </w:r>
          </w:p>
          <w:p w14:paraId="41159B6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w:t>
            </w:r>
          </w:p>
          <w:p w14:paraId="72A9E61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w:t>
            </w:r>
          </w:p>
          <w:p w14:paraId="763E903F">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标</w:t>
            </w:r>
          </w:p>
        </w:tc>
        <w:tc>
          <w:tcPr>
            <w:tcW w:w="360" w:type="pct"/>
            <w:tcBorders>
              <w:top w:val="single" w:color="auto" w:sz="4" w:space="0"/>
              <w:left w:val="single" w:color="auto" w:sz="4" w:space="0"/>
              <w:bottom w:val="single" w:color="auto" w:sz="4" w:space="0"/>
              <w:right w:val="single" w:color="auto" w:sz="4" w:space="0"/>
            </w:tcBorders>
            <w:noWrap/>
            <w:vAlign w:val="center"/>
          </w:tcPr>
          <w:p w14:paraId="6E7F675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14:paraId="7A7DD4F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508" w:type="pct"/>
            <w:tcBorders>
              <w:top w:val="single" w:color="auto" w:sz="4" w:space="0"/>
              <w:left w:val="single" w:color="auto" w:sz="4" w:space="0"/>
              <w:bottom w:val="single" w:color="auto" w:sz="4" w:space="0"/>
              <w:right w:val="single" w:color="auto" w:sz="4" w:space="0"/>
            </w:tcBorders>
            <w:noWrap/>
            <w:vAlign w:val="center"/>
          </w:tcPr>
          <w:p w14:paraId="306F0C5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14:paraId="1E4D74A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945" w:type="pct"/>
            <w:tcBorders>
              <w:top w:val="single" w:color="auto" w:sz="4" w:space="0"/>
              <w:left w:val="single" w:color="auto" w:sz="4" w:space="0"/>
              <w:bottom w:val="single" w:color="auto" w:sz="4" w:space="0"/>
              <w:right w:val="single" w:color="auto" w:sz="4" w:space="0"/>
            </w:tcBorders>
            <w:noWrap/>
            <w:vAlign w:val="center"/>
          </w:tcPr>
          <w:p w14:paraId="7CF313E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14:paraId="5395A49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646" w:type="pct"/>
            <w:tcBorders>
              <w:top w:val="single" w:color="auto" w:sz="4" w:space="0"/>
              <w:left w:val="single" w:color="auto" w:sz="4" w:space="0"/>
              <w:bottom w:val="single" w:color="auto" w:sz="4" w:space="0"/>
              <w:right w:val="single" w:color="auto" w:sz="4" w:space="0"/>
            </w:tcBorders>
            <w:noWrap/>
            <w:vAlign w:val="center"/>
          </w:tcPr>
          <w:p w14:paraId="3E74DA3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14:paraId="068FD16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610" w:type="pct"/>
            <w:tcBorders>
              <w:top w:val="single" w:color="auto" w:sz="4" w:space="0"/>
              <w:left w:val="single" w:color="auto" w:sz="4" w:space="0"/>
              <w:bottom w:val="single" w:color="auto" w:sz="4" w:space="0"/>
              <w:right w:val="single" w:color="auto" w:sz="4" w:space="0"/>
            </w:tcBorders>
            <w:noWrap/>
            <w:vAlign w:val="center"/>
          </w:tcPr>
          <w:p w14:paraId="0A8C8C2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14:paraId="380285AB">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323" w:type="pct"/>
            <w:tcBorders>
              <w:top w:val="single" w:color="auto" w:sz="4" w:space="0"/>
              <w:left w:val="single" w:color="auto" w:sz="4" w:space="0"/>
              <w:bottom w:val="single" w:color="auto" w:sz="4" w:space="0"/>
              <w:right w:val="single" w:color="auto" w:sz="4" w:space="0"/>
            </w:tcBorders>
            <w:noWrap/>
            <w:vAlign w:val="center"/>
          </w:tcPr>
          <w:p w14:paraId="32D6C2D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441" w:type="pct"/>
            <w:tcBorders>
              <w:top w:val="single" w:color="auto" w:sz="4" w:space="0"/>
              <w:left w:val="single" w:color="auto" w:sz="4" w:space="0"/>
              <w:bottom w:val="single" w:color="auto" w:sz="4" w:space="0"/>
              <w:right w:val="single" w:color="auto" w:sz="4" w:space="0"/>
            </w:tcBorders>
            <w:noWrap/>
            <w:vAlign w:val="center"/>
          </w:tcPr>
          <w:p w14:paraId="39AA78D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692" w:type="pct"/>
            <w:tcBorders>
              <w:top w:val="single" w:color="auto" w:sz="4" w:space="0"/>
              <w:left w:val="single" w:color="auto" w:sz="4" w:space="0"/>
              <w:bottom w:val="single" w:color="auto" w:sz="4" w:space="0"/>
              <w:right w:val="single" w:color="auto" w:sz="4" w:space="0"/>
            </w:tcBorders>
            <w:noWrap/>
            <w:vAlign w:val="center"/>
          </w:tcPr>
          <w:p w14:paraId="05B2257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偏差原因分析及改进措施</w:t>
            </w:r>
          </w:p>
        </w:tc>
      </w:tr>
      <w:tr w14:paraId="7B6C65BD">
        <w:tblPrEx>
          <w:tblCellMar>
            <w:top w:w="0" w:type="dxa"/>
            <w:left w:w="108" w:type="dxa"/>
            <w:bottom w:w="0" w:type="dxa"/>
            <w:right w:w="108" w:type="dxa"/>
          </w:tblCellMar>
        </w:tblPrEx>
        <w:trPr>
          <w:trHeight w:val="462" w:hRule="atLeast"/>
          <w:jc w:val="center"/>
        </w:trPr>
        <w:tc>
          <w:tcPr>
            <w:tcW w:w="472" w:type="pct"/>
            <w:vMerge w:val="continue"/>
            <w:tcBorders>
              <w:left w:val="single" w:color="auto" w:sz="4" w:space="0"/>
              <w:right w:val="single" w:color="auto" w:sz="4" w:space="0"/>
            </w:tcBorders>
            <w:noWrap/>
            <w:vAlign w:val="center"/>
          </w:tcPr>
          <w:p w14:paraId="41987631">
            <w:pPr>
              <w:spacing w:line="0" w:lineRule="atLeast"/>
              <w:jc w:val="center"/>
              <w:rPr>
                <w:rFonts w:ascii="新宋体" w:hAnsi="新宋体" w:eastAsia="新宋体" w:cs="新宋体"/>
                <w:color w:val="000000"/>
                <w:szCs w:val="21"/>
              </w:rPr>
            </w:pPr>
          </w:p>
        </w:tc>
        <w:tc>
          <w:tcPr>
            <w:tcW w:w="360" w:type="pct"/>
            <w:vMerge w:val="restart"/>
            <w:tcBorders>
              <w:top w:val="single" w:color="auto" w:sz="4" w:space="0"/>
              <w:left w:val="single" w:color="auto" w:sz="4" w:space="0"/>
              <w:bottom w:val="single" w:color="auto" w:sz="4" w:space="0"/>
              <w:right w:val="single" w:color="auto" w:sz="4" w:space="0"/>
            </w:tcBorders>
            <w:noWrap/>
            <w:vAlign w:val="center"/>
          </w:tcPr>
          <w:p w14:paraId="55B6101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效益</w:t>
            </w:r>
          </w:p>
          <w:p w14:paraId="74BA5F7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14:paraId="266AD26B">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（30分）</w:t>
            </w:r>
          </w:p>
        </w:tc>
        <w:tc>
          <w:tcPr>
            <w:tcW w:w="508" w:type="pct"/>
            <w:tcBorders>
              <w:top w:val="single" w:color="auto" w:sz="4" w:space="0"/>
              <w:left w:val="single" w:color="auto" w:sz="4" w:space="0"/>
              <w:bottom w:val="single" w:color="auto" w:sz="4" w:space="0"/>
              <w:right w:val="single" w:color="auto" w:sz="4" w:space="0"/>
            </w:tcBorders>
            <w:noWrap/>
            <w:vAlign w:val="center"/>
          </w:tcPr>
          <w:p w14:paraId="0C6CCEA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经济效</w:t>
            </w:r>
          </w:p>
          <w:p w14:paraId="34AB555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945" w:type="pct"/>
            <w:tcBorders>
              <w:top w:val="single" w:color="auto" w:sz="4" w:space="0"/>
              <w:left w:val="single" w:color="auto" w:sz="4" w:space="0"/>
              <w:bottom w:val="single" w:color="auto" w:sz="4" w:space="0"/>
              <w:right w:val="single" w:color="auto" w:sz="4" w:space="0"/>
            </w:tcBorders>
            <w:noWrap/>
            <w:vAlign w:val="center"/>
          </w:tcPr>
          <w:p w14:paraId="6610085F">
            <w:pPr>
              <w:widowControl/>
              <w:jc w:val="left"/>
              <w:textAlignment w:val="center"/>
              <w:rPr>
                <w:rFonts w:ascii="宋体" w:hAnsi="宋体" w:cs="宋体"/>
                <w:color w:val="000000"/>
                <w:kern w:val="0"/>
                <w:sz w:val="22"/>
                <w:szCs w:val="22"/>
              </w:rPr>
            </w:pPr>
            <w:r>
              <w:rPr>
                <w:rFonts w:hint="eastAsia" w:ascii="新宋体" w:hAnsi="新宋体" w:eastAsia="新宋体" w:cs="新宋体"/>
                <w:color w:val="000000"/>
                <w:szCs w:val="21"/>
              </w:rPr>
              <w:t>解决了剩余劳动力的就业，增加了农民收入，全面带动了华容县都市农业休闲产业的蓬勃发展</w:t>
            </w:r>
          </w:p>
        </w:tc>
        <w:tc>
          <w:tcPr>
            <w:tcW w:w="646" w:type="pct"/>
            <w:tcBorders>
              <w:top w:val="single" w:color="auto" w:sz="4" w:space="0"/>
              <w:left w:val="single" w:color="auto" w:sz="4" w:space="0"/>
              <w:bottom w:val="single" w:color="auto" w:sz="4" w:space="0"/>
              <w:right w:val="single" w:color="auto" w:sz="4" w:space="0"/>
            </w:tcBorders>
            <w:noWrap/>
            <w:vAlign w:val="center"/>
          </w:tcPr>
          <w:p w14:paraId="2820BB3F">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=农民收入较上年提高%</w:t>
            </w:r>
          </w:p>
        </w:tc>
        <w:tc>
          <w:tcPr>
            <w:tcW w:w="610" w:type="pct"/>
            <w:tcBorders>
              <w:top w:val="single" w:color="auto" w:sz="4" w:space="0"/>
              <w:left w:val="single" w:color="auto" w:sz="4" w:space="0"/>
              <w:bottom w:val="single" w:color="auto" w:sz="4" w:space="0"/>
              <w:right w:val="single" w:color="auto" w:sz="4" w:space="0"/>
            </w:tcBorders>
            <w:noWrap/>
            <w:vAlign w:val="center"/>
          </w:tcPr>
          <w:p w14:paraId="6D5F93EC">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100%</w:t>
            </w:r>
          </w:p>
        </w:tc>
        <w:tc>
          <w:tcPr>
            <w:tcW w:w="323" w:type="pct"/>
            <w:tcBorders>
              <w:top w:val="single" w:color="auto" w:sz="4" w:space="0"/>
              <w:left w:val="single" w:color="auto" w:sz="4" w:space="0"/>
              <w:bottom w:val="single" w:color="auto" w:sz="4" w:space="0"/>
              <w:right w:val="single" w:color="auto" w:sz="4" w:space="0"/>
            </w:tcBorders>
            <w:noWrap/>
            <w:vAlign w:val="center"/>
          </w:tcPr>
          <w:p w14:paraId="7468459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w:t>
            </w:r>
          </w:p>
        </w:tc>
        <w:tc>
          <w:tcPr>
            <w:tcW w:w="441" w:type="pct"/>
            <w:tcBorders>
              <w:top w:val="single" w:color="auto" w:sz="4" w:space="0"/>
              <w:left w:val="single" w:color="auto" w:sz="4" w:space="0"/>
              <w:bottom w:val="single" w:color="auto" w:sz="4" w:space="0"/>
              <w:right w:val="single" w:color="auto" w:sz="4" w:space="0"/>
            </w:tcBorders>
            <w:noWrap/>
            <w:vAlign w:val="center"/>
          </w:tcPr>
          <w:p w14:paraId="0E3A3D2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w:t>
            </w:r>
          </w:p>
        </w:tc>
        <w:tc>
          <w:tcPr>
            <w:tcW w:w="692" w:type="pct"/>
            <w:tcBorders>
              <w:top w:val="single" w:color="auto" w:sz="4" w:space="0"/>
              <w:left w:val="single" w:color="auto" w:sz="4" w:space="0"/>
              <w:bottom w:val="single" w:color="auto" w:sz="4" w:space="0"/>
              <w:right w:val="single" w:color="auto" w:sz="4" w:space="0"/>
            </w:tcBorders>
            <w:noWrap/>
            <w:vAlign w:val="center"/>
          </w:tcPr>
          <w:p w14:paraId="3AB37858">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5D4AC177">
        <w:tblPrEx>
          <w:tblCellMar>
            <w:top w:w="0" w:type="dxa"/>
            <w:left w:w="108" w:type="dxa"/>
            <w:bottom w:w="0" w:type="dxa"/>
            <w:right w:w="108" w:type="dxa"/>
          </w:tblCellMar>
        </w:tblPrEx>
        <w:trPr>
          <w:trHeight w:val="462" w:hRule="atLeast"/>
          <w:jc w:val="center"/>
        </w:trPr>
        <w:tc>
          <w:tcPr>
            <w:tcW w:w="472" w:type="pct"/>
            <w:vMerge w:val="continue"/>
            <w:tcBorders>
              <w:left w:val="single" w:color="auto" w:sz="4" w:space="0"/>
              <w:right w:val="single" w:color="auto" w:sz="4" w:space="0"/>
            </w:tcBorders>
            <w:noWrap/>
            <w:vAlign w:val="center"/>
          </w:tcPr>
          <w:p w14:paraId="2EECD056">
            <w:pPr>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4327FBEC">
            <w:pPr>
              <w:spacing w:line="0" w:lineRule="atLeast"/>
              <w:jc w:val="center"/>
              <w:rPr>
                <w:rFonts w:ascii="新宋体" w:hAnsi="新宋体" w:eastAsia="新宋体" w:cs="新宋体"/>
                <w:color w:val="000000"/>
                <w:szCs w:val="21"/>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66F7069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社会效</w:t>
            </w:r>
          </w:p>
          <w:p w14:paraId="4C69AC6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945" w:type="pct"/>
            <w:tcBorders>
              <w:top w:val="nil"/>
              <w:left w:val="nil"/>
              <w:bottom w:val="single" w:color="auto" w:sz="4" w:space="0"/>
              <w:right w:val="single" w:color="auto" w:sz="4" w:space="0"/>
            </w:tcBorders>
            <w:noWrap/>
            <w:vAlign w:val="center"/>
          </w:tcPr>
          <w:p w14:paraId="65868CB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活跃了城乡文化生活</w:t>
            </w:r>
          </w:p>
        </w:tc>
        <w:tc>
          <w:tcPr>
            <w:tcW w:w="646" w:type="pct"/>
            <w:tcBorders>
              <w:top w:val="nil"/>
              <w:left w:val="nil"/>
              <w:bottom w:val="single" w:color="auto" w:sz="4" w:space="0"/>
              <w:right w:val="single" w:color="auto" w:sz="4" w:space="0"/>
            </w:tcBorders>
            <w:noWrap/>
            <w:vAlign w:val="center"/>
          </w:tcPr>
          <w:p w14:paraId="2535854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=活跃了城乡文化生活%</w:t>
            </w:r>
          </w:p>
        </w:tc>
        <w:tc>
          <w:tcPr>
            <w:tcW w:w="610" w:type="pct"/>
            <w:tcBorders>
              <w:top w:val="nil"/>
              <w:left w:val="nil"/>
              <w:bottom w:val="single" w:color="auto" w:sz="4" w:space="0"/>
              <w:right w:val="single" w:color="auto" w:sz="4" w:space="0"/>
            </w:tcBorders>
            <w:noWrap/>
            <w:vAlign w:val="center"/>
          </w:tcPr>
          <w:p w14:paraId="3D5056A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323" w:type="pct"/>
            <w:tcBorders>
              <w:top w:val="nil"/>
              <w:left w:val="nil"/>
              <w:bottom w:val="single" w:color="auto" w:sz="4" w:space="0"/>
              <w:right w:val="single" w:color="auto" w:sz="4" w:space="0"/>
            </w:tcBorders>
            <w:noWrap/>
            <w:vAlign w:val="center"/>
          </w:tcPr>
          <w:p w14:paraId="46D431B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441" w:type="pct"/>
            <w:tcBorders>
              <w:top w:val="nil"/>
              <w:left w:val="nil"/>
              <w:bottom w:val="single" w:color="auto" w:sz="4" w:space="0"/>
              <w:right w:val="single" w:color="auto" w:sz="4" w:space="0"/>
            </w:tcBorders>
            <w:noWrap/>
            <w:vAlign w:val="center"/>
          </w:tcPr>
          <w:p w14:paraId="2AFADE1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692" w:type="pct"/>
            <w:tcBorders>
              <w:top w:val="nil"/>
              <w:left w:val="nil"/>
              <w:bottom w:val="single" w:color="auto" w:sz="4" w:space="0"/>
              <w:right w:val="single" w:color="auto" w:sz="4" w:space="0"/>
            </w:tcBorders>
            <w:noWrap/>
            <w:vAlign w:val="center"/>
          </w:tcPr>
          <w:p w14:paraId="2DE99535">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09234807">
        <w:tblPrEx>
          <w:tblCellMar>
            <w:top w:w="0" w:type="dxa"/>
            <w:left w:w="108" w:type="dxa"/>
            <w:bottom w:w="0" w:type="dxa"/>
            <w:right w:w="108" w:type="dxa"/>
          </w:tblCellMar>
        </w:tblPrEx>
        <w:trPr>
          <w:trHeight w:val="462" w:hRule="atLeast"/>
          <w:jc w:val="center"/>
        </w:trPr>
        <w:tc>
          <w:tcPr>
            <w:tcW w:w="472" w:type="pct"/>
            <w:vMerge w:val="continue"/>
            <w:tcBorders>
              <w:left w:val="single" w:color="auto" w:sz="4" w:space="0"/>
              <w:right w:val="single" w:color="auto" w:sz="4" w:space="0"/>
            </w:tcBorders>
            <w:noWrap/>
            <w:vAlign w:val="center"/>
          </w:tcPr>
          <w:p w14:paraId="3E6C7053">
            <w:pPr>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37A8BEE9">
            <w:pPr>
              <w:spacing w:line="0" w:lineRule="atLeast"/>
              <w:jc w:val="center"/>
              <w:rPr>
                <w:rFonts w:ascii="新宋体" w:hAnsi="新宋体" w:eastAsia="新宋体" w:cs="新宋体"/>
                <w:color w:val="000000"/>
                <w:szCs w:val="21"/>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3BD2B9DB">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生态效</w:t>
            </w:r>
          </w:p>
          <w:p w14:paraId="2B038FF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945" w:type="pct"/>
            <w:tcBorders>
              <w:top w:val="nil"/>
              <w:left w:val="nil"/>
              <w:bottom w:val="single" w:color="auto" w:sz="4" w:space="0"/>
              <w:right w:val="single" w:color="auto" w:sz="4" w:space="0"/>
            </w:tcBorders>
            <w:noWrap/>
            <w:vAlign w:val="center"/>
          </w:tcPr>
          <w:p w14:paraId="6903AE3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旅游景区倡导绿色环保,生态效益指标</w:t>
            </w:r>
          </w:p>
        </w:tc>
        <w:tc>
          <w:tcPr>
            <w:tcW w:w="646" w:type="pct"/>
            <w:tcBorders>
              <w:top w:val="nil"/>
              <w:left w:val="nil"/>
              <w:bottom w:val="single" w:color="auto" w:sz="4" w:space="0"/>
              <w:right w:val="single" w:color="auto" w:sz="4" w:space="0"/>
            </w:tcBorders>
            <w:noWrap/>
            <w:vAlign w:val="center"/>
          </w:tcPr>
          <w:p w14:paraId="6BB83A8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=旅游景区倡导绿色环保,生态效益指标%　</w:t>
            </w:r>
          </w:p>
        </w:tc>
        <w:tc>
          <w:tcPr>
            <w:tcW w:w="610" w:type="pct"/>
            <w:tcBorders>
              <w:top w:val="nil"/>
              <w:left w:val="nil"/>
              <w:bottom w:val="single" w:color="auto" w:sz="4" w:space="0"/>
              <w:right w:val="single" w:color="auto" w:sz="4" w:space="0"/>
            </w:tcBorders>
            <w:noWrap/>
            <w:vAlign w:val="center"/>
          </w:tcPr>
          <w:p w14:paraId="47507D0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　</w:t>
            </w:r>
          </w:p>
        </w:tc>
        <w:tc>
          <w:tcPr>
            <w:tcW w:w="323" w:type="pct"/>
            <w:tcBorders>
              <w:top w:val="nil"/>
              <w:left w:val="nil"/>
              <w:bottom w:val="single" w:color="auto" w:sz="4" w:space="0"/>
              <w:right w:val="single" w:color="auto" w:sz="4" w:space="0"/>
            </w:tcBorders>
            <w:noWrap/>
            <w:vAlign w:val="center"/>
          </w:tcPr>
          <w:p w14:paraId="27A4142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　</w:t>
            </w:r>
          </w:p>
        </w:tc>
        <w:tc>
          <w:tcPr>
            <w:tcW w:w="441" w:type="pct"/>
            <w:tcBorders>
              <w:top w:val="nil"/>
              <w:left w:val="nil"/>
              <w:bottom w:val="single" w:color="auto" w:sz="4" w:space="0"/>
              <w:right w:val="single" w:color="auto" w:sz="4" w:space="0"/>
            </w:tcBorders>
            <w:noWrap/>
            <w:vAlign w:val="center"/>
          </w:tcPr>
          <w:p w14:paraId="44CB080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　</w:t>
            </w:r>
          </w:p>
        </w:tc>
        <w:tc>
          <w:tcPr>
            <w:tcW w:w="692" w:type="pct"/>
            <w:tcBorders>
              <w:top w:val="nil"/>
              <w:left w:val="nil"/>
              <w:bottom w:val="single" w:color="auto" w:sz="4" w:space="0"/>
              <w:right w:val="single" w:color="auto" w:sz="4" w:space="0"/>
            </w:tcBorders>
            <w:noWrap/>
            <w:vAlign w:val="center"/>
          </w:tcPr>
          <w:p w14:paraId="6BC5F913">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11B9FAB2">
        <w:tblPrEx>
          <w:tblCellMar>
            <w:top w:w="0" w:type="dxa"/>
            <w:left w:w="108" w:type="dxa"/>
            <w:bottom w:w="0" w:type="dxa"/>
            <w:right w:w="108" w:type="dxa"/>
          </w:tblCellMar>
        </w:tblPrEx>
        <w:trPr>
          <w:trHeight w:val="462" w:hRule="atLeast"/>
          <w:jc w:val="center"/>
        </w:trPr>
        <w:tc>
          <w:tcPr>
            <w:tcW w:w="472" w:type="pct"/>
            <w:vMerge w:val="continue"/>
            <w:tcBorders>
              <w:left w:val="single" w:color="auto" w:sz="4" w:space="0"/>
              <w:right w:val="single" w:color="auto" w:sz="4" w:space="0"/>
            </w:tcBorders>
            <w:noWrap/>
            <w:vAlign w:val="center"/>
          </w:tcPr>
          <w:p w14:paraId="7E12B7CF">
            <w:pPr>
              <w:widowControl/>
              <w:spacing w:line="0" w:lineRule="atLeast"/>
              <w:jc w:val="center"/>
              <w:rPr>
                <w:rFonts w:ascii="新宋体" w:hAnsi="新宋体" w:eastAsia="新宋体" w:cs="新宋体"/>
                <w:color w:val="000000"/>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ign w:val="center"/>
          </w:tcPr>
          <w:p w14:paraId="0CBA7675">
            <w:pPr>
              <w:widowControl/>
              <w:spacing w:line="0" w:lineRule="atLeast"/>
              <w:jc w:val="center"/>
              <w:rPr>
                <w:rFonts w:ascii="新宋体" w:hAnsi="新宋体" w:eastAsia="新宋体" w:cs="新宋体"/>
                <w:color w:val="000000"/>
                <w:szCs w:val="21"/>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385FD2DC">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可持续影响指标</w:t>
            </w:r>
          </w:p>
        </w:tc>
        <w:tc>
          <w:tcPr>
            <w:tcW w:w="945" w:type="pct"/>
            <w:tcBorders>
              <w:top w:val="single" w:color="auto" w:sz="4" w:space="0"/>
              <w:left w:val="single" w:color="auto" w:sz="4" w:space="0"/>
              <w:bottom w:val="single" w:color="auto" w:sz="4" w:space="0"/>
              <w:right w:val="single" w:color="auto" w:sz="4" w:space="0"/>
            </w:tcBorders>
            <w:noWrap/>
            <w:vAlign w:val="center"/>
          </w:tcPr>
          <w:p w14:paraId="31A6F44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全县群众文化生活丰富</w:t>
            </w:r>
          </w:p>
        </w:tc>
        <w:tc>
          <w:tcPr>
            <w:tcW w:w="646" w:type="pct"/>
            <w:tcBorders>
              <w:top w:val="single" w:color="auto" w:sz="4" w:space="0"/>
              <w:left w:val="single" w:color="auto" w:sz="4" w:space="0"/>
              <w:bottom w:val="single" w:color="auto" w:sz="4" w:space="0"/>
              <w:right w:val="single" w:color="auto" w:sz="4" w:space="0"/>
            </w:tcBorders>
            <w:noWrap/>
            <w:vAlign w:val="center"/>
          </w:tcPr>
          <w:p w14:paraId="03DA514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=全县群众文化生活丰富%</w:t>
            </w:r>
          </w:p>
        </w:tc>
        <w:tc>
          <w:tcPr>
            <w:tcW w:w="610" w:type="pct"/>
            <w:tcBorders>
              <w:top w:val="single" w:color="auto" w:sz="4" w:space="0"/>
              <w:left w:val="single" w:color="auto" w:sz="4" w:space="0"/>
              <w:bottom w:val="single" w:color="auto" w:sz="4" w:space="0"/>
              <w:right w:val="single" w:color="auto" w:sz="4" w:space="0"/>
            </w:tcBorders>
            <w:noWrap/>
            <w:vAlign w:val="center"/>
          </w:tcPr>
          <w:p w14:paraId="743DCF9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323" w:type="pct"/>
            <w:tcBorders>
              <w:top w:val="single" w:color="auto" w:sz="4" w:space="0"/>
              <w:left w:val="single" w:color="auto" w:sz="4" w:space="0"/>
              <w:bottom w:val="single" w:color="auto" w:sz="4" w:space="0"/>
              <w:right w:val="single" w:color="auto" w:sz="4" w:space="0"/>
            </w:tcBorders>
            <w:noWrap/>
            <w:vAlign w:val="center"/>
          </w:tcPr>
          <w:p w14:paraId="611A976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441" w:type="pct"/>
            <w:tcBorders>
              <w:top w:val="single" w:color="auto" w:sz="4" w:space="0"/>
              <w:left w:val="single" w:color="auto" w:sz="4" w:space="0"/>
              <w:bottom w:val="single" w:color="auto" w:sz="4" w:space="0"/>
              <w:right w:val="single" w:color="auto" w:sz="4" w:space="0"/>
            </w:tcBorders>
            <w:noWrap/>
            <w:vAlign w:val="center"/>
          </w:tcPr>
          <w:p w14:paraId="00DDEE4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692" w:type="pct"/>
            <w:tcBorders>
              <w:top w:val="single" w:color="auto" w:sz="4" w:space="0"/>
              <w:left w:val="single" w:color="auto" w:sz="4" w:space="0"/>
              <w:bottom w:val="single" w:color="auto" w:sz="4" w:space="0"/>
              <w:right w:val="single" w:color="auto" w:sz="4" w:space="0"/>
            </w:tcBorders>
            <w:noWrap/>
            <w:vAlign w:val="center"/>
          </w:tcPr>
          <w:p w14:paraId="25D5DA8C">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78C69798">
        <w:tblPrEx>
          <w:tblCellMar>
            <w:top w:w="0" w:type="dxa"/>
            <w:left w:w="108" w:type="dxa"/>
            <w:bottom w:w="0" w:type="dxa"/>
            <w:right w:w="108" w:type="dxa"/>
          </w:tblCellMar>
        </w:tblPrEx>
        <w:trPr>
          <w:trHeight w:val="462" w:hRule="atLeast"/>
          <w:jc w:val="center"/>
        </w:trPr>
        <w:tc>
          <w:tcPr>
            <w:tcW w:w="472" w:type="pct"/>
            <w:vMerge w:val="continue"/>
            <w:tcBorders>
              <w:left w:val="single" w:color="auto" w:sz="4" w:space="0"/>
              <w:right w:val="single" w:color="auto" w:sz="4" w:space="0"/>
            </w:tcBorders>
            <w:noWrap/>
            <w:vAlign w:val="center"/>
          </w:tcPr>
          <w:p w14:paraId="1E5D3EEA">
            <w:pPr>
              <w:spacing w:line="0" w:lineRule="atLeast"/>
              <w:jc w:val="center"/>
              <w:rPr>
                <w:rFonts w:ascii="新宋体" w:hAnsi="新宋体" w:eastAsia="新宋体" w:cs="新宋体"/>
                <w:color w:val="000000"/>
                <w:szCs w:val="21"/>
              </w:rPr>
            </w:pPr>
          </w:p>
        </w:tc>
        <w:tc>
          <w:tcPr>
            <w:tcW w:w="360" w:type="pct"/>
            <w:tcBorders>
              <w:top w:val="single" w:color="auto" w:sz="4" w:space="0"/>
              <w:left w:val="nil"/>
              <w:right w:val="single" w:color="auto" w:sz="4" w:space="0"/>
            </w:tcBorders>
            <w:noWrap/>
            <w:vAlign w:val="center"/>
          </w:tcPr>
          <w:p w14:paraId="14D33A5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满意度</w:t>
            </w:r>
          </w:p>
          <w:p w14:paraId="31B3F7C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14:paraId="60C8796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（10分）</w:t>
            </w:r>
          </w:p>
        </w:tc>
        <w:tc>
          <w:tcPr>
            <w:tcW w:w="508" w:type="pct"/>
            <w:tcBorders>
              <w:top w:val="single" w:color="auto" w:sz="4" w:space="0"/>
              <w:left w:val="nil"/>
              <w:right w:val="single" w:color="auto" w:sz="4" w:space="0"/>
            </w:tcBorders>
            <w:noWrap/>
            <w:vAlign w:val="center"/>
          </w:tcPr>
          <w:p w14:paraId="7000422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服务对象满意度指标</w:t>
            </w:r>
          </w:p>
        </w:tc>
        <w:tc>
          <w:tcPr>
            <w:tcW w:w="945" w:type="pct"/>
            <w:tcBorders>
              <w:top w:val="nil"/>
              <w:left w:val="nil"/>
              <w:bottom w:val="single" w:color="auto" w:sz="4" w:space="0"/>
              <w:right w:val="single" w:color="auto" w:sz="4" w:space="0"/>
            </w:tcBorders>
            <w:noWrap/>
            <w:vAlign w:val="center"/>
          </w:tcPr>
          <w:p w14:paraId="0EF7D8F6">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≧95%</w:t>
            </w:r>
          </w:p>
        </w:tc>
        <w:tc>
          <w:tcPr>
            <w:tcW w:w="646" w:type="pct"/>
            <w:tcBorders>
              <w:top w:val="nil"/>
              <w:left w:val="nil"/>
              <w:bottom w:val="single" w:color="auto" w:sz="4" w:space="0"/>
              <w:right w:val="single" w:color="auto" w:sz="4" w:space="0"/>
            </w:tcBorders>
            <w:noWrap/>
            <w:vAlign w:val="center"/>
          </w:tcPr>
          <w:p w14:paraId="2584FC6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610" w:type="pct"/>
            <w:tcBorders>
              <w:top w:val="nil"/>
              <w:left w:val="nil"/>
              <w:bottom w:val="single" w:color="auto" w:sz="4" w:space="0"/>
              <w:right w:val="single" w:color="auto" w:sz="4" w:space="0"/>
            </w:tcBorders>
            <w:noWrap/>
            <w:vAlign w:val="center"/>
          </w:tcPr>
          <w:p w14:paraId="1D249AC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90%　</w:t>
            </w:r>
          </w:p>
        </w:tc>
        <w:tc>
          <w:tcPr>
            <w:tcW w:w="323" w:type="pct"/>
            <w:tcBorders>
              <w:top w:val="nil"/>
              <w:left w:val="nil"/>
              <w:bottom w:val="single" w:color="auto" w:sz="4" w:space="0"/>
              <w:right w:val="single" w:color="auto" w:sz="4" w:space="0"/>
            </w:tcBorders>
            <w:noWrap/>
            <w:vAlign w:val="center"/>
          </w:tcPr>
          <w:p w14:paraId="68D0293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　</w:t>
            </w:r>
          </w:p>
        </w:tc>
        <w:tc>
          <w:tcPr>
            <w:tcW w:w="441" w:type="pct"/>
            <w:tcBorders>
              <w:top w:val="nil"/>
              <w:left w:val="nil"/>
              <w:bottom w:val="single" w:color="auto" w:sz="4" w:space="0"/>
              <w:right w:val="single" w:color="auto" w:sz="4" w:space="0"/>
            </w:tcBorders>
            <w:noWrap/>
            <w:vAlign w:val="center"/>
          </w:tcPr>
          <w:p w14:paraId="5F349A8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8　</w:t>
            </w:r>
          </w:p>
        </w:tc>
        <w:tc>
          <w:tcPr>
            <w:tcW w:w="692" w:type="pct"/>
            <w:tcBorders>
              <w:top w:val="nil"/>
              <w:left w:val="nil"/>
              <w:bottom w:val="single" w:color="auto" w:sz="4" w:space="0"/>
              <w:right w:val="single" w:color="auto" w:sz="4" w:space="0"/>
            </w:tcBorders>
            <w:noWrap/>
            <w:vAlign w:val="center"/>
          </w:tcPr>
          <w:p w14:paraId="2849F04C">
            <w:pPr>
              <w:widowControl/>
              <w:spacing w:line="0" w:lineRule="atLeast"/>
              <w:jc w:val="center"/>
              <w:rPr>
                <w:rFonts w:ascii="新宋体" w:hAnsi="新宋体" w:eastAsia="新宋体" w:cs="新宋体"/>
                <w:color w:val="000000"/>
                <w:szCs w:val="21"/>
              </w:rPr>
            </w:pPr>
          </w:p>
        </w:tc>
      </w:tr>
      <w:tr w14:paraId="5317B8AC">
        <w:tblPrEx>
          <w:tblCellMar>
            <w:top w:w="0" w:type="dxa"/>
            <w:left w:w="108" w:type="dxa"/>
            <w:bottom w:w="0" w:type="dxa"/>
            <w:right w:w="108" w:type="dxa"/>
          </w:tblCellMar>
        </w:tblPrEx>
        <w:trPr>
          <w:trHeight w:val="489" w:hRule="atLeast"/>
          <w:jc w:val="center"/>
        </w:trPr>
        <w:tc>
          <w:tcPr>
            <w:tcW w:w="3542" w:type="pct"/>
            <w:gridSpan w:val="6"/>
            <w:tcBorders>
              <w:top w:val="single" w:color="auto" w:sz="4" w:space="0"/>
              <w:left w:val="single" w:color="auto" w:sz="4" w:space="0"/>
              <w:bottom w:val="single" w:color="auto" w:sz="4" w:space="0"/>
              <w:right w:val="single" w:color="000000" w:sz="4" w:space="0"/>
            </w:tcBorders>
            <w:noWrap/>
            <w:vAlign w:val="center"/>
          </w:tcPr>
          <w:p w14:paraId="74E8273C">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总分</w:t>
            </w:r>
          </w:p>
        </w:tc>
        <w:tc>
          <w:tcPr>
            <w:tcW w:w="323" w:type="pct"/>
            <w:tcBorders>
              <w:top w:val="nil"/>
              <w:left w:val="nil"/>
              <w:bottom w:val="single" w:color="auto" w:sz="4" w:space="0"/>
              <w:right w:val="single" w:color="auto" w:sz="4" w:space="0"/>
            </w:tcBorders>
            <w:noWrap/>
            <w:vAlign w:val="center"/>
          </w:tcPr>
          <w:p w14:paraId="74B7080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441" w:type="pct"/>
            <w:tcBorders>
              <w:top w:val="nil"/>
              <w:left w:val="nil"/>
              <w:bottom w:val="single" w:color="auto" w:sz="4" w:space="0"/>
              <w:right w:val="single" w:color="auto" w:sz="4" w:space="0"/>
            </w:tcBorders>
            <w:noWrap/>
            <w:vAlign w:val="center"/>
          </w:tcPr>
          <w:p w14:paraId="45BC7D6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98</w:t>
            </w:r>
          </w:p>
        </w:tc>
        <w:tc>
          <w:tcPr>
            <w:tcW w:w="692" w:type="pct"/>
            <w:tcBorders>
              <w:top w:val="nil"/>
              <w:left w:val="nil"/>
              <w:bottom w:val="single" w:color="auto" w:sz="4" w:space="0"/>
              <w:right w:val="single" w:color="auto" w:sz="4" w:space="0"/>
            </w:tcBorders>
            <w:noWrap/>
            <w:vAlign w:val="center"/>
          </w:tcPr>
          <w:p w14:paraId="6A533047">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bl>
    <w:p w14:paraId="2069390E">
      <w:pPr>
        <w:rPr>
          <w:rFonts w:eastAsia="仿宋_GB2312"/>
          <w:sz w:val="22"/>
        </w:rPr>
      </w:pPr>
      <w:r>
        <w:rPr>
          <w:rFonts w:eastAsia="仿宋_GB2312"/>
          <w:sz w:val="22"/>
        </w:rPr>
        <w:t>说明：</w:t>
      </w:r>
      <w:r>
        <w:rPr>
          <w:rFonts w:hint="eastAsia" w:eastAsia="仿宋_GB2312"/>
          <w:sz w:val="22"/>
        </w:rPr>
        <w:t>以上数据参照2022年部门决算报表中的“收入支出决算总表”(财决01表)。</w:t>
      </w:r>
    </w:p>
    <w:p w14:paraId="363462C8">
      <w:pPr>
        <w:pStyle w:val="10"/>
      </w:pPr>
    </w:p>
    <w:p w14:paraId="2327D7CC">
      <w:pPr>
        <w:rPr>
          <w:rFonts w:ascii="黑体" w:hAnsi="黑体" w:eastAsia="黑体" w:cs="黑体"/>
          <w:sz w:val="32"/>
          <w:szCs w:val="32"/>
        </w:rPr>
      </w:pPr>
      <w:r>
        <w:rPr>
          <w:rFonts w:eastAsia="仿宋_GB2312"/>
          <w:sz w:val="22"/>
          <w:szCs w:val="22"/>
        </w:rPr>
        <w:t>填表人：</w:t>
      </w:r>
      <w:r>
        <w:rPr>
          <w:rFonts w:hint="eastAsia" w:eastAsia="仿宋_GB2312"/>
          <w:sz w:val="22"/>
          <w:szCs w:val="22"/>
        </w:rPr>
        <w:t>李文广</w:t>
      </w:r>
      <w:r>
        <w:rPr>
          <w:rFonts w:eastAsia="仿宋_GB2312"/>
          <w:sz w:val="22"/>
          <w:szCs w:val="22"/>
        </w:rPr>
        <w:t xml:space="preserve"> 填报日期：</w:t>
      </w:r>
      <w:r>
        <w:rPr>
          <w:rFonts w:hint="eastAsia" w:eastAsia="仿宋_GB2312"/>
          <w:sz w:val="22"/>
          <w:szCs w:val="22"/>
        </w:rPr>
        <w:t>2023.7.12</w:t>
      </w:r>
      <w:r>
        <w:rPr>
          <w:rFonts w:eastAsia="仿宋_GB2312"/>
          <w:sz w:val="22"/>
          <w:szCs w:val="22"/>
        </w:rPr>
        <w:t xml:space="preserve">   联系电话：</w:t>
      </w:r>
      <w:r>
        <w:rPr>
          <w:rFonts w:hint="eastAsia" w:eastAsia="仿宋_GB2312"/>
          <w:sz w:val="22"/>
          <w:szCs w:val="22"/>
        </w:rPr>
        <w:t>13607405252</w:t>
      </w:r>
      <w:r>
        <w:rPr>
          <w:rFonts w:eastAsia="仿宋_GB2312"/>
          <w:sz w:val="22"/>
          <w:szCs w:val="22"/>
        </w:rPr>
        <w:t xml:space="preserve"> 单位负责人签字：</w:t>
      </w:r>
      <w:r>
        <w:rPr>
          <w:rFonts w:eastAsia="仿宋_GB2312"/>
          <w:sz w:val="22"/>
          <w:szCs w:val="22"/>
        </w:rPr>
        <w:br w:type="page"/>
      </w:r>
      <w:r>
        <w:rPr>
          <w:rFonts w:hint="eastAsia" w:ascii="黑体" w:hAnsi="黑体" w:eastAsia="黑体" w:cs="黑体"/>
          <w:sz w:val="32"/>
          <w:szCs w:val="32"/>
        </w:rPr>
        <w:t>附件3</w:t>
      </w:r>
    </w:p>
    <w:p w14:paraId="1E5A9A80">
      <w:pPr>
        <w:jc w:val="center"/>
        <w:rPr>
          <w:rFonts w:eastAsia="方正小标宋_GBK"/>
          <w:sz w:val="52"/>
          <w:szCs w:val="52"/>
        </w:rPr>
      </w:pPr>
    </w:p>
    <w:p w14:paraId="5CFD2FDC">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2022年度华容县文化旅游广电局整体支出</w:t>
      </w:r>
    </w:p>
    <w:p w14:paraId="42899551">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14:paraId="1453B337">
      <w:pPr>
        <w:jc w:val="center"/>
        <w:rPr>
          <w:rFonts w:eastAsia="方正小标宋_GBK"/>
          <w:b/>
          <w:sz w:val="52"/>
          <w:szCs w:val="52"/>
        </w:rPr>
      </w:pPr>
    </w:p>
    <w:p w14:paraId="282D709D">
      <w:pPr>
        <w:jc w:val="center"/>
        <w:rPr>
          <w:rFonts w:eastAsia="楷体_GB2312"/>
          <w:b/>
          <w:sz w:val="32"/>
          <w:szCs w:val="32"/>
        </w:rPr>
      </w:pPr>
    </w:p>
    <w:p w14:paraId="1C381738">
      <w:pPr>
        <w:jc w:val="center"/>
        <w:rPr>
          <w:rFonts w:eastAsia="楷体_GB2312"/>
          <w:b/>
          <w:sz w:val="32"/>
          <w:szCs w:val="32"/>
        </w:rPr>
      </w:pPr>
    </w:p>
    <w:p w14:paraId="7C37D223">
      <w:pPr>
        <w:jc w:val="center"/>
        <w:rPr>
          <w:rFonts w:eastAsia="楷体_GB2312"/>
          <w:b/>
          <w:sz w:val="32"/>
          <w:szCs w:val="32"/>
        </w:rPr>
      </w:pPr>
    </w:p>
    <w:p w14:paraId="532F2DAF">
      <w:pPr>
        <w:jc w:val="center"/>
        <w:rPr>
          <w:rFonts w:eastAsia="楷体_GB2312"/>
          <w:b/>
          <w:sz w:val="32"/>
          <w:szCs w:val="32"/>
        </w:rPr>
      </w:pPr>
    </w:p>
    <w:p w14:paraId="2FC90679">
      <w:pPr>
        <w:jc w:val="center"/>
        <w:rPr>
          <w:rFonts w:eastAsia="楷体_GB2312"/>
          <w:b/>
          <w:sz w:val="32"/>
          <w:szCs w:val="32"/>
        </w:rPr>
      </w:pPr>
    </w:p>
    <w:p w14:paraId="33174DA0">
      <w:pPr>
        <w:jc w:val="center"/>
        <w:rPr>
          <w:rFonts w:eastAsia="楷体_GB2312"/>
          <w:b/>
          <w:sz w:val="32"/>
          <w:szCs w:val="32"/>
        </w:rPr>
      </w:pPr>
    </w:p>
    <w:p w14:paraId="31D14A55">
      <w:pPr>
        <w:jc w:val="center"/>
        <w:rPr>
          <w:rFonts w:eastAsia="黑体"/>
          <w:sz w:val="32"/>
          <w:szCs w:val="32"/>
        </w:rPr>
      </w:pPr>
    </w:p>
    <w:p w14:paraId="1F65A8AF">
      <w:pPr>
        <w:jc w:val="center"/>
        <w:rPr>
          <w:rFonts w:eastAsia="黑体"/>
          <w:sz w:val="32"/>
          <w:szCs w:val="32"/>
        </w:rPr>
      </w:pPr>
    </w:p>
    <w:p w14:paraId="662674D6">
      <w:pPr>
        <w:jc w:val="center"/>
        <w:rPr>
          <w:rFonts w:eastAsia="黑体"/>
          <w:sz w:val="32"/>
          <w:szCs w:val="32"/>
        </w:rPr>
      </w:pPr>
    </w:p>
    <w:p w14:paraId="69D8D3C9">
      <w:pPr>
        <w:jc w:val="center"/>
        <w:rPr>
          <w:rFonts w:eastAsia="黑体"/>
          <w:sz w:val="32"/>
          <w:szCs w:val="32"/>
        </w:rPr>
      </w:pPr>
    </w:p>
    <w:p w14:paraId="45CEDC6E">
      <w:pPr>
        <w:jc w:val="center"/>
        <w:rPr>
          <w:rFonts w:eastAsia="黑体"/>
          <w:sz w:val="32"/>
          <w:szCs w:val="32"/>
        </w:rPr>
      </w:pPr>
    </w:p>
    <w:p w14:paraId="50255D5E">
      <w:pPr>
        <w:jc w:val="center"/>
        <w:rPr>
          <w:rFonts w:eastAsia="黑体"/>
          <w:sz w:val="32"/>
          <w:szCs w:val="32"/>
        </w:rPr>
      </w:pPr>
    </w:p>
    <w:p w14:paraId="3DFAB1A6">
      <w:pPr>
        <w:rPr>
          <w:rFonts w:eastAsia="黑体"/>
          <w:sz w:val="32"/>
          <w:szCs w:val="32"/>
        </w:rPr>
      </w:pPr>
    </w:p>
    <w:p w14:paraId="60B05616">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14:paraId="6511C0AA">
      <w:pPr>
        <w:spacing w:line="600" w:lineRule="exact"/>
        <w:jc w:val="center"/>
        <w:rPr>
          <w:rFonts w:eastAsia="楷体_GB2312"/>
          <w:sz w:val="32"/>
          <w:szCs w:val="32"/>
        </w:rPr>
      </w:pPr>
      <w:r>
        <w:rPr>
          <w:rFonts w:hint="eastAsia" w:eastAsia="楷体_GB2312"/>
          <w:sz w:val="32"/>
          <w:szCs w:val="32"/>
        </w:rPr>
        <w:t>2023</w:t>
      </w:r>
      <w:r>
        <w:rPr>
          <w:rFonts w:eastAsia="楷体_GB2312"/>
          <w:sz w:val="32"/>
          <w:szCs w:val="32"/>
        </w:rPr>
        <w:t xml:space="preserve">年 </w:t>
      </w:r>
      <w:r>
        <w:rPr>
          <w:rFonts w:hint="eastAsia" w:eastAsia="楷体_GB2312"/>
          <w:sz w:val="32"/>
          <w:szCs w:val="32"/>
        </w:rPr>
        <w:t>7</w:t>
      </w:r>
      <w:r>
        <w:rPr>
          <w:rFonts w:eastAsia="楷体_GB2312"/>
          <w:sz w:val="32"/>
          <w:szCs w:val="32"/>
        </w:rPr>
        <w:t xml:space="preserve"> 月  </w:t>
      </w:r>
      <w:r>
        <w:rPr>
          <w:rFonts w:hint="eastAsia" w:eastAsia="楷体_GB2312"/>
          <w:sz w:val="32"/>
          <w:szCs w:val="32"/>
        </w:rPr>
        <w:t>12</w:t>
      </w:r>
      <w:r>
        <w:rPr>
          <w:rFonts w:eastAsia="楷体_GB2312"/>
          <w:sz w:val="32"/>
          <w:szCs w:val="32"/>
        </w:rPr>
        <w:t>日</w:t>
      </w:r>
    </w:p>
    <w:p w14:paraId="2A965B65">
      <w:pPr>
        <w:pStyle w:val="2"/>
        <w:ind w:firstLine="640"/>
        <w:rPr>
          <w:rFonts w:eastAsia="楷体_GB2312"/>
          <w:sz w:val="32"/>
          <w:szCs w:val="32"/>
        </w:rPr>
      </w:pPr>
    </w:p>
    <w:p w14:paraId="3B5005E9">
      <w:pPr>
        <w:pStyle w:val="2"/>
        <w:ind w:firstLine="640"/>
        <w:rPr>
          <w:rFonts w:eastAsia="楷体_GB2312"/>
          <w:sz w:val="32"/>
          <w:szCs w:val="32"/>
        </w:rPr>
      </w:pPr>
    </w:p>
    <w:p w14:paraId="3847DC45">
      <w:pPr>
        <w:spacing w:line="61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2022年度华容县文化旅游广电局</w:t>
      </w:r>
    </w:p>
    <w:p w14:paraId="2D438E01">
      <w:pPr>
        <w:spacing w:line="61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整体支出绩效自评报告</w:t>
      </w:r>
    </w:p>
    <w:p w14:paraId="4CC5F7D1">
      <w:pPr>
        <w:spacing w:line="540" w:lineRule="exact"/>
        <w:ind w:firstLine="640" w:firstLineChars="200"/>
        <w:rPr>
          <w:rFonts w:hint="eastAsia" w:ascii="仿宋" w:hAnsi="仿宋" w:eastAsia="仿宋" w:cs="仿宋"/>
          <w:sz w:val="32"/>
          <w:szCs w:val="32"/>
        </w:rPr>
      </w:pPr>
    </w:p>
    <w:p w14:paraId="7B647D29">
      <w:pPr>
        <w:spacing w:line="560" w:lineRule="exact"/>
        <w:ind w:firstLine="707" w:firstLineChars="221"/>
        <w:rPr>
          <w:rFonts w:hint="eastAsia" w:ascii="仿宋" w:hAnsi="仿宋" w:eastAsia="仿宋" w:cs="仿宋"/>
          <w:sz w:val="32"/>
          <w:szCs w:val="32"/>
        </w:rPr>
      </w:pPr>
      <w:r>
        <w:rPr>
          <w:rFonts w:hint="eastAsia" w:ascii="仿宋" w:hAnsi="仿宋" w:eastAsia="仿宋" w:cs="仿宋"/>
          <w:sz w:val="32"/>
          <w:szCs w:val="32"/>
        </w:rPr>
        <w:t>根据《华容县财政局关于开展2022年度部门整体支出绩效自评工作的通知》（华财函〔2023〕63号）的相关规定和要求，现对我部门2022年度整体支出开展绩效自评，现将情况汇报如下：</w:t>
      </w:r>
    </w:p>
    <w:p w14:paraId="15908686">
      <w:pPr>
        <w:spacing w:line="560" w:lineRule="exact"/>
        <w:ind w:firstLine="707" w:firstLineChars="221"/>
        <w:rPr>
          <w:rFonts w:hint="eastAsia" w:ascii="黑体" w:hAnsi="黑体" w:eastAsia="黑体"/>
          <w:sz w:val="32"/>
          <w:szCs w:val="32"/>
        </w:rPr>
      </w:pPr>
      <w:r>
        <w:rPr>
          <w:rFonts w:hint="eastAsia" w:ascii="黑体" w:hAnsi="黑体" w:eastAsia="黑体" w:cs="仿宋"/>
          <w:sz w:val="32"/>
          <w:szCs w:val="32"/>
        </w:rPr>
        <w:t>一、</w:t>
      </w:r>
      <w:r>
        <w:rPr>
          <w:rFonts w:ascii="黑体" w:hAnsi="黑体" w:eastAsia="黑体"/>
          <w:sz w:val="32"/>
          <w:szCs w:val="32"/>
        </w:rPr>
        <w:t>部门（单位）基本情况</w:t>
      </w:r>
    </w:p>
    <w:p w14:paraId="7326D91C">
      <w:pPr>
        <w:spacing w:line="560" w:lineRule="exact"/>
        <w:ind w:firstLine="710" w:firstLineChars="221"/>
        <w:rPr>
          <w:rFonts w:hint="eastAsia" w:ascii="楷体" w:hAnsi="楷体" w:eastAsia="楷体" w:cs="仿宋"/>
          <w:b/>
          <w:bCs/>
          <w:sz w:val="32"/>
          <w:szCs w:val="32"/>
        </w:rPr>
      </w:pPr>
      <w:r>
        <w:rPr>
          <w:rFonts w:hint="eastAsia" w:ascii="楷体" w:hAnsi="楷体" w:eastAsia="楷体" w:cs="仿宋"/>
          <w:b/>
          <w:bCs/>
          <w:sz w:val="32"/>
          <w:szCs w:val="32"/>
        </w:rPr>
        <w:t>（一）部门基本情况</w:t>
      </w:r>
    </w:p>
    <w:p w14:paraId="6574BEFA">
      <w:pPr>
        <w:spacing w:line="560" w:lineRule="exact"/>
        <w:ind w:firstLine="707" w:firstLineChars="221"/>
        <w:rPr>
          <w:rFonts w:hint="eastAsia" w:ascii="仿宋" w:hAnsi="仿宋" w:eastAsia="仿宋" w:cs="仿宋"/>
          <w:sz w:val="32"/>
          <w:szCs w:val="32"/>
        </w:rPr>
      </w:pPr>
      <w:r>
        <w:rPr>
          <w:rFonts w:hint="eastAsia" w:ascii="仿宋" w:hAnsi="仿宋" w:eastAsia="仿宋" w:cs="仿宋"/>
          <w:sz w:val="32"/>
          <w:szCs w:val="32"/>
        </w:rPr>
        <w:t>华容县文广新旅局本级共有文广新旅局机关、文化馆、图书馆。现有人员编制43名（其中：行政编制15名，工勤编制3名，事业全额编制25名），实有在职干部、职工47人（其中：全额人员47人），较上年增加2人。</w:t>
      </w:r>
    </w:p>
    <w:p w14:paraId="5CF377B4">
      <w:pPr>
        <w:spacing w:line="560" w:lineRule="exact"/>
        <w:ind w:firstLine="710" w:firstLineChars="221"/>
        <w:rPr>
          <w:rFonts w:hint="eastAsia" w:ascii="楷体" w:hAnsi="楷体" w:eastAsia="楷体" w:cs="仿宋"/>
          <w:b/>
          <w:bCs/>
          <w:sz w:val="32"/>
          <w:szCs w:val="32"/>
        </w:rPr>
      </w:pPr>
      <w:r>
        <w:rPr>
          <w:rFonts w:hint="eastAsia" w:ascii="楷体" w:hAnsi="楷体" w:eastAsia="楷体" w:cs="仿宋"/>
          <w:b/>
          <w:bCs/>
          <w:sz w:val="32"/>
          <w:szCs w:val="32"/>
        </w:rPr>
        <w:t>（二）部门整体支出规模、使用方向和主要内容、涉及范围等</w:t>
      </w:r>
    </w:p>
    <w:p w14:paraId="1063E2A7">
      <w:pPr>
        <w:spacing w:line="560" w:lineRule="exact"/>
        <w:ind w:firstLine="707" w:firstLineChars="221"/>
        <w:rPr>
          <w:rFonts w:hint="eastAsia" w:ascii="仿宋" w:hAnsi="仿宋" w:eastAsia="仿宋" w:cs="仿宋"/>
          <w:sz w:val="32"/>
          <w:szCs w:val="32"/>
        </w:rPr>
      </w:pPr>
      <w:r>
        <w:rPr>
          <w:rFonts w:hint="eastAsia" w:ascii="仿宋" w:hAnsi="仿宋" w:eastAsia="仿宋" w:cs="仿宋"/>
          <w:sz w:val="32"/>
          <w:szCs w:val="32"/>
        </w:rPr>
        <w:t>2022年，县财政下达我单位预算总收入1033.94万元，其中：一般公共预算财政拨款收入1028.94万元，政府性基金预算财政拨款收入5.00万元；预算总支出1033.94万元；年末无结余，预算收支平衡。预算拨款总额比2021年减少22.84万元，减少的主要原因政府减少了项目的投入，其中工资福利支出589.31万元，一般商品和服务支出72.91万元，对个人和家庭的补助3.04万元，项目支出368.68万元。资金主要用于：职工的工资福利、五险一金；送戏下乡，公共文化服务体系建设，“四上”企业的申报，对企业的补助，免费开放。</w:t>
      </w:r>
    </w:p>
    <w:p w14:paraId="3DDA9597">
      <w:pPr>
        <w:spacing w:line="560" w:lineRule="exact"/>
        <w:ind w:firstLine="707" w:firstLineChars="221"/>
        <w:rPr>
          <w:rFonts w:hint="eastAsia" w:ascii="黑体" w:hAnsi="黑体" w:eastAsia="黑体" w:cs="仿宋"/>
          <w:sz w:val="32"/>
          <w:szCs w:val="32"/>
        </w:rPr>
      </w:pPr>
      <w:r>
        <w:rPr>
          <w:rFonts w:hint="eastAsia" w:ascii="黑体" w:hAnsi="黑体" w:eastAsia="黑体" w:cs="仿宋"/>
          <w:sz w:val="32"/>
          <w:szCs w:val="32"/>
        </w:rPr>
        <w:t>二、</w:t>
      </w:r>
      <w:r>
        <w:rPr>
          <w:rFonts w:ascii="黑体" w:hAnsi="黑体" w:eastAsia="黑体" w:cs="仿宋"/>
          <w:sz w:val="32"/>
          <w:szCs w:val="32"/>
        </w:rPr>
        <w:t>基本支出情况</w:t>
      </w:r>
    </w:p>
    <w:p w14:paraId="55B97860">
      <w:pPr>
        <w:spacing w:line="560" w:lineRule="exact"/>
        <w:ind w:firstLine="710" w:firstLineChars="221"/>
        <w:rPr>
          <w:rFonts w:hint="eastAsia" w:ascii="仿宋" w:hAnsi="仿宋" w:eastAsia="仿宋" w:cs="仿宋"/>
          <w:sz w:val="32"/>
          <w:szCs w:val="32"/>
        </w:rPr>
      </w:pPr>
      <w:r>
        <w:rPr>
          <w:rFonts w:hint="eastAsia" w:ascii="楷体" w:hAnsi="楷体" w:eastAsia="楷体" w:cs="仿宋"/>
          <w:b/>
          <w:bCs/>
          <w:sz w:val="32"/>
          <w:szCs w:val="32"/>
        </w:rPr>
        <w:t>（一）收入情况：</w:t>
      </w:r>
      <w:r>
        <w:rPr>
          <w:rFonts w:hint="eastAsia" w:ascii="仿宋" w:hAnsi="仿宋" w:eastAsia="仿宋" w:cs="仿宋"/>
          <w:sz w:val="32"/>
          <w:szCs w:val="32"/>
        </w:rPr>
        <w:t>2022年预算总收入665.26万元。其中：经费拨款665.26万元。预算总支出665.26万元。预算收支平衡。</w:t>
      </w:r>
    </w:p>
    <w:p w14:paraId="431E941F">
      <w:pPr>
        <w:spacing w:line="560" w:lineRule="exact"/>
        <w:ind w:firstLine="710" w:firstLineChars="221"/>
        <w:rPr>
          <w:rFonts w:hint="eastAsia" w:ascii="仿宋" w:hAnsi="仿宋" w:eastAsia="仿宋" w:cs="仿宋"/>
          <w:sz w:val="32"/>
          <w:szCs w:val="32"/>
        </w:rPr>
      </w:pPr>
      <w:r>
        <w:rPr>
          <w:rFonts w:hint="eastAsia" w:ascii="楷体" w:hAnsi="楷体" w:eastAsia="楷体" w:cs="仿宋"/>
          <w:b/>
          <w:bCs/>
          <w:sz w:val="32"/>
          <w:szCs w:val="32"/>
        </w:rPr>
        <w:t>（二）支出情况：</w:t>
      </w:r>
      <w:r>
        <w:rPr>
          <w:rFonts w:hint="eastAsia" w:ascii="仿宋" w:hAnsi="仿宋" w:eastAsia="仿宋" w:cs="仿宋"/>
          <w:sz w:val="32"/>
          <w:szCs w:val="32"/>
        </w:rPr>
        <w:t>2022年预算总支出665.26万元。其中：工资福利支出589.31万元，一般商品和服务支出72.91万元，对个人和家庭的补助3.04万元。</w:t>
      </w:r>
    </w:p>
    <w:p w14:paraId="1553D632">
      <w:pPr>
        <w:spacing w:line="560" w:lineRule="exact"/>
        <w:ind w:firstLine="710" w:firstLineChars="221"/>
        <w:rPr>
          <w:rFonts w:hint="eastAsia" w:ascii="仿宋" w:hAnsi="仿宋" w:eastAsia="仿宋" w:cs="仿宋"/>
          <w:sz w:val="32"/>
          <w:szCs w:val="32"/>
        </w:rPr>
      </w:pPr>
      <w:r>
        <w:rPr>
          <w:rFonts w:hint="eastAsia" w:ascii="楷体" w:hAnsi="楷体" w:eastAsia="楷体" w:cs="仿宋"/>
          <w:b/>
          <w:bCs/>
          <w:sz w:val="32"/>
          <w:szCs w:val="32"/>
        </w:rPr>
        <w:t>（三）“三公经费”支出情况分析：</w:t>
      </w:r>
      <w:r>
        <w:rPr>
          <w:rFonts w:hint="eastAsia" w:ascii="仿宋" w:hAnsi="仿宋" w:eastAsia="仿宋" w:cs="仿宋"/>
          <w:sz w:val="32"/>
          <w:szCs w:val="32"/>
        </w:rPr>
        <w:t>2022年华容县文化旅游广电局“三公经费”实际开支2.24万元。其中公务接待费2.24万元。</w:t>
      </w:r>
    </w:p>
    <w:p w14:paraId="7ADBA7AE">
      <w:pPr>
        <w:spacing w:line="560" w:lineRule="exact"/>
        <w:ind w:firstLine="710" w:firstLineChars="221"/>
        <w:rPr>
          <w:rFonts w:hint="eastAsia" w:ascii="仿宋" w:hAnsi="仿宋" w:eastAsia="仿宋" w:cs="仿宋"/>
          <w:sz w:val="32"/>
          <w:szCs w:val="32"/>
        </w:rPr>
      </w:pPr>
      <w:r>
        <w:rPr>
          <w:rFonts w:hint="eastAsia" w:ascii="楷体" w:hAnsi="楷体" w:eastAsia="楷体" w:cs="仿宋"/>
          <w:b/>
          <w:bCs/>
          <w:sz w:val="32"/>
          <w:szCs w:val="32"/>
        </w:rPr>
        <w:t>（四）固定资产管理情况分析：</w:t>
      </w:r>
      <w:r>
        <w:rPr>
          <w:rFonts w:hint="eastAsia" w:ascii="仿宋" w:hAnsi="仿宋" w:eastAsia="仿宋" w:cs="仿宋"/>
          <w:sz w:val="32"/>
          <w:szCs w:val="32"/>
        </w:rPr>
        <w:t>按照例行节约，物尽其用的原则，华容县文化旅游广电局资产管理采取统一建账，统一核算管理，对每件固定资产使用明确保管职责，闲置的资产，由办公室统一调整，合理流动，发挥其效益；至2022年12月有固定资产417.86万元，全部在用，保证了资产的安全高效，防止资产流失。</w:t>
      </w:r>
    </w:p>
    <w:p w14:paraId="41DE48E1">
      <w:pPr>
        <w:spacing w:line="560" w:lineRule="exact"/>
        <w:ind w:firstLine="707" w:firstLineChars="221"/>
        <w:rPr>
          <w:rFonts w:hint="eastAsia" w:ascii="黑体" w:hAnsi="黑体" w:eastAsia="黑体" w:cs="仿宋"/>
          <w:sz w:val="32"/>
          <w:szCs w:val="32"/>
        </w:rPr>
      </w:pPr>
      <w:r>
        <w:rPr>
          <w:rFonts w:hint="eastAsia" w:ascii="黑体" w:hAnsi="黑体" w:eastAsia="黑体" w:cs="仿宋"/>
          <w:sz w:val="32"/>
          <w:szCs w:val="32"/>
        </w:rPr>
        <w:t>三、</w:t>
      </w:r>
      <w:r>
        <w:rPr>
          <w:rFonts w:ascii="黑体" w:hAnsi="黑体" w:eastAsia="黑体" w:cs="仿宋"/>
          <w:sz w:val="32"/>
          <w:szCs w:val="32"/>
        </w:rPr>
        <w:t>项目支出情况</w:t>
      </w:r>
    </w:p>
    <w:p w14:paraId="1929A2B9">
      <w:pPr>
        <w:spacing w:line="560" w:lineRule="exact"/>
        <w:ind w:firstLine="710" w:firstLineChars="221"/>
        <w:rPr>
          <w:rFonts w:hint="eastAsia" w:ascii="仿宋" w:hAnsi="仿宋" w:eastAsia="仿宋" w:cs="仿宋"/>
          <w:b/>
          <w:bCs/>
          <w:sz w:val="32"/>
          <w:szCs w:val="32"/>
        </w:rPr>
      </w:pPr>
      <w:r>
        <w:rPr>
          <w:rFonts w:hint="eastAsia" w:ascii="楷体" w:hAnsi="楷体" w:eastAsia="楷体" w:cs="仿宋"/>
          <w:b/>
          <w:bCs/>
          <w:sz w:val="32"/>
          <w:szCs w:val="32"/>
        </w:rPr>
        <w:t>（一）专项资金安排落实、总投入等情况分析</w:t>
      </w:r>
    </w:p>
    <w:p w14:paraId="7A2BE0BA">
      <w:pPr>
        <w:spacing w:line="560" w:lineRule="exact"/>
        <w:ind w:firstLine="707" w:firstLineChars="221"/>
        <w:rPr>
          <w:rFonts w:hint="eastAsia" w:ascii="仿宋" w:hAnsi="仿宋" w:eastAsia="仿宋" w:cs="仿宋"/>
          <w:color w:val="000000"/>
          <w:sz w:val="32"/>
          <w:szCs w:val="32"/>
          <w:shd w:val="clear" w:color="auto" w:fill="F5F9FD"/>
        </w:rPr>
      </w:pPr>
      <w:r>
        <w:rPr>
          <w:rFonts w:hint="eastAsia" w:ascii="仿宋" w:hAnsi="仿宋" w:eastAsia="仿宋" w:cs="仿宋"/>
          <w:bCs/>
          <w:sz w:val="32"/>
          <w:szCs w:val="32"/>
        </w:rPr>
        <w:t>2022</w:t>
      </w:r>
      <w:r>
        <w:rPr>
          <w:rFonts w:hint="eastAsia" w:ascii="仿宋" w:hAnsi="仿宋" w:eastAsia="仿宋" w:cs="仿宋"/>
          <w:color w:val="000000"/>
          <w:sz w:val="32"/>
          <w:szCs w:val="32"/>
          <w:shd w:val="clear" w:color="auto" w:fill="F5F9FD"/>
        </w:rPr>
        <w:t>年项目支出为368.68万元，占总支出的35.66%，主要是项目建设支付的临聘人员的工资、办公费、印刷费、差旅费、会议费、培训费、劳务费、对企事业单位的补贴、基础设施建设、拆迁补偿、大型修缮等商品和服务支出。其中工资福利支出35.31万元，商品和服务支出331.37万元，对企业的补助2.00万元。</w:t>
      </w:r>
    </w:p>
    <w:p w14:paraId="7F893440">
      <w:pPr>
        <w:spacing w:line="560" w:lineRule="exact"/>
        <w:ind w:firstLine="710" w:firstLineChars="221"/>
        <w:rPr>
          <w:rFonts w:hint="eastAsia" w:ascii="楷体" w:hAnsi="楷体" w:eastAsia="楷体" w:cs="仿宋"/>
          <w:b/>
          <w:bCs/>
          <w:sz w:val="32"/>
          <w:szCs w:val="32"/>
        </w:rPr>
      </w:pPr>
      <w:r>
        <w:rPr>
          <w:rFonts w:hint="eastAsia" w:ascii="楷体" w:hAnsi="楷体" w:eastAsia="楷体" w:cs="仿宋"/>
          <w:b/>
          <w:bCs/>
          <w:sz w:val="32"/>
          <w:szCs w:val="32"/>
        </w:rPr>
        <w:t>（二）专项资金实际使用情况分析</w:t>
      </w:r>
    </w:p>
    <w:p w14:paraId="6BAD7DC6">
      <w:pPr>
        <w:spacing w:line="560" w:lineRule="exact"/>
        <w:ind w:firstLine="707" w:firstLineChars="221"/>
        <w:rPr>
          <w:rFonts w:hint="eastAsia" w:ascii="仿宋" w:hAnsi="仿宋" w:eastAsia="仿宋" w:cs="仿宋"/>
          <w:bCs/>
          <w:sz w:val="32"/>
          <w:szCs w:val="32"/>
        </w:rPr>
      </w:pPr>
      <w:r>
        <w:rPr>
          <w:rFonts w:hint="eastAsia" w:ascii="仿宋" w:hAnsi="仿宋" w:eastAsia="仿宋" w:cs="仿宋"/>
          <w:bCs/>
          <w:sz w:val="32"/>
          <w:szCs w:val="32"/>
        </w:rPr>
        <w:t>2022年专项总收入368.68万元，专项总支出368.68万元，收支平衡，无资金结余。</w:t>
      </w:r>
    </w:p>
    <w:p w14:paraId="5F01ECAB">
      <w:pPr>
        <w:spacing w:line="560" w:lineRule="exact"/>
        <w:ind w:firstLine="710" w:firstLineChars="221"/>
        <w:rPr>
          <w:rFonts w:hint="eastAsia" w:ascii="楷体" w:hAnsi="楷体" w:eastAsia="楷体" w:cs="仿宋"/>
          <w:b/>
          <w:bCs/>
          <w:sz w:val="32"/>
          <w:szCs w:val="32"/>
        </w:rPr>
      </w:pPr>
      <w:r>
        <w:rPr>
          <w:rFonts w:hint="eastAsia" w:ascii="楷体" w:hAnsi="楷体" w:eastAsia="楷体" w:cs="仿宋"/>
          <w:b/>
          <w:bCs/>
          <w:sz w:val="32"/>
          <w:szCs w:val="32"/>
        </w:rPr>
        <w:t>（三）专项资金管理情况分析</w:t>
      </w:r>
    </w:p>
    <w:p w14:paraId="16D83580">
      <w:pPr>
        <w:spacing w:line="560" w:lineRule="exact"/>
        <w:ind w:firstLine="707" w:firstLineChars="221"/>
        <w:rPr>
          <w:rFonts w:hint="eastAsia" w:ascii="仿宋" w:hAnsi="仿宋" w:eastAsia="仿宋" w:cs="仿宋"/>
          <w:color w:val="333333"/>
          <w:sz w:val="32"/>
          <w:szCs w:val="32"/>
          <w:shd w:val="clear" w:color="auto" w:fill="FFFFFF"/>
        </w:rPr>
      </w:pPr>
      <w:r>
        <w:rPr>
          <w:rFonts w:hint="eastAsia" w:ascii="仿宋" w:hAnsi="仿宋" w:eastAsia="仿宋" w:cs="仿宋"/>
          <w:color w:val="000000"/>
          <w:sz w:val="32"/>
          <w:szCs w:val="32"/>
          <w:shd w:val="clear" w:color="auto" w:fill="FFFFFF"/>
        </w:rPr>
        <w:t>为加强项目资金管理，规范</w:t>
      </w:r>
      <w:r>
        <w:rPr>
          <w:rFonts w:hint="eastAsia" w:ascii="仿宋" w:hAnsi="仿宋" w:eastAsia="仿宋" w:cs="仿宋"/>
          <w:color w:val="333333"/>
          <w:sz w:val="32"/>
          <w:szCs w:val="32"/>
          <w:shd w:val="clear" w:color="auto" w:fill="FFFFFF"/>
        </w:rPr>
        <w:t>项目资金管理行为，提高项目管理水平及项目资金使用效益，</w:t>
      </w:r>
      <w:r>
        <w:rPr>
          <w:rFonts w:hint="eastAsia" w:ascii="仿宋" w:hAnsi="仿宋" w:eastAsia="仿宋" w:cs="仿宋"/>
          <w:color w:val="000000"/>
          <w:sz w:val="32"/>
          <w:szCs w:val="32"/>
          <w:shd w:val="clear" w:color="auto" w:fill="FFFFFF"/>
        </w:rPr>
        <w:t>本部门制定了财务管理制度、项目资金管理制度、专项资金管理办法等，对项目管理职责、申报与组织实施、项目资金的管理、监督检查与验收等进行了规定，成立了工作领导小组、明确工作职责、确定责任单位、制定工作方案、项目实施细则、考核办法等。</w:t>
      </w:r>
      <w:r>
        <w:rPr>
          <w:rFonts w:hint="eastAsia" w:ascii="仿宋" w:hAnsi="仿宋" w:eastAsia="仿宋" w:cs="仿宋"/>
          <w:color w:val="333333"/>
          <w:sz w:val="32"/>
          <w:szCs w:val="32"/>
          <w:shd w:val="clear" w:color="auto" w:fill="FFFFFF"/>
        </w:rPr>
        <w:t>项目资金严格按指定用途专款专用，实行专项报告制度，并接受财政部门或上级部门的检查、验收。2022年本部门项目支出，基本能够严格按照相关制度规定等进行。</w:t>
      </w:r>
    </w:p>
    <w:p w14:paraId="4E2E483C">
      <w:pPr>
        <w:spacing w:line="560" w:lineRule="exact"/>
        <w:ind w:firstLine="707" w:firstLineChars="221"/>
        <w:rPr>
          <w:rFonts w:hint="eastAsia" w:ascii="黑体" w:hAnsi="黑体" w:eastAsia="黑体" w:cs="仿宋"/>
          <w:sz w:val="32"/>
          <w:szCs w:val="32"/>
        </w:rPr>
      </w:pPr>
      <w:r>
        <w:rPr>
          <w:rFonts w:hint="eastAsia" w:ascii="黑体" w:hAnsi="黑体" w:eastAsia="黑体" w:cs="仿宋"/>
          <w:sz w:val="32"/>
          <w:szCs w:val="32"/>
        </w:rPr>
        <w:t>四、</w:t>
      </w:r>
      <w:r>
        <w:rPr>
          <w:rFonts w:ascii="黑体" w:hAnsi="黑体" w:eastAsia="黑体" w:cs="仿宋"/>
          <w:sz w:val="32"/>
          <w:szCs w:val="32"/>
        </w:rPr>
        <w:t>部门整体支出绩效情况</w:t>
      </w:r>
    </w:p>
    <w:p w14:paraId="3184B47D">
      <w:pPr>
        <w:spacing w:line="560" w:lineRule="exact"/>
        <w:ind w:firstLine="710" w:firstLineChars="221"/>
        <w:rPr>
          <w:rFonts w:hint="eastAsia" w:ascii="楷体" w:hAnsi="楷体" w:eastAsia="楷体" w:cs="仿宋"/>
          <w:b/>
          <w:bCs/>
          <w:sz w:val="32"/>
          <w:szCs w:val="32"/>
        </w:rPr>
      </w:pPr>
      <w:r>
        <w:rPr>
          <w:rFonts w:hint="eastAsia" w:ascii="楷体" w:hAnsi="楷体" w:eastAsia="楷体" w:cs="仿宋"/>
          <w:b/>
          <w:bCs/>
          <w:sz w:val="32"/>
          <w:szCs w:val="32"/>
        </w:rPr>
        <w:t>（一）紧扣大局强落实</w:t>
      </w:r>
    </w:p>
    <w:p w14:paraId="5E8E0DFE">
      <w:pPr>
        <w:spacing w:line="560" w:lineRule="exact"/>
        <w:ind w:firstLine="710" w:firstLineChars="221"/>
        <w:rPr>
          <w:rFonts w:hint="eastAsia" w:ascii="仿宋" w:hAnsi="仿宋" w:eastAsia="仿宋" w:cs="仿宋"/>
          <w:color w:val="000000"/>
          <w:sz w:val="32"/>
          <w:szCs w:val="32"/>
          <w:shd w:val="clear" w:color="auto" w:fill="FFFFFF"/>
        </w:rPr>
      </w:pPr>
      <w:r>
        <w:rPr>
          <w:rFonts w:hint="eastAsia" w:ascii="仿宋" w:hAnsi="仿宋" w:eastAsia="仿宋" w:cs="仿宋"/>
          <w:b/>
          <w:bCs/>
          <w:sz w:val="32"/>
          <w:szCs w:val="32"/>
        </w:rPr>
        <w:t>1.重点项目方面。</w:t>
      </w:r>
      <w:r>
        <w:rPr>
          <w:rFonts w:hint="eastAsia" w:ascii="仿宋" w:hAnsi="仿宋" w:eastAsia="仿宋" w:cs="仿宋"/>
          <w:color w:val="000000"/>
          <w:sz w:val="32"/>
          <w:szCs w:val="32"/>
          <w:shd w:val="clear" w:color="auto" w:fill="FFFFFF"/>
        </w:rPr>
        <w:t>推进两大旅游度假区建设：墨山旅游度假区已完成一期所有房屋拆迁工作，项目周边公路用地征收数据采集完毕；禹山旅游度假区内“红色城堡”“水上乐园”已开园营业，今年以来共接待客人4.5万余人。</w:t>
      </w:r>
    </w:p>
    <w:p w14:paraId="790524A4">
      <w:pPr>
        <w:spacing w:line="560" w:lineRule="exact"/>
        <w:ind w:firstLine="710" w:firstLineChars="221"/>
        <w:rPr>
          <w:rFonts w:hint="eastAsia" w:ascii="仿宋" w:hAnsi="仿宋" w:eastAsia="仿宋"/>
          <w:sz w:val="32"/>
          <w:szCs w:val="32"/>
        </w:rPr>
      </w:pPr>
      <w:r>
        <w:rPr>
          <w:rFonts w:hint="eastAsia" w:ascii="仿宋" w:hAnsi="仿宋" w:eastAsia="仿宋" w:cs="仿宋"/>
          <w:b/>
          <w:bCs/>
          <w:sz w:val="32"/>
          <w:szCs w:val="32"/>
        </w:rPr>
        <w:t>2.争资争项方面。</w:t>
      </w:r>
      <w:r>
        <w:rPr>
          <w:rFonts w:hint="eastAsia" w:ascii="仿宋" w:hAnsi="仿宋" w:eastAsia="仿宋"/>
          <w:sz w:val="32"/>
          <w:szCs w:val="32"/>
        </w:rPr>
        <w:t>积极争取中央等各级补助奖励和专项资金，目前争项争资到位资金603.8万元；另有《省级文物保护单位仁义堂修缮工程勘察设计方案》已得到省厅批复，183.24万元维修资金将在下半年拨付到位。</w:t>
      </w:r>
    </w:p>
    <w:p w14:paraId="4D7536BA">
      <w:pPr>
        <w:spacing w:line="56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3.招商引资方面。</w:t>
      </w:r>
      <w:r>
        <w:rPr>
          <w:rFonts w:hint="eastAsia" w:ascii="仿宋" w:hAnsi="仿宋" w:eastAsia="仿宋" w:cs="仿宋"/>
          <w:sz w:val="32"/>
          <w:szCs w:val="32"/>
        </w:rPr>
        <w:t>多渠道开展招商引资工作,积极主动拜访、对接客商30余批次，今</w:t>
      </w:r>
      <w:r>
        <w:rPr>
          <w:rFonts w:hint="eastAsia" w:ascii="仿宋" w:hAnsi="仿宋" w:eastAsia="仿宋"/>
          <w:sz w:val="32"/>
          <w:szCs w:val="32"/>
        </w:rPr>
        <w:t>年来，</w:t>
      </w:r>
      <w:r>
        <w:rPr>
          <w:rFonts w:hint="eastAsia" w:ascii="仿宋" w:hAnsi="仿宋" w:eastAsia="仿宋" w:cs="仿宋"/>
          <w:sz w:val="32"/>
          <w:szCs w:val="32"/>
        </w:rPr>
        <w:t>先后10余次陪同</w:t>
      </w:r>
      <w:r>
        <w:rPr>
          <w:rFonts w:hint="eastAsia" w:ascii="仿宋" w:hAnsi="仿宋" w:eastAsia="仿宋"/>
          <w:sz w:val="32"/>
          <w:szCs w:val="32"/>
        </w:rPr>
        <w:t>江苏力和集团和湖南金江湖实业集团</w:t>
      </w:r>
      <w:r>
        <w:rPr>
          <w:rFonts w:hint="eastAsia" w:ascii="仿宋" w:hAnsi="仿宋" w:eastAsia="仿宋" w:cs="仿宋"/>
          <w:sz w:val="32"/>
          <w:szCs w:val="32"/>
        </w:rPr>
        <w:t>到桃花山、胜峰林场、塔市林场、长江岸线、东湖湿地公园等地进行考察，目前两家公司均有在华容投资建设的初步意向。</w:t>
      </w:r>
    </w:p>
    <w:p w14:paraId="09DA761F">
      <w:pPr>
        <w:spacing w:line="56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4.真抓实干督查激励方面。</w:t>
      </w:r>
      <w:r>
        <w:rPr>
          <w:rFonts w:hint="eastAsia" w:ascii="仿宋" w:hAnsi="仿宋" w:eastAsia="仿宋" w:cs="仿宋"/>
          <w:sz w:val="32"/>
          <w:szCs w:val="32"/>
        </w:rPr>
        <w:t>局党委严格对照各责任人报送的工作任务清单“四四表单”，开展跟踪督查督办。目前，正在收集整理各乡镇2022年度公共文化服务体系高质量发展五年行动重点评价指标内容资料；实施全域旅游战略、发展文化和旅游产业成效明显，目前已完成4家四上企业的资料填报工作。另外，人均拥有公共文化设施面积、人均接受文化场馆服务次数、规模以上文化企业营业收入及增长率、旅游总收入及增长率等相关指标省市统计数据没有出台，但我局已与省市主管部门对接，上级主管部门表示，会充分考虑华容的实际情况，对我县今年的争创工作尽量给予支持。</w:t>
      </w:r>
    </w:p>
    <w:p w14:paraId="0B18D56F">
      <w:pPr>
        <w:spacing w:line="56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5.安全稳定方面。</w:t>
      </w:r>
      <w:r>
        <w:rPr>
          <w:rFonts w:hint="eastAsia" w:ascii="仿宋" w:hAnsi="仿宋" w:eastAsia="仿宋" w:cs="仿宋"/>
          <w:bCs/>
          <w:sz w:val="32"/>
          <w:szCs w:val="32"/>
        </w:rPr>
        <w:t>巩固文化体制改革成果，实现</w:t>
      </w:r>
      <w:r>
        <w:rPr>
          <w:rFonts w:hint="eastAsia" w:ascii="仿宋" w:hAnsi="仿宋" w:eastAsia="仿宋" w:cs="仿宋_GB2312"/>
          <w:sz w:val="32"/>
          <w:szCs w:val="32"/>
        </w:rPr>
        <w:t>电影公司、影剧院、艺术团</w:t>
      </w:r>
      <w:r>
        <w:rPr>
          <w:rFonts w:hint="eastAsia" w:ascii="仿宋" w:hAnsi="仿宋" w:eastAsia="仿宋" w:cs="仿宋"/>
          <w:bCs/>
          <w:sz w:val="32"/>
          <w:szCs w:val="32"/>
        </w:rPr>
        <w:t>3家改制企业稳定发展；</w:t>
      </w:r>
      <w:r>
        <w:rPr>
          <w:rFonts w:hint="eastAsia" w:ascii="仿宋" w:hAnsi="仿宋" w:eastAsia="仿宋" w:cs="仿宋"/>
          <w:sz w:val="32"/>
          <w:szCs w:val="32"/>
        </w:rPr>
        <w:t>深入开展全县文旅广电系统深化建设领城安全生产风险隐患“大排查大管控大整治”专项行动，对桥东原露天电影院危房及相关历史遗留问题进行了妥善处置，</w:t>
      </w:r>
      <w:r>
        <w:rPr>
          <w:rFonts w:hint="eastAsia" w:ascii="仿宋" w:hAnsi="仿宋" w:eastAsia="仿宋" w:cs="仿宋_GB2312"/>
          <w:sz w:val="32"/>
          <w:szCs w:val="32"/>
        </w:rPr>
        <w:t>年度内没有发生一起安全事故和非正常上访事件</w:t>
      </w:r>
      <w:r>
        <w:rPr>
          <w:rFonts w:hint="eastAsia" w:ascii="仿宋" w:hAnsi="仿宋" w:eastAsia="仿宋" w:cs="仿宋"/>
          <w:sz w:val="32"/>
          <w:szCs w:val="32"/>
        </w:rPr>
        <w:t>。</w:t>
      </w:r>
    </w:p>
    <w:p w14:paraId="1849A7F7">
      <w:pPr>
        <w:spacing w:line="560" w:lineRule="exact"/>
        <w:ind w:firstLine="710" w:firstLineChars="221"/>
        <w:rPr>
          <w:rFonts w:hint="eastAsia" w:ascii="楷体" w:hAnsi="楷体" w:eastAsia="楷体" w:cs="仿宋"/>
          <w:b/>
          <w:bCs/>
          <w:sz w:val="32"/>
          <w:szCs w:val="32"/>
        </w:rPr>
      </w:pPr>
      <w:r>
        <w:rPr>
          <w:rFonts w:hint="eastAsia" w:ascii="楷体" w:hAnsi="楷体" w:eastAsia="楷体" w:cs="仿宋"/>
          <w:b/>
          <w:bCs/>
          <w:sz w:val="32"/>
          <w:szCs w:val="32"/>
        </w:rPr>
        <w:t>（二）围绕主业抓提升</w:t>
      </w:r>
    </w:p>
    <w:p w14:paraId="3CB4D222">
      <w:pPr>
        <w:spacing w:line="56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1.公共文化服务效能取得新成效。</w:t>
      </w:r>
      <w:r>
        <w:rPr>
          <w:rFonts w:hint="eastAsia" w:ascii="仿宋" w:hAnsi="仿宋" w:eastAsia="仿宋" w:cs="仿宋"/>
          <w:sz w:val="32"/>
          <w:szCs w:val="32"/>
        </w:rPr>
        <w:t>3</w:t>
      </w:r>
      <w:r>
        <w:rPr>
          <w:rFonts w:hint="eastAsia" w:ascii="仿宋" w:hAnsi="仿宋" w:eastAsia="仿宋" w:cs="仿宋"/>
          <w:bCs/>
          <w:sz w:val="32"/>
          <w:szCs w:val="32"/>
        </w:rPr>
        <w:t>月份举办了乡镇文化旅游广电业务知识培训班。</w:t>
      </w:r>
      <w:r>
        <w:rPr>
          <w:rFonts w:ascii="仿宋" w:hAnsi="仿宋" w:eastAsia="仿宋" w:cs="仿宋"/>
          <w:bCs/>
          <w:sz w:val="32"/>
          <w:szCs w:val="32"/>
        </w:rPr>
        <w:t>4</w:t>
      </w:r>
      <w:r>
        <w:rPr>
          <w:rFonts w:hint="eastAsia" w:ascii="仿宋" w:hAnsi="仿宋" w:eastAsia="仿宋" w:cs="仿宋"/>
          <w:bCs/>
          <w:sz w:val="32"/>
          <w:szCs w:val="32"/>
        </w:rPr>
        <w:t>至</w:t>
      </w:r>
      <w:r>
        <w:rPr>
          <w:rFonts w:ascii="仿宋" w:hAnsi="仿宋" w:eastAsia="仿宋" w:cs="仿宋"/>
          <w:bCs/>
          <w:sz w:val="32"/>
          <w:szCs w:val="32"/>
        </w:rPr>
        <w:t>6</w:t>
      </w:r>
      <w:r>
        <w:rPr>
          <w:rFonts w:hint="eastAsia" w:ascii="仿宋" w:hAnsi="仿宋" w:eastAsia="仿宋" w:cs="仿宋"/>
          <w:bCs/>
          <w:sz w:val="32"/>
          <w:szCs w:val="32"/>
        </w:rPr>
        <w:t>月，书记、局长亲自带队开展了为期两个月的送培训下乡活动；开展了“送戏下乡”“百姓迎春”“书香华容”“非遗闹新春”等系列群众文化活动。对县文化活动中心升级改造，全县已建成图书分馆7家、文化分馆8家，6个待建文化分馆、7个待建图书分馆已完成选址工作，即将挂牌</w:t>
      </w:r>
      <w:r>
        <w:rPr>
          <w:rFonts w:hint="eastAsia" w:ascii="仿宋" w:hAnsi="仿宋" w:eastAsia="仿宋" w:cs="仿宋"/>
          <w:sz w:val="32"/>
          <w:szCs w:val="32"/>
        </w:rPr>
        <w:t>。</w:t>
      </w:r>
    </w:p>
    <w:p w14:paraId="6E084E58">
      <w:pPr>
        <w:spacing w:line="56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2.文旅产业发展迈出新步伐。一是加强组织领导。</w:t>
      </w:r>
      <w:r>
        <w:rPr>
          <w:rFonts w:hint="eastAsia" w:ascii="仿宋" w:hAnsi="仿宋" w:eastAsia="仿宋" w:cs="仿宋_GB2312"/>
          <w:color w:val="000000"/>
          <w:kern w:val="0"/>
          <w:sz w:val="32"/>
          <w:szCs w:val="32"/>
        </w:rPr>
        <w:t>县委</w:t>
      </w:r>
      <w:r>
        <w:rPr>
          <w:rFonts w:hint="eastAsia" w:ascii="仿宋" w:hAnsi="仿宋" w:eastAsia="仿宋" w:cs="仿宋_GB2312"/>
          <w:color w:val="000000"/>
          <w:kern w:val="0"/>
          <w:sz w:val="32"/>
          <w:szCs w:val="32"/>
          <w:lang w:val="en-US" w:eastAsia="zh-CN"/>
        </w:rPr>
        <w:t>县</w:t>
      </w:r>
      <w:r>
        <w:rPr>
          <w:rFonts w:hint="eastAsia" w:ascii="仿宋" w:hAnsi="仿宋" w:eastAsia="仿宋" w:cs="仿宋_GB2312"/>
          <w:color w:val="000000"/>
          <w:kern w:val="0"/>
          <w:sz w:val="32"/>
          <w:szCs w:val="32"/>
        </w:rPr>
        <w:t>政府非常重视文旅产业发展。今年</w:t>
      </w:r>
      <w:r>
        <w:rPr>
          <w:rFonts w:hint="eastAsia" w:ascii="仿宋" w:hAnsi="仿宋" w:eastAsia="仿宋"/>
          <w:sz w:val="32"/>
          <w:szCs w:val="32"/>
        </w:rPr>
        <w:t>2月21日、3月11日，县委书记陶伟军先后两次开展了全县文旅调研和座谈会，指导和统筹协调全县文旅产业事业发展。周县长也非常重视文旅产业发展，指导对东湖湿地公园进行保护性旅游开发，目前已联系两家规划公司实地考察，规划编制前期准备工作有序推进</w:t>
      </w:r>
      <w:r>
        <w:rPr>
          <w:rFonts w:hint="eastAsia" w:ascii="仿宋" w:hAnsi="仿宋" w:eastAsia="仿宋" w:cs="仿宋_GB2312"/>
          <w:color w:val="000000"/>
          <w:kern w:val="0"/>
          <w:sz w:val="32"/>
          <w:szCs w:val="32"/>
        </w:rPr>
        <w:t>。</w:t>
      </w:r>
      <w:r>
        <w:rPr>
          <w:rFonts w:hint="eastAsia" w:ascii="仿宋" w:hAnsi="仿宋" w:eastAsia="仿宋" w:cs="仿宋"/>
          <w:b/>
          <w:bCs/>
          <w:sz w:val="32"/>
          <w:szCs w:val="32"/>
        </w:rPr>
        <w:t>二是把握重大机遇。</w:t>
      </w:r>
      <w:r>
        <w:rPr>
          <w:rFonts w:hint="eastAsia" w:ascii="仿宋" w:hAnsi="仿宋" w:eastAsia="仿宋" w:cs="仿宋"/>
          <w:sz w:val="32"/>
          <w:szCs w:val="32"/>
        </w:rPr>
        <w:t>编制完成的《长江国家文化公园华容段建设思路》文本、《长江国家文化公园华容段》图册，得到了市委宣传部和市文旅广电局领导的高度好评，为长江国家公园岳阳段建设提供了参考。</w:t>
      </w:r>
      <w:r>
        <w:rPr>
          <w:rFonts w:hint="eastAsia" w:ascii="仿宋" w:hAnsi="仿宋" w:eastAsia="仿宋" w:cs="仿宋"/>
          <w:b/>
          <w:bCs/>
          <w:sz w:val="32"/>
          <w:szCs w:val="32"/>
        </w:rPr>
        <w:t>三是加大宣传推介。</w:t>
      </w:r>
      <w:r>
        <w:rPr>
          <w:rFonts w:hint="eastAsia" w:ascii="仿宋" w:hAnsi="仿宋" w:eastAsia="仿宋" w:cs="仿宋"/>
          <w:sz w:val="32"/>
          <w:szCs w:val="32"/>
        </w:rPr>
        <w:t>制作了《华容文旅招商手册》《华容文旅》宣传画册；发</w:t>
      </w:r>
      <w:r>
        <w:rPr>
          <w:rFonts w:hint="eastAsia" w:ascii="仿宋" w:hAnsi="仿宋" w:eastAsia="仿宋" w:cs="仿宋_GB2312"/>
          <w:sz w:val="32"/>
          <w:szCs w:val="32"/>
        </w:rPr>
        <w:t>起了华容美景推荐宣传活动，制作《其实你不用去远方》</w:t>
      </w:r>
      <w:bookmarkStart w:id="0" w:name="_GoBack"/>
      <w:bookmarkEnd w:id="0"/>
      <w:r>
        <w:rPr>
          <w:rFonts w:hint="eastAsia" w:ascii="仿宋" w:hAnsi="仿宋" w:eastAsia="仿宋" w:cs="仿宋_GB2312"/>
          <w:sz w:val="32"/>
          <w:szCs w:val="32"/>
        </w:rPr>
        <w:t>华容美景宣传视频6期，</w:t>
      </w:r>
      <w:r>
        <w:rPr>
          <w:rFonts w:hint="eastAsia" w:ascii="仿宋" w:hAnsi="仿宋" w:eastAsia="仿宋" w:cs="仿宋"/>
          <w:sz w:val="32"/>
          <w:szCs w:val="32"/>
        </w:rPr>
        <w:t>收到很好的社会效应。主动发声营造氛围，上半年共向新湖南、湖南公共文旅云、岳阳日报、华容手机台等媒体报送新闻稿件30余篇，提高全县文旅广电事业影响力、</w:t>
      </w:r>
      <w:r>
        <w:rPr>
          <w:rFonts w:hint="eastAsia" w:ascii="仿宋" w:hAnsi="仿宋" w:eastAsia="仿宋" w:cs="仿宋_GB2312"/>
          <w:sz w:val="32"/>
          <w:szCs w:val="32"/>
        </w:rPr>
        <w:t>贡献度和美誉度。</w:t>
      </w:r>
      <w:r>
        <w:rPr>
          <w:rFonts w:hint="eastAsia" w:ascii="仿宋" w:hAnsi="仿宋" w:eastAsia="仿宋" w:cs="仿宋"/>
          <w:b/>
          <w:bCs/>
          <w:sz w:val="32"/>
          <w:szCs w:val="32"/>
        </w:rPr>
        <w:t>四是为文旅企业纾困。</w:t>
      </w:r>
      <w:r>
        <w:rPr>
          <w:rFonts w:hint="eastAsia" w:ascii="仿宋" w:hAnsi="仿宋" w:eastAsia="仿宋" w:cs="仿宋"/>
          <w:sz w:val="32"/>
          <w:szCs w:val="32"/>
        </w:rPr>
        <w:t>禹山镇南竹村入围“第四批湖南省乡村旅游重点村和第二批湖南省乡村旅游重点镇遴选名单”和农业农村部“2022 年中国美丽休闲乡村公示名单”。</w:t>
      </w:r>
    </w:p>
    <w:p w14:paraId="51566ACA">
      <w:pPr>
        <w:spacing w:line="56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3.文旅广电行业监管得到新提升。</w:t>
      </w:r>
      <w:r>
        <w:rPr>
          <w:rFonts w:hint="eastAsia" w:ascii="仿宋" w:hAnsi="仿宋" w:eastAsia="仿宋" w:cs="仿宋"/>
          <w:sz w:val="32"/>
          <w:szCs w:val="32"/>
        </w:rPr>
        <w:t>开展了全县包括乡镇文旅市场安全生产大检查，由县委宣传部牵头，对全县农村广播“村村响”运行维护管理工作进行了督查，收缴和拆除了非法卫星锅20余台。加大了“扫黄打非”进基层、进村（社区）的覆盖范围。与县民宗局一同对非法宗教场所进行了清查，对非法宗教出版物进行了收缴。</w:t>
      </w:r>
    </w:p>
    <w:p w14:paraId="317E623C">
      <w:pPr>
        <w:spacing w:line="560" w:lineRule="exact"/>
        <w:ind w:firstLine="710" w:firstLineChars="221"/>
        <w:rPr>
          <w:rFonts w:hint="eastAsia" w:ascii="仿宋" w:hAnsi="仿宋" w:eastAsia="仿宋" w:cs="仿宋_GB2312"/>
          <w:sz w:val="32"/>
          <w:szCs w:val="32"/>
        </w:rPr>
      </w:pPr>
      <w:r>
        <w:rPr>
          <w:rFonts w:hint="eastAsia" w:ascii="仿宋" w:hAnsi="仿宋" w:eastAsia="仿宋" w:cs="仿宋"/>
          <w:b/>
          <w:bCs/>
          <w:sz w:val="32"/>
          <w:szCs w:val="32"/>
        </w:rPr>
        <w:t>4.文化遗产保护传承跃上新台阶。</w:t>
      </w:r>
      <w:r>
        <w:rPr>
          <w:rFonts w:hint="eastAsia" w:ascii="仿宋" w:hAnsi="仿宋" w:eastAsia="仿宋" w:cs="仿宋_GB2312"/>
          <w:b/>
          <w:bCs/>
          <w:sz w:val="32"/>
          <w:szCs w:val="32"/>
        </w:rPr>
        <w:t>文物方面</w:t>
      </w:r>
      <w:r>
        <w:rPr>
          <w:rFonts w:hint="eastAsia" w:ascii="仿宋" w:hAnsi="仿宋" w:eastAsia="仿宋" w:cs="仿宋_GB2312"/>
          <w:sz w:val="32"/>
          <w:szCs w:val="32"/>
        </w:rPr>
        <w:t>。加强对车轱山遗址、七星墩遗址的保护力度；举办“5.18国际博物馆日”和“6.11文化与自然遗产日”宣传展览；开展县域内不可移动文物安全巡查工作，共巡查各级文保单位36处；举行了省级文物保护单位刘公武墓揭碑仪式，</w:t>
      </w:r>
      <w:r>
        <w:rPr>
          <w:rFonts w:hint="eastAsia" w:ascii="仿宋" w:hAnsi="仿宋" w:eastAsia="仿宋" w:cs="仿宋"/>
          <w:sz w:val="32"/>
          <w:szCs w:val="32"/>
        </w:rPr>
        <w:t>同时加强了一批省保、市保单位的修缮和保护力度</w:t>
      </w:r>
      <w:r>
        <w:rPr>
          <w:rFonts w:hint="eastAsia" w:ascii="仿宋" w:hAnsi="仿宋" w:eastAsia="仿宋" w:cs="仿宋_GB2312"/>
          <w:sz w:val="32"/>
          <w:szCs w:val="32"/>
        </w:rPr>
        <w:t>。</w:t>
      </w:r>
      <w:r>
        <w:rPr>
          <w:rFonts w:hint="eastAsia" w:ascii="仿宋" w:hAnsi="仿宋" w:eastAsia="仿宋" w:cs="仿宋_GB2312"/>
          <w:b/>
          <w:bCs/>
          <w:sz w:val="32"/>
          <w:szCs w:val="32"/>
        </w:rPr>
        <w:t>非遗方面。</w:t>
      </w:r>
      <w:r>
        <w:rPr>
          <w:rFonts w:hint="eastAsia" w:ascii="仿宋" w:hAnsi="仿宋" w:eastAsia="仿宋" w:cs="仿宋_GB2312"/>
          <w:sz w:val="32"/>
          <w:szCs w:val="32"/>
        </w:rPr>
        <w:t>开展了“闹元宵”非遗展演巡游和“文化和自然遗产日”非遗宣传活动；开展地方花鼓戏、竹马戏、蚌壳戏等地方戏曲展演和非遗“进校园、进社区、进乡村”等活动共30场。</w:t>
      </w:r>
    </w:p>
    <w:p w14:paraId="27EA14FC">
      <w:pPr>
        <w:spacing w:line="560" w:lineRule="exact"/>
        <w:ind w:firstLine="707" w:firstLineChars="221"/>
        <w:rPr>
          <w:rFonts w:hint="eastAsia" w:ascii="黑体" w:hAnsi="黑体" w:eastAsia="黑体" w:cs="仿宋"/>
          <w:sz w:val="32"/>
          <w:szCs w:val="32"/>
        </w:rPr>
      </w:pPr>
      <w:r>
        <w:rPr>
          <w:rFonts w:hint="eastAsia" w:ascii="黑体" w:hAnsi="黑体" w:eastAsia="黑体" w:cs="仿宋"/>
          <w:sz w:val="32"/>
          <w:szCs w:val="32"/>
        </w:rPr>
        <w:t>五</w:t>
      </w:r>
      <w:r>
        <w:rPr>
          <w:rFonts w:ascii="黑体" w:hAnsi="黑体" w:eastAsia="黑体" w:cs="仿宋"/>
          <w:sz w:val="32"/>
          <w:szCs w:val="32"/>
        </w:rPr>
        <w:t>、存在的问题及原因分析</w:t>
      </w:r>
    </w:p>
    <w:p w14:paraId="314B121A">
      <w:pPr>
        <w:spacing w:line="560" w:lineRule="exact"/>
        <w:ind w:firstLine="707" w:firstLineChars="221"/>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（一）预算绩效指标体系存在进一步完善的空间，我单位现建立的各项预算绩效目标指标仍有不科学、不细致的地方，影响了预算绩效评价的结果。</w:t>
      </w:r>
    </w:p>
    <w:p w14:paraId="402DEE0D">
      <w:pPr>
        <w:spacing w:line="560" w:lineRule="exact"/>
        <w:ind w:firstLine="707" w:firstLineChars="221"/>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（二）预算绩效管理经验需要进一步积累。因为预算绩效管理工作具有政策性强、专业性强、涉及面广、操作难度大等特点，经验不足，导致工作多走许多弯路，影响工作效果。</w:t>
      </w:r>
    </w:p>
    <w:p w14:paraId="508149FA">
      <w:pPr>
        <w:spacing w:line="560" w:lineRule="exact"/>
        <w:ind w:firstLine="707" w:firstLineChars="221"/>
        <w:rPr>
          <w:rFonts w:hint="eastAsia" w:ascii="黑体" w:hAnsi="黑体" w:eastAsia="黑体" w:cs="仿宋"/>
          <w:sz w:val="32"/>
          <w:szCs w:val="32"/>
        </w:rPr>
      </w:pPr>
      <w:r>
        <w:rPr>
          <w:rFonts w:hint="eastAsia" w:ascii="黑体" w:hAnsi="黑体" w:eastAsia="黑体" w:cs="仿宋"/>
          <w:sz w:val="32"/>
          <w:szCs w:val="32"/>
        </w:rPr>
        <w:t>六</w:t>
      </w:r>
      <w:r>
        <w:rPr>
          <w:rFonts w:ascii="黑体" w:hAnsi="黑体" w:eastAsia="黑体" w:cs="仿宋"/>
          <w:sz w:val="32"/>
          <w:szCs w:val="32"/>
        </w:rPr>
        <w:t>、下一步改进措施</w:t>
      </w:r>
    </w:p>
    <w:p w14:paraId="6760384C">
      <w:pPr>
        <w:spacing w:line="560" w:lineRule="exact"/>
        <w:ind w:firstLine="707" w:firstLineChars="221"/>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一）细化预算编制工作，认真做好预算的编制。进一步加强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14:paraId="3E46DAE2">
      <w:pPr>
        <w:spacing w:line="560" w:lineRule="exact"/>
        <w:ind w:firstLine="707" w:firstLineChars="221"/>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二）加强财务管理，严格财务审核。加强单位财务管理，健全单位财务管理制度体系，规范单位财务行为。在费用报账支付时，按照预算规定的费用项目和用途进行资金使用审核、列报支付、财务核算，杜绝超支现象的发生。</w:t>
      </w:r>
    </w:p>
    <w:p w14:paraId="6C6F6C11">
      <w:pPr>
        <w:spacing w:line="560" w:lineRule="exact"/>
        <w:ind w:firstLine="707" w:firstLineChars="221"/>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三）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管理，合理压缩“三公”经费支出。</w:t>
      </w:r>
    </w:p>
    <w:p w14:paraId="2CD96470">
      <w:pPr>
        <w:spacing w:line="560" w:lineRule="exact"/>
        <w:ind w:firstLine="707" w:firstLineChars="221"/>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（四）对相关人员加强培训，特别是针对《预算法》、《行政事业单位会计制度》等学习培训，规范部门预算收支核算，切实提高部门预算收支管理水平。</w:t>
      </w:r>
      <w:r>
        <w:rPr>
          <w:rFonts w:hint="eastAsia" w:ascii="宋体" w:hAnsi="宋体" w:cs="宋体"/>
          <w:color w:val="000000"/>
          <w:sz w:val="32"/>
          <w:szCs w:val="32"/>
          <w:shd w:val="clear" w:color="auto" w:fill="FFFFFF"/>
        </w:rPr>
        <w:t> </w:t>
      </w:r>
    </w:p>
    <w:p w14:paraId="258D881B">
      <w:pPr>
        <w:widowControl/>
        <w:spacing w:line="560" w:lineRule="exact"/>
        <w:ind w:firstLine="640" w:firstLineChars="200"/>
        <w:rPr>
          <w:rFonts w:ascii="仿宋" w:hAnsi="仿宋" w:eastAsia="仿宋"/>
          <w:sz w:val="32"/>
          <w:szCs w:val="32"/>
        </w:rPr>
      </w:pPr>
    </w:p>
    <w:p w14:paraId="2488997F">
      <w:pPr>
        <w:pStyle w:val="13"/>
        <w:spacing w:before="0" w:beforeAutospacing="0" w:line="560" w:lineRule="exact"/>
        <w:ind w:left="420" w:firstLine="640"/>
        <w:rPr>
          <w:rFonts w:ascii="仿宋" w:hAnsi="仿宋" w:eastAsia="仿宋"/>
          <w:sz w:val="32"/>
          <w:szCs w:val="32"/>
        </w:rPr>
      </w:pPr>
    </w:p>
    <w:p w14:paraId="2CBA79B6">
      <w:pPr>
        <w:pStyle w:val="12"/>
        <w:spacing w:before="0" w:beforeAutospacing="0" w:after="0" w:line="560" w:lineRule="exact"/>
        <w:ind w:firstLine="320"/>
        <w:rPr>
          <w:rFonts w:ascii="仿宋" w:hAnsi="仿宋" w:eastAsia="仿宋"/>
          <w:sz w:val="32"/>
          <w:szCs w:val="32"/>
        </w:rPr>
      </w:pPr>
    </w:p>
    <w:p w14:paraId="511252E7">
      <w:pPr>
        <w:spacing w:line="560" w:lineRule="exact"/>
        <w:rPr>
          <w:rFonts w:ascii="仿宋" w:hAnsi="仿宋" w:eastAsia="仿宋"/>
          <w:sz w:val="32"/>
          <w:szCs w:val="32"/>
        </w:rPr>
      </w:pPr>
    </w:p>
    <w:p w14:paraId="2DF8AD89">
      <w:pPr>
        <w:pStyle w:val="13"/>
        <w:ind w:left="420" w:firstLine="640"/>
        <w:rPr>
          <w:rFonts w:ascii="仿宋_GB2312" w:eastAsia="仿宋_GB2312"/>
          <w:sz w:val="32"/>
          <w:szCs w:val="32"/>
        </w:rPr>
      </w:pPr>
    </w:p>
    <w:p w14:paraId="565A7D62">
      <w:pPr>
        <w:pStyle w:val="12"/>
        <w:ind w:firstLine="320"/>
        <w:rPr>
          <w:rFonts w:ascii="仿宋_GB2312" w:eastAsia="仿宋_GB2312"/>
          <w:sz w:val="32"/>
          <w:szCs w:val="32"/>
        </w:rPr>
      </w:pPr>
    </w:p>
    <w:p w14:paraId="4CE385AD"/>
    <w:p w14:paraId="3C77F599">
      <w:pPr>
        <w:pStyle w:val="13"/>
        <w:ind w:leftChars="0" w:firstLine="0" w:firstLineChars="0"/>
        <w:rPr>
          <w:rFonts w:ascii="仿宋_GB2312" w:eastAsia="仿宋_GB2312"/>
          <w:sz w:val="32"/>
          <w:szCs w:val="32"/>
        </w:rPr>
      </w:pPr>
    </w:p>
    <w:p w14:paraId="5D2E8F9D">
      <w:pPr>
        <w:rPr>
          <w:rFonts w:ascii="仿宋_GB2312" w:eastAsia="仿宋_GB2312"/>
          <w:sz w:val="32"/>
          <w:szCs w:val="32"/>
        </w:rPr>
      </w:pPr>
    </w:p>
    <w:p w14:paraId="516F551D">
      <w:pPr>
        <w:spacing w:line="560" w:lineRule="exact"/>
        <w:rPr>
          <w:rFonts w:hint="eastAsia" w:ascii="黑体" w:hAnsi="黑体" w:eastAsia="黑体"/>
          <w:sz w:val="32"/>
          <w:szCs w:val="32"/>
        </w:rPr>
      </w:pPr>
    </w:p>
    <w:p w14:paraId="5A8D824F">
      <w:pPr>
        <w:spacing w:line="560" w:lineRule="exact"/>
        <w:rPr>
          <w:rFonts w:hint="eastAsia" w:ascii="黑体" w:hAnsi="黑体" w:eastAsia="黑体"/>
          <w:sz w:val="32"/>
          <w:szCs w:val="32"/>
        </w:rPr>
      </w:pPr>
    </w:p>
    <w:p w14:paraId="4B700CD0">
      <w:pPr>
        <w:spacing w:line="560" w:lineRule="exact"/>
        <w:rPr>
          <w:rFonts w:ascii="黑体" w:hAnsi="黑体" w:eastAsia="黑体"/>
          <w:sz w:val="32"/>
          <w:szCs w:val="32"/>
        </w:rPr>
      </w:pPr>
      <w:r>
        <w:rPr>
          <w:rFonts w:hint="eastAsia" w:ascii="黑体" w:hAnsi="黑体" w:eastAsia="黑体"/>
          <w:sz w:val="32"/>
          <w:szCs w:val="32"/>
        </w:rPr>
        <w:t>附件4</w:t>
      </w:r>
    </w:p>
    <w:p w14:paraId="53C70DD0">
      <w:pPr>
        <w:widowControl/>
        <w:spacing w:beforeLines="50" w:afterLines="10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项目支出绩效评价评分表（共性）</w:t>
      </w:r>
    </w:p>
    <w:tbl>
      <w:tblPr>
        <w:tblStyle w:val="14"/>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14:paraId="18A654FE">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91E31">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一级</w:t>
            </w:r>
          </w:p>
          <w:p w14:paraId="0C1D264C">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14:paraId="75742999">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ign w:val="center"/>
          </w:tcPr>
          <w:p w14:paraId="7D71FE1E">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二级</w:t>
            </w:r>
          </w:p>
          <w:p w14:paraId="6D242DB2">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14:paraId="699B669C">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ign w:val="center"/>
          </w:tcPr>
          <w:p w14:paraId="3674DA7B">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三级</w:t>
            </w:r>
          </w:p>
          <w:p w14:paraId="11F8E806">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ign w:val="center"/>
          </w:tcPr>
          <w:p w14:paraId="0906FD83">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ign w:val="center"/>
          </w:tcPr>
          <w:p w14:paraId="3AEC6BC1">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ign w:val="center"/>
          </w:tcPr>
          <w:p w14:paraId="38FBD780">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A9A9248">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14:paraId="750A868D">
            <w:pPr>
              <w:widowControl/>
              <w:spacing w:line="240" w:lineRule="exact"/>
              <w:jc w:val="center"/>
              <w:rPr>
                <w:rFonts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14:paraId="7CD7E530">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textDirection w:val="tbLrV"/>
            <w:vAlign w:val="center"/>
          </w:tcPr>
          <w:p w14:paraId="74B32579">
            <w:pPr>
              <w:widowControl/>
              <w:spacing w:line="240" w:lineRule="exact"/>
              <w:ind w:left="113" w:right="113"/>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ign w:val="center"/>
          </w:tcPr>
          <w:p w14:paraId="043353EC">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textDirection w:val="tbRlV"/>
            <w:vAlign w:val="center"/>
          </w:tcPr>
          <w:p w14:paraId="412E0FEC">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ign w:val="center"/>
          </w:tcPr>
          <w:p w14:paraId="68FE35AE">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ign w:val="center"/>
          </w:tcPr>
          <w:p w14:paraId="5789F9E6">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目标</w:t>
            </w:r>
          </w:p>
          <w:p w14:paraId="0D31F43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ign w:val="center"/>
          </w:tcPr>
          <w:p w14:paraId="25394519">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14:paraId="366DA490">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ign w:val="center"/>
          </w:tcPr>
          <w:p w14:paraId="7009605A">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①设有目标（1分）</w:t>
            </w:r>
          </w:p>
          <w:p w14:paraId="3CB6F4EA">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②目标明确（1分）</w:t>
            </w:r>
          </w:p>
          <w:p w14:paraId="2396250B">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③目标细化（1分）</w:t>
            </w:r>
          </w:p>
          <w:p w14:paraId="469EC5D7">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ign w:val="center"/>
          </w:tcPr>
          <w:p w14:paraId="22FED911">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3E620845">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14:paraId="31281C18">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277F96EE">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14:paraId="5614B0F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ign w:val="center"/>
          </w:tcPr>
          <w:p w14:paraId="050CA6FB">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ign w:val="center"/>
          </w:tcPr>
          <w:p w14:paraId="295AE2B2">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14:paraId="476E3AF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ign w:val="center"/>
          </w:tcPr>
          <w:p w14:paraId="20A78AF9">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14:paraId="6067791E">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ign w:val="center"/>
          </w:tcPr>
          <w:p w14:paraId="5FF1BBC6">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①符合法律法规（1分）</w:t>
            </w:r>
          </w:p>
          <w:p w14:paraId="1670890E">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②符合经济社会发展规划（1分）</w:t>
            </w:r>
          </w:p>
          <w:p w14:paraId="4DF50ADB">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③部门年度工作计划（1分）</w:t>
            </w:r>
          </w:p>
          <w:p w14:paraId="429CEC25">
            <w:pPr>
              <w:widowControl/>
              <w:spacing w:line="240" w:lineRule="exact"/>
              <w:jc w:val="left"/>
              <w:rPr>
                <w:rFonts w:ascii="仿宋_GB2312" w:hAnsi="宋体" w:eastAsia="仿宋_GB2312" w:cs="宋体"/>
                <w:spacing w:val="-6"/>
                <w:kern w:val="0"/>
                <w:sz w:val="18"/>
                <w:szCs w:val="18"/>
              </w:rPr>
            </w:pPr>
            <w:r>
              <w:rPr>
                <w:rFonts w:hint="eastAsia" w:ascii="仿宋_GB2312" w:hAnsi="宋体" w:eastAsia="仿宋_GB2312" w:cs="宋体"/>
                <w:spacing w:val="-6"/>
                <w:kern w:val="0"/>
                <w:sz w:val="18"/>
                <w:szCs w:val="18"/>
              </w:rPr>
              <w:t>④针对某一实际问题和需求（1分）</w:t>
            </w:r>
          </w:p>
          <w:p w14:paraId="4538AAA3">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ign w:val="center"/>
          </w:tcPr>
          <w:p w14:paraId="0CDBD39E">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1B19206A">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14:paraId="2E4F7344">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051CEFFD">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14:paraId="3B06069A">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0DC0964B">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14:paraId="0B4CEA5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14:paraId="7E463A51">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ign w:val="center"/>
          </w:tcPr>
          <w:p w14:paraId="62B94C6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ign w:val="center"/>
          </w:tcPr>
          <w:p w14:paraId="5DD5F623">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ign w:val="center"/>
          </w:tcPr>
          <w:p w14:paraId="24ED5D18">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①符合申报条件（2分）</w:t>
            </w:r>
          </w:p>
          <w:p w14:paraId="25C76B3C">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②项目申报、批复程序符合管理办法（1分）</w:t>
            </w:r>
          </w:p>
          <w:p w14:paraId="1E6FE5CE">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ign w:val="center"/>
          </w:tcPr>
          <w:p w14:paraId="1774C43F">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11B68C7D">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14:paraId="55CF44AC">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390237A3">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14:paraId="1FFD1CD5">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ign w:val="center"/>
          </w:tcPr>
          <w:p w14:paraId="5734290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ign w:val="center"/>
          </w:tcPr>
          <w:p w14:paraId="47409BE3">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14:paraId="5F03A25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ign w:val="center"/>
          </w:tcPr>
          <w:p w14:paraId="4C4B139B">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14:paraId="7558C0A3">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ign w:val="center"/>
          </w:tcPr>
          <w:p w14:paraId="2E978CFC">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①有相应的资金管理办法（1分）</w:t>
            </w:r>
          </w:p>
          <w:p w14:paraId="2735AECE">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②办法健全、规范（1分）</w:t>
            </w:r>
          </w:p>
          <w:p w14:paraId="19C42897">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③因素全面合理（1分）</w:t>
            </w:r>
          </w:p>
          <w:p w14:paraId="3E004836">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14:paraId="3AEFA37F">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22097B49">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14:paraId="2B4BBA15">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31D5DB84">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14:paraId="42922719">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21994890">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14:paraId="46133186">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14:paraId="75B8E221">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ign w:val="center"/>
          </w:tcPr>
          <w:p w14:paraId="36C6606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ign w:val="center"/>
          </w:tcPr>
          <w:p w14:paraId="0F9661A9">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ign w:val="center"/>
          </w:tcPr>
          <w:p w14:paraId="6C31A7F6">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①符合分配办法（2分）</w:t>
            </w:r>
          </w:p>
          <w:p w14:paraId="635D233C">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②分配公平合理（3分）</w:t>
            </w:r>
          </w:p>
          <w:p w14:paraId="2E278D68">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ign w:val="center"/>
          </w:tcPr>
          <w:p w14:paraId="04326F23">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14:paraId="5ED6CECA">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textDirection w:val="tbLrV"/>
            <w:vAlign w:val="center"/>
          </w:tcPr>
          <w:p w14:paraId="377A818D">
            <w:pPr>
              <w:widowControl/>
              <w:spacing w:line="240" w:lineRule="exact"/>
              <w:ind w:left="113" w:right="113" w:firstLine="2520" w:firstLineChars="1400"/>
              <w:rPr>
                <w:rFonts w:ascii="仿宋_GB2312" w:hAnsi="宋体" w:eastAsia="仿宋_GB2312" w:cs="宋体"/>
                <w:kern w:val="0"/>
                <w:sz w:val="18"/>
                <w:szCs w:val="18"/>
              </w:rPr>
            </w:pPr>
            <w:r>
              <w:rPr>
                <w:rFonts w:hint="eastAsia" w:ascii="仿宋_GB2312" w:hAnsi="宋体" w:eastAsia="仿宋_GB2312" w:cs="宋体"/>
                <w:kern w:val="0"/>
                <w:sz w:val="18"/>
                <w:szCs w:val="18"/>
              </w:rPr>
              <w:t>项目管理</w:t>
            </w:r>
          </w:p>
        </w:tc>
        <w:tc>
          <w:tcPr>
            <w:tcW w:w="540" w:type="dxa"/>
            <w:vMerge w:val="restart"/>
            <w:tcBorders>
              <w:top w:val="nil"/>
              <w:left w:val="single" w:color="000000" w:sz="4" w:space="0"/>
              <w:right w:val="single" w:color="000000" w:sz="4" w:space="0"/>
            </w:tcBorders>
            <w:noWrap/>
            <w:vAlign w:val="center"/>
          </w:tcPr>
          <w:p w14:paraId="626CA7CC">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25</w:t>
            </w:r>
          </w:p>
          <w:p w14:paraId="772FA76E"/>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14:paraId="3102D5FD">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ign w:val="center"/>
          </w:tcPr>
          <w:p w14:paraId="56C73A91">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ign w:val="center"/>
          </w:tcPr>
          <w:p w14:paraId="6F1E58C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ign w:val="center"/>
          </w:tcPr>
          <w:p w14:paraId="623544C9">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14:paraId="30185967">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ign w:val="center"/>
          </w:tcPr>
          <w:p w14:paraId="0238C0FA">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ign w:val="center"/>
          </w:tcPr>
          <w:p w14:paraId="509443B9">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3D63315F">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ign w:val="center"/>
          </w:tcPr>
          <w:p w14:paraId="27E0B303">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14:paraId="7F93ED84">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14:paraId="15DB0A09">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6FBACC80">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14:paraId="02FC7C58">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w:t>
            </w:r>
          </w:p>
          <w:p w14:paraId="6429DD3E">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ign w:val="center"/>
          </w:tcPr>
          <w:p w14:paraId="3115EAE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ign w:val="center"/>
          </w:tcPr>
          <w:p w14:paraId="5E9D35AA">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ign w:val="center"/>
          </w:tcPr>
          <w:p w14:paraId="4CE823B4">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①到位及时（2分）</w:t>
            </w:r>
          </w:p>
          <w:p w14:paraId="34D24C7D">
            <w:pPr>
              <w:widowControl/>
              <w:spacing w:line="240" w:lineRule="exact"/>
              <w:jc w:val="left"/>
              <w:rPr>
                <w:rFonts w:ascii="仿宋_GB2312" w:hAnsi="宋体" w:eastAsia="仿宋_GB2312" w:cs="宋体"/>
                <w:spacing w:val="-10"/>
                <w:kern w:val="0"/>
                <w:sz w:val="18"/>
                <w:szCs w:val="18"/>
              </w:rPr>
            </w:pPr>
            <w:r>
              <w:rPr>
                <w:rFonts w:hint="eastAsia" w:ascii="仿宋_GB2312" w:hAnsi="宋体" w:eastAsia="仿宋_GB2312" w:cs="宋体"/>
                <w:spacing w:val="-10"/>
                <w:kern w:val="0"/>
                <w:sz w:val="18"/>
                <w:szCs w:val="18"/>
              </w:rPr>
              <w:t>②不及时但未影响项目进度 （1分）</w:t>
            </w:r>
          </w:p>
          <w:p w14:paraId="02A7F36A">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ign w:val="center"/>
          </w:tcPr>
          <w:p w14:paraId="16E332E1">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16D195B0">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ign w:val="center"/>
          </w:tcPr>
          <w:p w14:paraId="4CAA023E">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14:paraId="462AF7E4">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14:paraId="7F849CB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ign w:val="center"/>
          </w:tcPr>
          <w:p w14:paraId="7E1EC8D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ign w:val="center"/>
          </w:tcPr>
          <w:p w14:paraId="65C521C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w:t>
            </w:r>
          </w:p>
          <w:p w14:paraId="0BC2057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ign w:val="center"/>
          </w:tcPr>
          <w:p w14:paraId="6EFF5C0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ign w:val="center"/>
          </w:tcPr>
          <w:p w14:paraId="32AE286A">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ign w:val="center"/>
          </w:tcPr>
          <w:p w14:paraId="38653FB6">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xml:space="preserve">①虚列套取扣4-7分 </w:t>
            </w:r>
          </w:p>
          <w:p w14:paraId="75CF7FCE">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②依据不合规扣2分</w:t>
            </w:r>
          </w:p>
          <w:p w14:paraId="449AB3D1">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③截留、挤占、挪用扣3-6分</w:t>
            </w:r>
          </w:p>
          <w:p w14:paraId="7DF295D3">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④超标准开支扣2-5分</w:t>
            </w:r>
          </w:p>
          <w:p w14:paraId="3E76C52C">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ign w:val="center"/>
          </w:tcPr>
          <w:p w14:paraId="15393719">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7</w:t>
            </w:r>
          </w:p>
        </w:tc>
      </w:tr>
      <w:tr w14:paraId="29247332">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ign w:val="center"/>
          </w:tcPr>
          <w:p w14:paraId="10D6CFDE">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ign w:val="center"/>
          </w:tcPr>
          <w:p w14:paraId="176C4EF4">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14:paraId="33B2C793">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057A9CB2">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14:paraId="379C8433">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财务</w:t>
            </w:r>
          </w:p>
          <w:p w14:paraId="0B7217C9">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ign w:val="center"/>
          </w:tcPr>
          <w:p w14:paraId="0F15C399">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ign w:val="center"/>
          </w:tcPr>
          <w:p w14:paraId="6D3E87BE">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ign w:val="center"/>
          </w:tcPr>
          <w:p w14:paraId="6861B839">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①财务制度健全（1分）</w:t>
            </w:r>
          </w:p>
          <w:p w14:paraId="106F5D56">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②严格执行制度（1分）</w:t>
            </w:r>
          </w:p>
          <w:p w14:paraId="5247EFB2">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③会计核算规范（1分）</w:t>
            </w:r>
          </w:p>
          <w:p w14:paraId="5F1D7ED7">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14:paraId="53F1B4C8">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1D4A3EB2">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textDirection w:val="tbRlV"/>
            <w:vAlign w:val="center"/>
          </w:tcPr>
          <w:p w14:paraId="67997147">
            <w:pPr>
              <w:widowControl/>
              <w:spacing w:line="240" w:lineRule="exact"/>
              <w:jc w:val="center"/>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14:paraId="7024BB32"/>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14:paraId="1035C4CB">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14:paraId="3C8AF5C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ign w:val="center"/>
          </w:tcPr>
          <w:p w14:paraId="2A35A8D3">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w:t>
            </w:r>
          </w:p>
          <w:p w14:paraId="32EB3B09">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ign w:val="center"/>
          </w:tcPr>
          <w:p w14:paraId="7157742C">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14:paraId="48BC810A">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ign w:val="center"/>
          </w:tcPr>
          <w:p w14:paraId="417471DC">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72451CD4">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0389FA78">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14:paraId="397E674C">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14:paraId="2B3735B9">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E1029F4">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73F8AB3">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27973CE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支撑</w:t>
            </w:r>
          </w:p>
          <w:p w14:paraId="0725CC0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ign w:val="center"/>
          </w:tcPr>
          <w:p w14:paraId="6AE8DA56">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14:paraId="358715E8">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ign w:val="center"/>
          </w:tcPr>
          <w:p w14:paraId="6B7D9C27">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0BAEEDC5">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38191415">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14:paraId="215DD01B">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14:paraId="0C5E2A20">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CBA3B11">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AE028E8">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481E913E">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w:t>
            </w:r>
          </w:p>
          <w:p w14:paraId="0A22AFC2">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ign w:val="center"/>
          </w:tcPr>
          <w:p w14:paraId="154E097B">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14:paraId="60796D93">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ign w:val="center"/>
          </w:tcPr>
          <w:p w14:paraId="0B40B883">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①按计划开工（1分）</w:t>
            </w:r>
          </w:p>
          <w:p w14:paraId="6964657C">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②按计划开展（1分）</w:t>
            </w:r>
          </w:p>
          <w:p w14:paraId="7DD0815F">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29EC3BA0">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0CBA28CC">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ign w:val="center"/>
          </w:tcPr>
          <w:p w14:paraId="3EAAF1B6">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ign w:val="center"/>
          </w:tcPr>
          <w:p w14:paraId="0C6BB6BE">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11511E9">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DC6982C">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4889D073">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p w14:paraId="2E0C5092">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ign w:val="center"/>
          </w:tcPr>
          <w:p w14:paraId="30EBE18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ign w:val="center"/>
          </w:tcPr>
          <w:p w14:paraId="1B37D29D">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ign w:val="center"/>
          </w:tcPr>
          <w:p w14:paraId="235EE8FE">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①管理制度健全（2分）</w:t>
            </w:r>
          </w:p>
          <w:p w14:paraId="344D198F">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②制度执行严格（3分）</w:t>
            </w:r>
          </w:p>
          <w:p w14:paraId="4933EC12">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34A9379E">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14:paraId="72D7FEAE">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14:paraId="08BFA1B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6E87E8D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14:paraId="27839C9E">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7949EB5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ign w:val="center"/>
          </w:tcPr>
          <w:p w14:paraId="5FBC5B49">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14:paraId="32C5AC25">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ign w:val="center"/>
          </w:tcPr>
          <w:p w14:paraId="0895D66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ign w:val="center"/>
          </w:tcPr>
          <w:p w14:paraId="42D492E7">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ign w:val="center"/>
          </w:tcPr>
          <w:p w14:paraId="3037053F">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683767">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5</w:t>
            </w:r>
          </w:p>
        </w:tc>
      </w:tr>
      <w:tr w14:paraId="7535C847">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8EC39DA">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B704FBF">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A541147">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FFE9874">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377B6D73">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14:paraId="2BCCBB2A">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ign w:val="center"/>
          </w:tcPr>
          <w:p w14:paraId="2ECB4B0B">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ign w:val="center"/>
          </w:tcPr>
          <w:p w14:paraId="4A4BE6F2">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ign w:val="center"/>
          </w:tcPr>
          <w:p w14:paraId="1FA04990">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70D6F6FA">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288AD9A3">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6D83D76">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72D90B2">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1146EEE5">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1D314D81">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2A25C1E6">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14:paraId="133472F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ign w:val="center"/>
          </w:tcPr>
          <w:p w14:paraId="4422B4A1">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14:paraId="63319FE3">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ign w:val="center"/>
          </w:tcPr>
          <w:p w14:paraId="2832A098">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3A1D4E2C">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529DDAED">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0CE273B">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C4091F9">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E6F769A">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E70C94A">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1DC10286">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14:paraId="4B41A972">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ign w:val="center"/>
          </w:tcPr>
          <w:p w14:paraId="3B79BBC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14:paraId="05CEF92A">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ign w:val="center"/>
          </w:tcPr>
          <w:p w14:paraId="4F6A938F">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226B33F8">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47131107">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DD0DB2A">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070CC15">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14:paraId="52E8603C">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14:paraId="1212472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ign w:val="center"/>
          </w:tcPr>
          <w:p w14:paraId="675A0641">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w:t>
            </w:r>
          </w:p>
          <w:p w14:paraId="7B0B10CB">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14:paraId="48BC316F">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14:paraId="5ECD9AAD">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14:paraId="406E87FE">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5520D16E">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14:paraId="4CCC6BF5">
        <w:tblPrEx>
          <w:tblCellMar>
            <w:top w:w="0" w:type="dxa"/>
            <w:left w:w="108" w:type="dxa"/>
            <w:bottom w:w="0" w:type="dxa"/>
            <w:right w:w="108" w:type="dxa"/>
          </w:tblCellMar>
        </w:tblPrEx>
        <w:trPr>
          <w:trHeight w:val="1146"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4B0D5CEB">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48F41ED">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42A46992">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FC80ECE">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776DDEDE">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w:t>
            </w:r>
          </w:p>
          <w:p w14:paraId="132082B8">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14:paraId="27AECC29">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14:paraId="27540A53">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14:paraId="378891F5">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3BDC9D3B">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14:paraId="08E6374E">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9044345">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E383DF0">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E41B0C8">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D6481AC">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60ADFA7A">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w:t>
            </w:r>
          </w:p>
          <w:p w14:paraId="3D612B6B">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14:paraId="0149184A">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14:paraId="16B5E38F">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14:paraId="66786FC7">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5F30B38D">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14:paraId="3C58BC0E">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4BEDCA7">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45298C88">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D475819">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6A8AEB0">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3BDEE693">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w:t>
            </w:r>
          </w:p>
          <w:p w14:paraId="54169440">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ign w:val="center"/>
          </w:tcPr>
          <w:p w14:paraId="3F14546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14:paraId="085EE13B">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ign w:val="center"/>
          </w:tcPr>
          <w:p w14:paraId="45D86847">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4800A31F">
            <w:pPr>
              <w:widowControl/>
              <w:spacing w:line="240" w:lineRule="exact"/>
              <w:jc w:val="center"/>
              <w:rPr>
                <w:rFonts w:ascii="仿宋_GB2312" w:hAnsi="宋体" w:eastAsia="仿宋_GB2312" w:cs="宋体"/>
                <w:kern w:val="0"/>
                <w:sz w:val="24"/>
              </w:rPr>
            </w:pPr>
            <w:r>
              <w:rPr>
                <w:rFonts w:hint="eastAsia" w:ascii="仿宋_GB2312" w:hAnsi="宋体" w:eastAsia="仿宋_GB2312" w:cs="宋体"/>
                <w:kern w:val="0"/>
                <w:sz w:val="24"/>
              </w:rPr>
              <w:t>8</w:t>
            </w:r>
          </w:p>
        </w:tc>
      </w:tr>
      <w:tr w14:paraId="0600168C">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14:paraId="4F4E9734">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2138DFE0">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14:paraId="6798A994">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1FC2A2DA">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ign w:val="center"/>
          </w:tcPr>
          <w:p w14:paraId="01D89EC3">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服务</w:t>
            </w:r>
          </w:p>
          <w:p w14:paraId="6C28FEFE">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对象</w:t>
            </w:r>
          </w:p>
          <w:p w14:paraId="3A3FA947">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ign w:val="center"/>
          </w:tcPr>
          <w:p w14:paraId="42C88184">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ign w:val="center"/>
          </w:tcPr>
          <w:p w14:paraId="75B714D2">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ign w:val="center"/>
          </w:tcPr>
          <w:p w14:paraId="37C0E995">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ign w:val="center"/>
          </w:tcPr>
          <w:p w14:paraId="05E7644A">
            <w:pPr>
              <w:widowControl/>
              <w:spacing w:line="240" w:lineRule="exact"/>
              <w:jc w:val="center"/>
              <w:rPr>
                <w:rFonts w:ascii="宋体" w:hAnsi="宋体" w:cs="宋体"/>
                <w:kern w:val="0"/>
                <w:sz w:val="24"/>
              </w:rPr>
            </w:pPr>
            <w:r>
              <w:rPr>
                <w:rFonts w:hint="eastAsia" w:ascii="宋体" w:hAnsi="宋体" w:cs="宋体"/>
                <w:kern w:val="0"/>
                <w:sz w:val="24"/>
              </w:rPr>
              <w:t>8</w:t>
            </w:r>
          </w:p>
        </w:tc>
      </w:tr>
      <w:tr w14:paraId="7B5B0BF8">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ign w:val="center"/>
          </w:tcPr>
          <w:p w14:paraId="70F7B74B">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ign w:val="center"/>
          </w:tcPr>
          <w:p w14:paraId="425B18F3">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ign w:val="center"/>
          </w:tcPr>
          <w:p w14:paraId="5BD341D9">
            <w:pPr>
              <w:widowControl/>
              <w:spacing w:line="240" w:lineRule="exact"/>
              <w:jc w:val="center"/>
              <w:rPr>
                <w:rFonts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ign w:val="center"/>
          </w:tcPr>
          <w:p w14:paraId="32FCCF2E">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ign w:val="center"/>
          </w:tcPr>
          <w:p w14:paraId="00A602E1">
            <w:pPr>
              <w:widowControl/>
              <w:spacing w:line="240" w:lineRule="exact"/>
              <w:jc w:val="center"/>
              <w:rPr>
                <w:rFonts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ign w:val="center"/>
          </w:tcPr>
          <w:p w14:paraId="447D0322">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ign w:val="center"/>
          </w:tcPr>
          <w:p w14:paraId="655CEFEC">
            <w:pPr>
              <w:widowControl/>
              <w:spacing w:line="240" w:lineRule="exact"/>
              <w:jc w:val="center"/>
              <w:rPr>
                <w:rFonts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ign w:val="center"/>
          </w:tcPr>
          <w:p w14:paraId="224795E9">
            <w:pPr>
              <w:widowControl/>
              <w:spacing w:line="240" w:lineRule="exact"/>
              <w:jc w:val="center"/>
              <w:rPr>
                <w:rFonts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ign w:val="center"/>
          </w:tcPr>
          <w:p w14:paraId="01A60A43">
            <w:pPr>
              <w:widowControl/>
              <w:spacing w:line="240" w:lineRule="exact"/>
              <w:jc w:val="center"/>
              <w:rPr>
                <w:rFonts w:ascii="宋体" w:hAnsi="宋体" w:cs="宋体"/>
                <w:b/>
                <w:bCs/>
                <w:kern w:val="0"/>
                <w:sz w:val="24"/>
              </w:rPr>
            </w:pPr>
            <w:r>
              <w:rPr>
                <w:rFonts w:hint="eastAsia" w:ascii="宋体" w:hAnsi="宋体" w:cs="宋体"/>
                <w:b/>
                <w:bCs/>
                <w:kern w:val="0"/>
                <w:sz w:val="24"/>
              </w:rPr>
              <w:t>98</w:t>
            </w:r>
          </w:p>
        </w:tc>
      </w:tr>
    </w:tbl>
    <w:p w14:paraId="73D75412">
      <w:pPr>
        <w:adjustRightInd w:val="0"/>
        <w:snapToGrid w:val="0"/>
        <w:spacing w:beforeLines="50"/>
        <w:ind w:left="840" w:hanging="840" w:hangingChars="400"/>
        <w:contextualSpacing/>
        <w:rPr>
          <w:rFonts w:ascii="仿宋_GB2312" w:eastAsia="仿宋_GB2312"/>
        </w:rPr>
      </w:pPr>
      <w:r>
        <w:rPr>
          <w:rFonts w:hint="eastAsia" w:ascii="仿宋_GB2312" w:eastAsia="仿宋_GB2312"/>
        </w:rPr>
        <w:t>备注：1、部门（单位）根据项目实际，在《项目支出绩效评价指标评分表（共性）》上进一步完善、量化、细化个性指标，形成本项目的指标体系。</w:t>
      </w:r>
    </w:p>
    <w:p w14:paraId="048276E9">
      <w:pPr>
        <w:adjustRightInd w:val="0"/>
        <w:snapToGrid w:val="0"/>
        <w:spacing w:beforeLines="50"/>
        <w:ind w:firstLine="630" w:firstLineChars="300"/>
        <w:contextualSpacing/>
        <w:rPr>
          <w:rFonts w:eastAsia="仿宋_GB2312"/>
          <w:sz w:val="32"/>
        </w:rPr>
      </w:pPr>
      <w:r>
        <w:rPr>
          <w:rFonts w:hint="eastAsia" w:ascii="仿宋_GB2312" w:eastAsia="仿宋_GB2312"/>
        </w:rPr>
        <w:t>2、一个一级项目一张表。</w:t>
      </w:r>
    </w:p>
    <w:p w14:paraId="6E67B811"/>
    <w:p w14:paraId="1F2FB041">
      <w:pPr>
        <w:pStyle w:val="10"/>
        <w:sectPr>
          <w:pgSz w:w="11906" w:h="16838"/>
          <w:pgMar w:top="1701" w:right="1417" w:bottom="1417" w:left="1417" w:header="851" w:footer="992" w:gutter="0"/>
          <w:cols w:space="0" w:num="1"/>
          <w:docGrid w:type="lines" w:linePitch="312" w:charSpace="0"/>
        </w:sectPr>
      </w:pPr>
    </w:p>
    <w:p w14:paraId="4AC036BF">
      <w:pPr>
        <w:jc w:val="left"/>
        <w:outlineLvl w:val="0"/>
        <w:rPr>
          <w:rFonts w:eastAsia="黑体"/>
          <w:sz w:val="32"/>
          <w:szCs w:val="32"/>
        </w:rPr>
      </w:pPr>
      <w:r>
        <w:rPr>
          <w:rFonts w:hint="eastAsia" w:ascii="黑体" w:hAnsi="黑体" w:eastAsia="黑体" w:cs="黑体"/>
          <w:sz w:val="32"/>
          <w:szCs w:val="32"/>
        </w:rPr>
        <w:t>附件5</w:t>
      </w:r>
    </w:p>
    <w:p w14:paraId="40A311EB">
      <w:pPr>
        <w:widowControl/>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2022年度项目支出绩效自评表</w:t>
      </w:r>
    </w:p>
    <w:tbl>
      <w:tblPr>
        <w:tblStyle w:val="14"/>
        <w:tblW w:w="10030" w:type="dxa"/>
        <w:jc w:val="center"/>
        <w:tblLayout w:type="autofit"/>
        <w:tblCellMar>
          <w:top w:w="0" w:type="dxa"/>
          <w:left w:w="108" w:type="dxa"/>
          <w:bottom w:w="0" w:type="dxa"/>
          <w:right w:w="108" w:type="dxa"/>
        </w:tblCellMar>
      </w:tblPr>
      <w:tblGrid>
        <w:gridCol w:w="1080"/>
        <w:gridCol w:w="1080"/>
        <w:gridCol w:w="1080"/>
        <w:gridCol w:w="1403"/>
        <w:gridCol w:w="1552"/>
        <w:gridCol w:w="1027"/>
        <w:gridCol w:w="647"/>
        <w:gridCol w:w="743"/>
        <w:gridCol w:w="1418"/>
      </w:tblGrid>
      <w:tr w14:paraId="2B186A87">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ign w:val="center"/>
          </w:tcPr>
          <w:p w14:paraId="47198CE7">
            <w:pPr>
              <w:widowControl/>
              <w:spacing w:line="260" w:lineRule="exact"/>
              <w:jc w:val="center"/>
              <w:rPr>
                <w:rFonts w:eastAsia="仿宋_GB2312"/>
                <w:color w:val="000000"/>
                <w:sz w:val="20"/>
                <w:szCs w:val="20"/>
              </w:rPr>
            </w:pPr>
            <w:r>
              <w:rPr>
                <w:rFonts w:eastAsia="仿宋_GB2312"/>
                <w:color w:val="000000"/>
                <w:sz w:val="20"/>
                <w:szCs w:val="20"/>
              </w:rPr>
              <w:t>项目支</w:t>
            </w:r>
          </w:p>
          <w:p w14:paraId="3244F2C9">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950" w:type="dxa"/>
            <w:gridSpan w:val="8"/>
            <w:tcBorders>
              <w:top w:val="single" w:color="auto" w:sz="4" w:space="0"/>
              <w:left w:val="nil"/>
              <w:bottom w:val="single" w:color="auto" w:sz="4" w:space="0"/>
              <w:right w:val="single" w:color="auto" w:sz="4" w:space="0"/>
            </w:tcBorders>
            <w:noWrap/>
            <w:vAlign w:val="center"/>
          </w:tcPr>
          <w:p w14:paraId="4F90D9A5">
            <w:pPr>
              <w:widowControl/>
              <w:spacing w:line="260" w:lineRule="exact"/>
              <w:jc w:val="center"/>
              <w:rPr>
                <w:rFonts w:eastAsia="仿宋_GB2312"/>
                <w:color w:val="000000"/>
                <w:sz w:val="20"/>
                <w:szCs w:val="20"/>
              </w:rPr>
            </w:pPr>
            <w:r>
              <w:rPr>
                <w:rFonts w:hint="eastAsia" w:eastAsia="仿宋_GB2312"/>
                <w:color w:val="000000"/>
                <w:sz w:val="20"/>
                <w:szCs w:val="20"/>
              </w:rPr>
              <w:t>送戏下乡</w:t>
            </w:r>
          </w:p>
        </w:tc>
      </w:tr>
      <w:tr w14:paraId="547CA179">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ign w:val="center"/>
          </w:tcPr>
          <w:p w14:paraId="0AA8F4F4">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5115" w:type="dxa"/>
            <w:gridSpan w:val="4"/>
            <w:tcBorders>
              <w:top w:val="single" w:color="auto" w:sz="4" w:space="0"/>
              <w:left w:val="nil"/>
              <w:bottom w:val="single" w:color="auto" w:sz="4" w:space="0"/>
              <w:right w:val="single" w:color="auto" w:sz="4" w:space="0"/>
            </w:tcBorders>
            <w:noWrap/>
            <w:vAlign w:val="center"/>
          </w:tcPr>
          <w:p w14:paraId="5AF07C19">
            <w:pPr>
              <w:widowControl/>
              <w:spacing w:line="260" w:lineRule="exact"/>
              <w:jc w:val="left"/>
              <w:rPr>
                <w:rFonts w:eastAsia="仿宋_GB2312"/>
                <w:color w:val="000000"/>
                <w:sz w:val="20"/>
                <w:szCs w:val="20"/>
              </w:rPr>
            </w:pPr>
            <w:r>
              <w:rPr>
                <w:rFonts w:hint="eastAsia" w:eastAsia="仿宋_GB2312"/>
                <w:color w:val="000000"/>
                <w:sz w:val="20"/>
                <w:szCs w:val="20"/>
              </w:rPr>
              <w:t>华容县文化旅游广电局</w:t>
            </w:r>
          </w:p>
        </w:tc>
        <w:tc>
          <w:tcPr>
            <w:tcW w:w="1027" w:type="dxa"/>
            <w:tcBorders>
              <w:top w:val="single" w:color="auto" w:sz="4" w:space="0"/>
              <w:left w:val="nil"/>
              <w:bottom w:val="single" w:color="auto" w:sz="4" w:space="0"/>
              <w:right w:val="single" w:color="000000" w:sz="4" w:space="0"/>
            </w:tcBorders>
            <w:noWrap/>
            <w:vAlign w:val="center"/>
          </w:tcPr>
          <w:p w14:paraId="2C334098">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2808" w:type="dxa"/>
            <w:gridSpan w:val="3"/>
            <w:tcBorders>
              <w:top w:val="single" w:color="auto" w:sz="4" w:space="0"/>
              <w:left w:val="nil"/>
              <w:bottom w:val="single" w:color="auto" w:sz="4" w:space="0"/>
              <w:right w:val="single" w:color="auto" w:sz="4" w:space="0"/>
            </w:tcBorders>
            <w:noWrap/>
            <w:vAlign w:val="center"/>
          </w:tcPr>
          <w:p w14:paraId="696598D8">
            <w:pPr>
              <w:widowControl/>
              <w:spacing w:line="260" w:lineRule="exact"/>
              <w:jc w:val="left"/>
              <w:rPr>
                <w:rFonts w:eastAsia="仿宋_GB2312"/>
                <w:color w:val="000000"/>
                <w:sz w:val="20"/>
                <w:szCs w:val="20"/>
              </w:rPr>
            </w:pPr>
            <w:r>
              <w:rPr>
                <w:rFonts w:hint="eastAsia" w:eastAsia="仿宋_GB2312"/>
                <w:color w:val="000000"/>
                <w:sz w:val="20"/>
                <w:szCs w:val="20"/>
              </w:rPr>
              <w:t>华容县文化旅游广电局</w:t>
            </w:r>
          </w:p>
        </w:tc>
      </w:tr>
      <w:tr w14:paraId="483D6688">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14:paraId="62FD22A0">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type="textWrapping"/>
            </w:r>
            <w:r>
              <w:rPr>
                <w:rFonts w:eastAsia="仿宋_GB2312"/>
                <w:color w:val="000000"/>
                <w:sz w:val="20"/>
                <w:szCs w:val="20"/>
              </w:rPr>
              <w:t>（万元）</w:t>
            </w:r>
          </w:p>
        </w:tc>
        <w:tc>
          <w:tcPr>
            <w:tcW w:w="2160" w:type="dxa"/>
            <w:gridSpan w:val="2"/>
            <w:tcBorders>
              <w:top w:val="nil"/>
              <w:left w:val="nil"/>
              <w:bottom w:val="single" w:color="auto" w:sz="4" w:space="0"/>
              <w:right w:val="single" w:color="auto" w:sz="4" w:space="0"/>
            </w:tcBorders>
            <w:noWrap/>
            <w:vAlign w:val="center"/>
          </w:tcPr>
          <w:p w14:paraId="560C8129">
            <w:pPr>
              <w:widowControl/>
              <w:spacing w:line="260" w:lineRule="exact"/>
              <w:jc w:val="left"/>
              <w:rPr>
                <w:rFonts w:eastAsia="仿宋_GB2312"/>
                <w:color w:val="000000"/>
                <w:sz w:val="20"/>
                <w:szCs w:val="20"/>
              </w:rPr>
            </w:pPr>
          </w:p>
        </w:tc>
        <w:tc>
          <w:tcPr>
            <w:tcW w:w="1403" w:type="dxa"/>
            <w:tcBorders>
              <w:top w:val="nil"/>
              <w:left w:val="nil"/>
              <w:bottom w:val="single" w:color="auto" w:sz="4" w:space="0"/>
              <w:right w:val="single" w:color="auto" w:sz="4" w:space="0"/>
            </w:tcBorders>
            <w:noWrap/>
            <w:vAlign w:val="center"/>
          </w:tcPr>
          <w:p w14:paraId="13A17085">
            <w:pPr>
              <w:widowControl/>
              <w:spacing w:line="260" w:lineRule="exact"/>
              <w:jc w:val="center"/>
              <w:rPr>
                <w:rFonts w:eastAsia="仿宋_GB2312"/>
                <w:color w:val="000000"/>
                <w:sz w:val="20"/>
                <w:szCs w:val="20"/>
              </w:rPr>
            </w:pPr>
            <w:r>
              <w:rPr>
                <w:rFonts w:eastAsia="仿宋_GB2312"/>
                <w:color w:val="000000"/>
                <w:sz w:val="20"/>
                <w:szCs w:val="20"/>
              </w:rPr>
              <w:t>年初</w:t>
            </w:r>
          </w:p>
          <w:p w14:paraId="146E7186">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552" w:type="dxa"/>
            <w:tcBorders>
              <w:top w:val="nil"/>
              <w:left w:val="nil"/>
              <w:bottom w:val="single" w:color="auto" w:sz="4" w:space="0"/>
              <w:right w:val="single" w:color="auto" w:sz="4" w:space="0"/>
            </w:tcBorders>
            <w:noWrap/>
            <w:vAlign w:val="center"/>
          </w:tcPr>
          <w:p w14:paraId="4F60E612">
            <w:pPr>
              <w:widowControl/>
              <w:spacing w:line="260" w:lineRule="exact"/>
              <w:jc w:val="center"/>
              <w:rPr>
                <w:rFonts w:eastAsia="仿宋_GB2312"/>
                <w:color w:val="000000"/>
                <w:sz w:val="20"/>
                <w:szCs w:val="20"/>
              </w:rPr>
            </w:pPr>
            <w:r>
              <w:rPr>
                <w:rFonts w:eastAsia="仿宋_GB2312"/>
                <w:color w:val="000000"/>
                <w:sz w:val="20"/>
                <w:szCs w:val="20"/>
              </w:rPr>
              <w:t>全年</w:t>
            </w:r>
          </w:p>
          <w:p w14:paraId="3F9F4E88">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027" w:type="dxa"/>
            <w:tcBorders>
              <w:top w:val="nil"/>
              <w:left w:val="nil"/>
              <w:bottom w:val="single" w:color="auto" w:sz="4" w:space="0"/>
              <w:right w:val="single" w:color="auto" w:sz="4" w:space="0"/>
            </w:tcBorders>
            <w:noWrap/>
            <w:vAlign w:val="center"/>
          </w:tcPr>
          <w:p w14:paraId="4E4A123E">
            <w:pPr>
              <w:spacing w:line="260" w:lineRule="exact"/>
              <w:jc w:val="center"/>
              <w:rPr>
                <w:rFonts w:eastAsia="仿宋_GB2312"/>
                <w:sz w:val="20"/>
                <w:szCs w:val="20"/>
              </w:rPr>
            </w:pPr>
            <w:r>
              <w:rPr>
                <w:rFonts w:eastAsia="仿宋_GB2312"/>
                <w:sz w:val="20"/>
                <w:szCs w:val="20"/>
              </w:rPr>
              <w:t>全年</w:t>
            </w:r>
          </w:p>
          <w:p w14:paraId="0AC6E522">
            <w:pPr>
              <w:spacing w:line="260" w:lineRule="exact"/>
              <w:jc w:val="center"/>
              <w:rPr>
                <w:rFonts w:eastAsia="仿宋_GB2312"/>
                <w:sz w:val="20"/>
                <w:szCs w:val="20"/>
              </w:rPr>
            </w:pPr>
            <w:r>
              <w:rPr>
                <w:rFonts w:eastAsia="仿宋_GB2312"/>
                <w:sz w:val="20"/>
                <w:szCs w:val="20"/>
              </w:rPr>
              <w:t>执行数</w:t>
            </w:r>
          </w:p>
        </w:tc>
        <w:tc>
          <w:tcPr>
            <w:tcW w:w="647" w:type="dxa"/>
            <w:tcBorders>
              <w:top w:val="nil"/>
              <w:left w:val="nil"/>
              <w:bottom w:val="single" w:color="auto" w:sz="4" w:space="0"/>
              <w:right w:val="single" w:color="auto" w:sz="4" w:space="0"/>
            </w:tcBorders>
            <w:noWrap/>
            <w:vAlign w:val="center"/>
          </w:tcPr>
          <w:p w14:paraId="43798043">
            <w:pPr>
              <w:spacing w:line="260" w:lineRule="exact"/>
              <w:jc w:val="center"/>
              <w:rPr>
                <w:rFonts w:eastAsia="仿宋_GB2312"/>
                <w:sz w:val="20"/>
                <w:szCs w:val="20"/>
              </w:rPr>
            </w:pPr>
            <w:r>
              <w:rPr>
                <w:rFonts w:eastAsia="仿宋_GB2312"/>
                <w:sz w:val="20"/>
                <w:szCs w:val="20"/>
              </w:rPr>
              <w:t>分值</w:t>
            </w:r>
          </w:p>
        </w:tc>
        <w:tc>
          <w:tcPr>
            <w:tcW w:w="743" w:type="dxa"/>
            <w:tcBorders>
              <w:top w:val="nil"/>
              <w:left w:val="nil"/>
              <w:bottom w:val="single" w:color="auto" w:sz="4" w:space="0"/>
              <w:right w:val="single" w:color="auto" w:sz="4" w:space="0"/>
            </w:tcBorders>
            <w:noWrap/>
            <w:vAlign w:val="center"/>
          </w:tcPr>
          <w:p w14:paraId="5341990C">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color="auto" w:sz="4" w:space="0"/>
              <w:right w:val="single" w:color="auto" w:sz="4" w:space="0"/>
            </w:tcBorders>
            <w:noWrap/>
            <w:vAlign w:val="center"/>
          </w:tcPr>
          <w:p w14:paraId="4229E49F">
            <w:pPr>
              <w:spacing w:line="260" w:lineRule="exact"/>
              <w:jc w:val="center"/>
              <w:rPr>
                <w:rFonts w:eastAsia="仿宋_GB2312"/>
                <w:sz w:val="20"/>
                <w:szCs w:val="20"/>
              </w:rPr>
            </w:pPr>
            <w:r>
              <w:rPr>
                <w:rFonts w:eastAsia="仿宋_GB2312"/>
                <w:sz w:val="20"/>
                <w:szCs w:val="20"/>
              </w:rPr>
              <w:t>得分</w:t>
            </w:r>
          </w:p>
        </w:tc>
      </w:tr>
      <w:tr w14:paraId="2278FDCC">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14:paraId="39E28B0C">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14:paraId="6A92AD0D">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403" w:type="dxa"/>
            <w:tcBorders>
              <w:top w:val="nil"/>
              <w:left w:val="nil"/>
              <w:bottom w:val="single" w:color="auto" w:sz="4" w:space="0"/>
              <w:right w:val="single" w:color="auto" w:sz="4" w:space="0"/>
            </w:tcBorders>
            <w:noWrap/>
            <w:vAlign w:val="center"/>
          </w:tcPr>
          <w:p w14:paraId="27860465">
            <w:pPr>
              <w:widowControl/>
              <w:spacing w:line="260" w:lineRule="exact"/>
              <w:jc w:val="left"/>
              <w:rPr>
                <w:rFonts w:eastAsia="仿宋_GB2312"/>
                <w:color w:val="000000"/>
                <w:sz w:val="20"/>
                <w:szCs w:val="20"/>
              </w:rPr>
            </w:pPr>
          </w:p>
        </w:tc>
        <w:tc>
          <w:tcPr>
            <w:tcW w:w="1552" w:type="dxa"/>
            <w:tcBorders>
              <w:top w:val="nil"/>
              <w:left w:val="nil"/>
              <w:bottom w:val="single" w:color="auto" w:sz="4" w:space="0"/>
              <w:right w:val="single" w:color="auto" w:sz="4" w:space="0"/>
            </w:tcBorders>
            <w:noWrap/>
            <w:vAlign w:val="center"/>
          </w:tcPr>
          <w:p w14:paraId="4FDD4678">
            <w:pPr>
              <w:widowControl/>
              <w:spacing w:line="260" w:lineRule="exact"/>
              <w:jc w:val="center"/>
              <w:rPr>
                <w:rFonts w:eastAsia="仿宋_GB2312"/>
                <w:color w:val="000000"/>
                <w:sz w:val="20"/>
                <w:szCs w:val="20"/>
              </w:rPr>
            </w:pPr>
            <w:r>
              <w:rPr>
                <w:rFonts w:hint="eastAsia" w:eastAsia="仿宋_GB2312"/>
                <w:color w:val="000000"/>
                <w:sz w:val="20"/>
                <w:szCs w:val="20"/>
              </w:rPr>
              <w:t>40</w:t>
            </w:r>
          </w:p>
        </w:tc>
        <w:tc>
          <w:tcPr>
            <w:tcW w:w="1027" w:type="dxa"/>
            <w:tcBorders>
              <w:top w:val="nil"/>
              <w:left w:val="nil"/>
              <w:bottom w:val="single" w:color="auto" w:sz="4" w:space="0"/>
              <w:right w:val="single" w:color="auto" w:sz="4" w:space="0"/>
            </w:tcBorders>
            <w:noWrap/>
            <w:vAlign w:val="center"/>
          </w:tcPr>
          <w:p w14:paraId="7411F15D">
            <w:pPr>
              <w:widowControl/>
              <w:spacing w:line="260" w:lineRule="exact"/>
              <w:jc w:val="center"/>
              <w:rPr>
                <w:rFonts w:eastAsia="仿宋_GB2312"/>
                <w:color w:val="000000"/>
                <w:sz w:val="20"/>
                <w:szCs w:val="20"/>
              </w:rPr>
            </w:pPr>
            <w:r>
              <w:rPr>
                <w:rFonts w:hint="eastAsia" w:eastAsia="仿宋_GB2312"/>
                <w:color w:val="000000"/>
                <w:sz w:val="20"/>
                <w:szCs w:val="20"/>
              </w:rPr>
              <w:t>40</w:t>
            </w:r>
          </w:p>
        </w:tc>
        <w:tc>
          <w:tcPr>
            <w:tcW w:w="647" w:type="dxa"/>
            <w:tcBorders>
              <w:top w:val="nil"/>
              <w:left w:val="nil"/>
              <w:bottom w:val="single" w:color="auto" w:sz="4" w:space="0"/>
              <w:right w:val="single" w:color="auto" w:sz="4" w:space="0"/>
            </w:tcBorders>
            <w:noWrap/>
            <w:vAlign w:val="center"/>
          </w:tcPr>
          <w:p w14:paraId="3F1A0C56">
            <w:pPr>
              <w:widowControl/>
              <w:spacing w:line="260" w:lineRule="exact"/>
              <w:jc w:val="center"/>
              <w:rPr>
                <w:rFonts w:eastAsia="仿宋_GB2312"/>
                <w:color w:val="000000"/>
                <w:sz w:val="20"/>
                <w:szCs w:val="20"/>
              </w:rPr>
            </w:pPr>
            <w:r>
              <w:rPr>
                <w:rFonts w:eastAsia="仿宋_GB2312"/>
                <w:color w:val="000000"/>
                <w:sz w:val="20"/>
                <w:szCs w:val="20"/>
              </w:rPr>
              <w:t>10</w:t>
            </w:r>
          </w:p>
        </w:tc>
        <w:tc>
          <w:tcPr>
            <w:tcW w:w="743" w:type="dxa"/>
            <w:tcBorders>
              <w:top w:val="nil"/>
              <w:left w:val="nil"/>
              <w:bottom w:val="single" w:color="auto" w:sz="4" w:space="0"/>
              <w:right w:val="single" w:color="auto" w:sz="4" w:space="0"/>
            </w:tcBorders>
            <w:noWrap/>
            <w:vAlign w:val="center"/>
          </w:tcPr>
          <w:p w14:paraId="614F54F3">
            <w:pPr>
              <w:widowControl/>
              <w:spacing w:line="260" w:lineRule="exact"/>
              <w:jc w:val="center"/>
              <w:rPr>
                <w:rFonts w:eastAsia="仿宋_GB2312"/>
                <w:color w:val="000000"/>
                <w:sz w:val="20"/>
                <w:szCs w:val="20"/>
              </w:rPr>
            </w:pPr>
            <w:r>
              <w:rPr>
                <w:rFonts w:hint="eastAsia" w:eastAsia="仿宋_GB2312"/>
                <w:color w:val="000000"/>
                <w:sz w:val="20"/>
                <w:szCs w:val="20"/>
              </w:rPr>
              <w:t>100%</w:t>
            </w:r>
          </w:p>
        </w:tc>
        <w:tc>
          <w:tcPr>
            <w:tcW w:w="1418" w:type="dxa"/>
            <w:tcBorders>
              <w:top w:val="nil"/>
              <w:left w:val="nil"/>
              <w:bottom w:val="single" w:color="auto" w:sz="4" w:space="0"/>
              <w:right w:val="single" w:color="auto" w:sz="4" w:space="0"/>
            </w:tcBorders>
            <w:noWrap/>
            <w:vAlign w:val="center"/>
          </w:tcPr>
          <w:p w14:paraId="5416E7B1">
            <w:pPr>
              <w:widowControl/>
              <w:spacing w:line="260" w:lineRule="exact"/>
              <w:jc w:val="center"/>
              <w:rPr>
                <w:rFonts w:eastAsia="仿宋_GB2312"/>
                <w:color w:val="000000"/>
                <w:sz w:val="20"/>
                <w:szCs w:val="20"/>
              </w:rPr>
            </w:pPr>
            <w:r>
              <w:rPr>
                <w:rFonts w:hint="eastAsia" w:eastAsia="仿宋_GB2312"/>
                <w:color w:val="000000"/>
                <w:sz w:val="20"/>
                <w:szCs w:val="20"/>
              </w:rPr>
              <w:t>10</w:t>
            </w:r>
          </w:p>
        </w:tc>
      </w:tr>
      <w:tr w14:paraId="2EEEEED3">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14:paraId="2DDB6EA9">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14:paraId="2CB7A2A0">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403" w:type="dxa"/>
            <w:tcBorders>
              <w:top w:val="nil"/>
              <w:left w:val="nil"/>
              <w:bottom w:val="single" w:color="auto" w:sz="4" w:space="0"/>
              <w:right w:val="single" w:color="auto" w:sz="4" w:space="0"/>
            </w:tcBorders>
            <w:noWrap/>
            <w:vAlign w:val="center"/>
          </w:tcPr>
          <w:p w14:paraId="02D3E668">
            <w:pPr>
              <w:widowControl/>
              <w:spacing w:line="260" w:lineRule="exact"/>
              <w:jc w:val="left"/>
              <w:rPr>
                <w:rFonts w:eastAsia="仿宋_GB2312"/>
                <w:color w:val="000000"/>
                <w:sz w:val="20"/>
                <w:szCs w:val="20"/>
              </w:rPr>
            </w:pPr>
          </w:p>
        </w:tc>
        <w:tc>
          <w:tcPr>
            <w:tcW w:w="1552" w:type="dxa"/>
            <w:tcBorders>
              <w:top w:val="nil"/>
              <w:left w:val="nil"/>
              <w:bottom w:val="single" w:color="auto" w:sz="4" w:space="0"/>
              <w:right w:val="single" w:color="auto" w:sz="4" w:space="0"/>
            </w:tcBorders>
            <w:noWrap/>
            <w:vAlign w:val="center"/>
          </w:tcPr>
          <w:p w14:paraId="0A8F62F8">
            <w:pPr>
              <w:widowControl/>
              <w:spacing w:line="260" w:lineRule="exact"/>
              <w:jc w:val="center"/>
              <w:rPr>
                <w:rFonts w:eastAsia="仿宋_GB2312"/>
                <w:color w:val="000000"/>
                <w:sz w:val="20"/>
                <w:szCs w:val="20"/>
              </w:rPr>
            </w:pPr>
            <w:r>
              <w:rPr>
                <w:rFonts w:hint="eastAsia" w:eastAsia="仿宋_GB2312"/>
                <w:color w:val="000000"/>
                <w:sz w:val="20"/>
                <w:szCs w:val="20"/>
              </w:rPr>
              <w:t>40</w:t>
            </w:r>
          </w:p>
        </w:tc>
        <w:tc>
          <w:tcPr>
            <w:tcW w:w="1027" w:type="dxa"/>
            <w:tcBorders>
              <w:top w:val="nil"/>
              <w:left w:val="nil"/>
              <w:bottom w:val="single" w:color="auto" w:sz="4" w:space="0"/>
              <w:right w:val="single" w:color="auto" w:sz="4" w:space="0"/>
            </w:tcBorders>
            <w:noWrap/>
            <w:vAlign w:val="center"/>
          </w:tcPr>
          <w:p w14:paraId="52ED2DA3">
            <w:pPr>
              <w:widowControl/>
              <w:spacing w:line="260" w:lineRule="exact"/>
              <w:jc w:val="center"/>
              <w:rPr>
                <w:rFonts w:eastAsia="仿宋_GB2312"/>
                <w:color w:val="000000"/>
                <w:sz w:val="20"/>
                <w:szCs w:val="20"/>
              </w:rPr>
            </w:pPr>
            <w:r>
              <w:rPr>
                <w:rFonts w:hint="eastAsia" w:eastAsia="仿宋_GB2312"/>
                <w:color w:val="000000"/>
                <w:sz w:val="20"/>
                <w:szCs w:val="20"/>
              </w:rPr>
              <w:t>40</w:t>
            </w:r>
          </w:p>
        </w:tc>
        <w:tc>
          <w:tcPr>
            <w:tcW w:w="647" w:type="dxa"/>
            <w:tcBorders>
              <w:top w:val="nil"/>
              <w:left w:val="nil"/>
              <w:bottom w:val="single" w:color="auto" w:sz="4" w:space="0"/>
              <w:right w:val="single" w:color="auto" w:sz="4" w:space="0"/>
            </w:tcBorders>
            <w:noWrap/>
            <w:vAlign w:val="center"/>
          </w:tcPr>
          <w:p w14:paraId="63027BAF">
            <w:pPr>
              <w:widowControl/>
              <w:spacing w:line="260" w:lineRule="exact"/>
              <w:jc w:val="center"/>
              <w:rPr>
                <w:rFonts w:eastAsia="仿宋_GB2312"/>
                <w:color w:val="000000"/>
                <w:sz w:val="20"/>
                <w:szCs w:val="20"/>
              </w:rPr>
            </w:pPr>
          </w:p>
        </w:tc>
        <w:tc>
          <w:tcPr>
            <w:tcW w:w="743" w:type="dxa"/>
            <w:tcBorders>
              <w:top w:val="nil"/>
              <w:left w:val="nil"/>
              <w:bottom w:val="single" w:color="auto" w:sz="4" w:space="0"/>
              <w:right w:val="single" w:color="auto" w:sz="4" w:space="0"/>
            </w:tcBorders>
            <w:noWrap/>
            <w:vAlign w:val="center"/>
          </w:tcPr>
          <w:p w14:paraId="36A91912">
            <w:pPr>
              <w:widowControl/>
              <w:spacing w:line="260" w:lineRule="exact"/>
              <w:jc w:val="center"/>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14:paraId="0D7CBCDF">
            <w:pPr>
              <w:widowControl/>
              <w:spacing w:line="260" w:lineRule="exact"/>
              <w:jc w:val="center"/>
              <w:rPr>
                <w:rFonts w:eastAsia="仿宋_GB2312"/>
                <w:color w:val="000000"/>
                <w:sz w:val="20"/>
                <w:szCs w:val="20"/>
              </w:rPr>
            </w:pPr>
          </w:p>
        </w:tc>
      </w:tr>
      <w:tr w14:paraId="3BE0D766">
        <w:tblPrEx>
          <w:tblCellMar>
            <w:top w:w="0" w:type="dxa"/>
            <w:left w:w="108" w:type="dxa"/>
            <w:bottom w:w="0" w:type="dxa"/>
            <w:right w:w="108" w:type="dxa"/>
          </w:tblCellMar>
        </w:tblPrEx>
        <w:trPr>
          <w:trHeight w:val="271" w:hRule="atLeast"/>
          <w:jc w:val="center"/>
        </w:trPr>
        <w:tc>
          <w:tcPr>
            <w:tcW w:w="1080" w:type="dxa"/>
            <w:vMerge w:val="continue"/>
            <w:tcBorders>
              <w:top w:val="nil"/>
              <w:left w:val="single" w:color="auto" w:sz="4" w:space="0"/>
              <w:bottom w:val="single" w:color="000000" w:sz="4" w:space="0"/>
              <w:right w:val="single" w:color="auto" w:sz="4" w:space="0"/>
            </w:tcBorders>
            <w:noWrap/>
            <w:vAlign w:val="center"/>
          </w:tcPr>
          <w:p w14:paraId="0C53B4DA">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14:paraId="5CC83F2F">
            <w:pPr>
              <w:widowControl/>
              <w:spacing w:line="260" w:lineRule="exact"/>
              <w:ind w:firstLine="600" w:firstLineChars="300"/>
              <w:jc w:val="left"/>
              <w:rPr>
                <w:rFonts w:eastAsia="仿宋_GB2312"/>
                <w:color w:val="000000"/>
                <w:sz w:val="20"/>
                <w:szCs w:val="20"/>
              </w:rPr>
            </w:pPr>
            <w:r>
              <w:rPr>
                <w:rFonts w:eastAsia="仿宋_GB2312"/>
                <w:color w:val="000000"/>
                <w:sz w:val="20"/>
                <w:szCs w:val="20"/>
              </w:rPr>
              <w:t>上年结转资金</w:t>
            </w:r>
          </w:p>
        </w:tc>
        <w:tc>
          <w:tcPr>
            <w:tcW w:w="1403" w:type="dxa"/>
            <w:tcBorders>
              <w:top w:val="nil"/>
              <w:left w:val="nil"/>
              <w:bottom w:val="single" w:color="auto" w:sz="4" w:space="0"/>
              <w:right w:val="single" w:color="auto" w:sz="4" w:space="0"/>
            </w:tcBorders>
            <w:noWrap/>
            <w:vAlign w:val="center"/>
          </w:tcPr>
          <w:p w14:paraId="12B5B77D">
            <w:pPr>
              <w:widowControl/>
              <w:spacing w:line="260" w:lineRule="exact"/>
              <w:jc w:val="left"/>
              <w:rPr>
                <w:rFonts w:eastAsia="仿宋_GB2312"/>
                <w:color w:val="000000"/>
                <w:sz w:val="20"/>
                <w:szCs w:val="20"/>
              </w:rPr>
            </w:pPr>
          </w:p>
        </w:tc>
        <w:tc>
          <w:tcPr>
            <w:tcW w:w="1552" w:type="dxa"/>
            <w:tcBorders>
              <w:top w:val="nil"/>
              <w:left w:val="nil"/>
              <w:bottom w:val="single" w:color="auto" w:sz="4" w:space="0"/>
              <w:right w:val="single" w:color="auto" w:sz="4" w:space="0"/>
            </w:tcBorders>
            <w:noWrap/>
            <w:vAlign w:val="center"/>
          </w:tcPr>
          <w:p w14:paraId="0B515367">
            <w:pPr>
              <w:widowControl/>
              <w:spacing w:line="260" w:lineRule="exact"/>
              <w:jc w:val="left"/>
              <w:rPr>
                <w:rFonts w:eastAsia="仿宋_GB2312"/>
                <w:color w:val="000000"/>
                <w:sz w:val="20"/>
                <w:szCs w:val="20"/>
              </w:rPr>
            </w:pPr>
          </w:p>
        </w:tc>
        <w:tc>
          <w:tcPr>
            <w:tcW w:w="1027" w:type="dxa"/>
            <w:tcBorders>
              <w:top w:val="nil"/>
              <w:left w:val="nil"/>
              <w:bottom w:val="single" w:color="auto" w:sz="4" w:space="0"/>
              <w:right w:val="single" w:color="auto" w:sz="4" w:space="0"/>
            </w:tcBorders>
            <w:noWrap/>
            <w:vAlign w:val="center"/>
          </w:tcPr>
          <w:p w14:paraId="5372C79F">
            <w:pPr>
              <w:widowControl/>
              <w:spacing w:line="260" w:lineRule="exact"/>
              <w:jc w:val="left"/>
              <w:rPr>
                <w:rFonts w:eastAsia="仿宋_GB2312"/>
                <w:color w:val="000000"/>
                <w:sz w:val="20"/>
                <w:szCs w:val="20"/>
              </w:rPr>
            </w:pPr>
          </w:p>
        </w:tc>
        <w:tc>
          <w:tcPr>
            <w:tcW w:w="647" w:type="dxa"/>
            <w:tcBorders>
              <w:top w:val="nil"/>
              <w:left w:val="nil"/>
              <w:bottom w:val="single" w:color="auto" w:sz="4" w:space="0"/>
              <w:right w:val="single" w:color="auto" w:sz="4" w:space="0"/>
            </w:tcBorders>
            <w:noWrap/>
            <w:vAlign w:val="center"/>
          </w:tcPr>
          <w:p w14:paraId="4D9838BC">
            <w:pPr>
              <w:widowControl/>
              <w:spacing w:line="260" w:lineRule="exact"/>
              <w:jc w:val="left"/>
              <w:rPr>
                <w:rFonts w:eastAsia="仿宋_GB2312"/>
                <w:color w:val="000000"/>
                <w:sz w:val="20"/>
                <w:szCs w:val="20"/>
              </w:rPr>
            </w:pPr>
          </w:p>
        </w:tc>
        <w:tc>
          <w:tcPr>
            <w:tcW w:w="743" w:type="dxa"/>
            <w:tcBorders>
              <w:top w:val="nil"/>
              <w:left w:val="nil"/>
              <w:bottom w:val="single" w:color="auto" w:sz="4" w:space="0"/>
              <w:right w:val="single" w:color="auto" w:sz="4" w:space="0"/>
            </w:tcBorders>
            <w:noWrap/>
            <w:vAlign w:val="center"/>
          </w:tcPr>
          <w:p w14:paraId="053AC65D">
            <w:pPr>
              <w:widowControl/>
              <w:spacing w:line="260" w:lineRule="exact"/>
              <w:jc w:val="left"/>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14:paraId="1B2A7996">
            <w:pPr>
              <w:widowControl/>
              <w:spacing w:line="260" w:lineRule="exact"/>
              <w:jc w:val="left"/>
              <w:rPr>
                <w:rFonts w:eastAsia="仿宋_GB2312"/>
                <w:color w:val="000000"/>
                <w:sz w:val="20"/>
                <w:szCs w:val="20"/>
              </w:rPr>
            </w:pPr>
          </w:p>
        </w:tc>
      </w:tr>
      <w:tr w14:paraId="6C7BA678">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14:paraId="73039405">
            <w:pPr>
              <w:widowControl/>
              <w:spacing w:line="260" w:lineRule="exact"/>
              <w:jc w:val="left"/>
              <w:rPr>
                <w:rFonts w:eastAsia="仿宋_GB2312"/>
                <w:color w:val="000000"/>
                <w:sz w:val="20"/>
                <w:szCs w:val="20"/>
              </w:rPr>
            </w:pPr>
          </w:p>
        </w:tc>
        <w:tc>
          <w:tcPr>
            <w:tcW w:w="2160" w:type="dxa"/>
            <w:gridSpan w:val="2"/>
            <w:tcBorders>
              <w:top w:val="nil"/>
              <w:left w:val="nil"/>
              <w:bottom w:val="single" w:color="auto" w:sz="4" w:space="0"/>
              <w:right w:val="single" w:color="auto" w:sz="4" w:space="0"/>
            </w:tcBorders>
            <w:noWrap/>
            <w:vAlign w:val="center"/>
          </w:tcPr>
          <w:p w14:paraId="27D575FC">
            <w:pPr>
              <w:widowControl/>
              <w:spacing w:line="260" w:lineRule="exact"/>
              <w:ind w:firstLine="600" w:firstLineChars="300"/>
              <w:jc w:val="left"/>
              <w:rPr>
                <w:rFonts w:eastAsia="仿宋_GB2312"/>
                <w:color w:val="000000"/>
                <w:sz w:val="20"/>
                <w:szCs w:val="20"/>
              </w:rPr>
            </w:pPr>
            <w:r>
              <w:rPr>
                <w:rFonts w:eastAsia="仿宋_GB2312"/>
                <w:color w:val="000000"/>
                <w:sz w:val="20"/>
                <w:szCs w:val="20"/>
              </w:rPr>
              <w:t>其他资金</w:t>
            </w:r>
          </w:p>
        </w:tc>
        <w:tc>
          <w:tcPr>
            <w:tcW w:w="1403" w:type="dxa"/>
            <w:tcBorders>
              <w:top w:val="nil"/>
              <w:left w:val="nil"/>
              <w:bottom w:val="single" w:color="auto" w:sz="4" w:space="0"/>
              <w:right w:val="single" w:color="auto" w:sz="4" w:space="0"/>
            </w:tcBorders>
            <w:noWrap/>
            <w:vAlign w:val="center"/>
          </w:tcPr>
          <w:p w14:paraId="4F3AE2FA">
            <w:pPr>
              <w:widowControl/>
              <w:spacing w:line="260" w:lineRule="exact"/>
              <w:jc w:val="left"/>
              <w:rPr>
                <w:rFonts w:eastAsia="仿宋_GB2312"/>
                <w:color w:val="000000"/>
                <w:sz w:val="20"/>
                <w:szCs w:val="20"/>
              </w:rPr>
            </w:pPr>
          </w:p>
        </w:tc>
        <w:tc>
          <w:tcPr>
            <w:tcW w:w="1552" w:type="dxa"/>
            <w:tcBorders>
              <w:top w:val="nil"/>
              <w:left w:val="nil"/>
              <w:bottom w:val="single" w:color="auto" w:sz="4" w:space="0"/>
              <w:right w:val="single" w:color="auto" w:sz="4" w:space="0"/>
            </w:tcBorders>
            <w:noWrap/>
            <w:vAlign w:val="center"/>
          </w:tcPr>
          <w:p w14:paraId="07AD130D">
            <w:pPr>
              <w:widowControl/>
              <w:spacing w:line="260" w:lineRule="exact"/>
              <w:jc w:val="left"/>
              <w:rPr>
                <w:rFonts w:eastAsia="仿宋_GB2312"/>
                <w:color w:val="000000"/>
                <w:sz w:val="20"/>
                <w:szCs w:val="20"/>
              </w:rPr>
            </w:pPr>
          </w:p>
        </w:tc>
        <w:tc>
          <w:tcPr>
            <w:tcW w:w="1027" w:type="dxa"/>
            <w:tcBorders>
              <w:top w:val="nil"/>
              <w:left w:val="nil"/>
              <w:bottom w:val="single" w:color="auto" w:sz="4" w:space="0"/>
              <w:right w:val="single" w:color="auto" w:sz="4" w:space="0"/>
            </w:tcBorders>
            <w:noWrap/>
            <w:vAlign w:val="center"/>
          </w:tcPr>
          <w:p w14:paraId="3660FCE5">
            <w:pPr>
              <w:widowControl/>
              <w:spacing w:line="260" w:lineRule="exact"/>
              <w:jc w:val="left"/>
              <w:rPr>
                <w:rFonts w:eastAsia="仿宋_GB2312"/>
                <w:color w:val="000000"/>
                <w:sz w:val="20"/>
                <w:szCs w:val="20"/>
              </w:rPr>
            </w:pPr>
          </w:p>
        </w:tc>
        <w:tc>
          <w:tcPr>
            <w:tcW w:w="647" w:type="dxa"/>
            <w:tcBorders>
              <w:top w:val="nil"/>
              <w:left w:val="nil"/>
              <w:bottom w:val="single" w:color="auto" w:sz="4" w:space="0"/>
              <w:right w:val="single" w:color="auto" w:sz="4" w:space="0"/>
            </w:tcBorders>
            <w:noWrap/>
            <w:vAlign w:val="center"/>
          </w:tcPr>
          <w:p w14:paraId="1EE1D8EE">
            <w:pPr>
              <w:widowControl/>
              <w:spacing w:line="260" w:lineRule="exact"/>
              <w:jc w:val="left"/>
              <w:rPr>
                <w:rFonts w:eastAsia="仿宋_GB2312"/>
                <w:color w:val="000000"/>
                <w:sz w:val="20"/>
                <w:szCs w:val="20"/>
              </w:rPr>
            </w:pPr>
          </w:p>
        </w:tc>
        <w:tc>
          <w:tcPr>
            <w:tcW w:w="743" w:type="dxa"/>
            <w:tcBorders>
              <w:top w:val="nil"/>
              <w:left w:val="nil"/>
              <w:bottom w:val="single" w:color="auto" w:sz="4" w:space="0"/>
              <w:right w:val="single" w:color="auto" w:sz="4" w:space="0"/>
            </w:tcBorders>
            <w:noWrap/>
            <w:vAlign w:val="center"/>
          </w:tcPr>
          <w:p w14:paraId="2485E14B">
            <w:pPr>
              <w:widowControl/>
              <w:spacing w:line="260" w:lineRule="exact"/>
              <w:jc w:val="left"/>
              <w:rPr>
                <w:rFonts w:eastAsia="仿宋_GB2312"/>
                <w:color w:val="000000"/>
                <w:sz w:val="20"/>
                <w:szCs w:val="20"/>
              </w:rPr>
            </w:pPr>
          </w:p>
        </w:tc>
        <w:tc>
          <w:tcPr>
            <w:tcW w:w="1418" w:type="dxa"/>
            <w:tcBorders>
              <w:top w:val="nil"/>
              <w:left w:val="nil"/>
              <w:bottom w:val="single" w:color="auto" w:sz="4" w:space="0"/>
              <w:right w:val="single" w:color="auto" w:sz="4" w:space="0"/>
            </w:tcBorders>
            <w:noWrap/>
            <w:vAlign w:val="center"/>
          </w:tcPr>
          <w:p w14:paraId="01E5F7BC">
            <w:pPr>
              <w:widowControl/>
              <w:spacing w:line="260" w:lineRule="exact"/>
              <w:jc w:val="left"/>
              <w:rPr>
                <w:rFonts w:eastAsia="仿宋_GB2312"/>
                <w:color w:val="000000"/>
                <w:sz w:val="20"/>
                <w:szCs w:val="20"/>
              </w:rPr>
            </w:pPr>
          </w:p>
        </w:tc>
      </w:tr>
      <w:tr w14:paraId="7618F512">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14:paraId="61CF4A5F">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5115" w:type="dxa"/>
            <w:gridSpan w:val="4"/>
            <w:tcBorders>
              <w:top w:val="single" w:color="auto" w:sz="4" w:space="0"/>
              <w:left w:val="nil"/>
              <w:bottom w:val="single" w:color="auto" w:sz="4" w:space="0"/>
              <w:right w:val="single" w:color="000000" w:sz="4" w:space="0"/>
            </w:tcBorders>
            <w:noWrap/>
            <w:vAlign w:val="center"/>
          </w:tcPr>
          <w:p w14:paraId="5DC945D9">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3835" w:type="dxa"/>
            <w:gridSpan w:val="4"/>
            <w:tcBorders>
              <w:top w:val="single" w:color="auto" w:sz="4" w:space="0"/>
              <w:left w:val="nil"/>
              <w:bottom w:val="single" w:color="auto" w:sz="4" w:space="0"/>
              <w:right w:val="single" w:color="auto" w:sz="4" w:space="0"/>
            </w:tcBorders>
            <w:noWrap/>
            <w:vAlign w:val="center"/>
          </w:tcPr>
          <w:p w14:paraId="7B98A49E">
            <w:pPr>
              <w:widowControl/>
              <w:spacing w:line="260" w:lineRule="exact"/>
              <w:jc w:val="center"/>
              <w:rPr>
                <w:rFonts w:eastAsia="仿宋_GB2312"/>
                <w:color w:val="000000"/>
                <w:sz w:val="20"/>
                <w:szCs w:val="20"/>
              </w:rPr>
            </w:pPr>
            <w:r>
              <w:rPr>
                <w:rFonts w:eastAsia="仿宋_GB2312"/>
                <w:color w:val="000000"/>
                <w:sz w:val="20"/>
                <w:szCs w:val="20"/>
              </w:rPr>
              <w:t>实际完成情况　</w:t>
            </w:r>
          </w:p>
        </w:tc>
      </w:tr>
      <w:tr w14:paraId="1FE73D97">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14:paraId="6E59C533">
            <w:pPr>
              <w:widowControl/>
              <w:spacing w:line="260" w:lineRule="exact"/>
              <w:jc w:val="left"/>
              <w:rPr>
                <w:rFonts w:eastAsia="仿宋_GB2312"/>
                <w:color w:val="000000"/>
                <w:sz w:val="20"/>
                <w:szCs w:val="20"/>
              </w:rPr>
            </w:pPr>
          </w:p>
        </w:tc>
        <w:tc>
          <w:tcPr>
            <w:tcW w:w="5115" w:type="dxa"/>
            <w:gridSpan w:val="4"/>
            <w:tcBorders>
              <w:top w:val="single" w:color="auto" w:sz="4" w:space="0"/>
              <w:left w:val="nil"/>
              <w:bottom w:val="single" w:color="auto" w:sz="4" w:space="0"/>
              <w:right w:val="single" w:color="000000" w:sz="4" w:space="0"/>
            </w:tcBorders>
            <w:noWrap/>
            <w:vAlign w:val="center"/>
          </w:tcPr>
          <w:p w14:paraId="62EBBBF8">
            <w:pPr>
              <w:spacing w:line="260" w:lineRule="exact"/>
              <w:jc w:val="left"/>
              <w:rPr>
                <w:rFonts w:eastAsia="仿宋_GB2312"/>
                <w:color w:val="000000"/>
                <w:sz w:val="20"/>
                <w:szCs w:val="20"/>
              </w:rPr>
            </w:pPr>
            <w:r>
              <w:rPr>
                <w:rFonts w:hint="eastAsia" w:ascii="宋体" w:hAnsi="宋体" w:cs="宋体"/>
                <w:color w:val="000000"/>
                <w:kern w:val="0"/>
                <w:szCs w:val="21"/>
              </w:rPr>
              <w:t>为了充分发挥政府资金</w:t>
            </w:r>
            <w:r>
              <w:rPr>
                <w:rFonts w:hint="eastAsia" w:ascii="___WRD_EMBED_SUB_38" w:hAnsi="___WRD_EMBED_SUB_38" w:eastAsia="___WRD_EMBED_SUB_38" w:cs="___WRD_EMBED_SUB_38"/>
                <w:color w:val="000000"/>
                <w:kern w:val="0"/>
                <w:szCs w:val="21"/>
              </w:rPr>
              <w:t>的</w:t>
            </w:r>
            <w:r>
              <w:rPr>
                <w:rFonts w:hint="eastAsia" w:ascii="宋体" w:hAnsi="宋体" w:cs="宋体"/>
                <w:color w:val="000000"/>
                <w:kern w:val="0"/>
                <w:szCs w:val="21"/>
              </w:rPr>
              <w:t>作用，提高资金使用效益，我局充分利用送戏下乡资金，深</w:t>
            </w:r>
            <w:r>
              <w:rPr>
                <w:rFonts w:hint="eastAsia" w:ascii="___WRD_EMBED_SUB_38" w:hAnsi="___WRD_EMBED_SUB_38" w:eastAsia="___WRD_EMBED_SUB_38" w:cs="___WRD_EMBED_SUB_38"/>
                <w:color w:val="000000"/>
                <w:kern w:val="0"/>
                <w:szCs w:val="21"/>
              </w:rPr>
              <w:t>入</w:t>
            </w:r>
            <w:r>
              <w:rPr>
                <w:rFonts w:hint="eastAsia" w:ascii="宋体" w:hAnsi="宋体" w:cs="宋体"/>
                <w:color w:val="000000"/>
                <w:kern w:val="0"/>
                <w:szCs w:val="21"/>
              </w:rPr>
              <w:t>基层，问需于民，计划送戏下乡</w:t>
            </w:r>
            <w:r>
              <w:rPr>
                <w:rFonts w:hint="eastAsia" w:eastAsia="仿宋_GB2312"/>
                <w:color w:val="000000"/>
                <w:kern w:val="0"/>
                <w:szCs w:val="21"/>
              </w:rPr>
              <w:t>80</w:t>
            </w:r>
            <w:r>
              <w:rPr>
                <w:rFonts w:hint="eastAsia" w:ascii="宋体" w:hAnsi="宋体" w:cs="宋体"/>
                <w:color w:val="000000"/>
                <w:kern w:val="0"/>
                <w:szCs w:val="21"/>
              </w:rPr>
              <w:t>场</w:t>
            </w:r>
            <w:r>
              <w:rPr>
                <w:rFonts w:hint="eastAsia" w:eastAsia="仿宋_GB2312"/>
                <w:color w:val="000000"/>
                <w:kern w:val="0"/>
                <w:szCs w:val="21"/>
              </w:rPr>
              <w:t>。</w:t>
            </w:r>
          </w:p>
        </w:tc>
        <w:tc>
          <w:tcPr>
            <w:tcW w:w="3835" w:type="dxa"/>
            <w:gridSpan w:val="4"/>
            <w:tcBorders>
              <w:top w:val="single" w:color="auto" w:sz="4" w:space="0"/>
              <w:left w:val="nil"/>
              <w:bottom w:val="single" w:color="auto" w:sz="4" w:space="0"/>
              <w:right w:val="single" w:color="auto" w:sz="4" w:space="0"/>
            </w:tcBorders>
            <w:noWrap/>
            <w:vAlign w:val="center"/>
          </w:tcPr>
          <w:p w14:paraId="31B704AC">
            <w:pPr>
              <w:widowControl/>
              <w:spacing w:line="260" w:lineRule="exact"/>
              <w:rPr>
                <w:rFonts w:eastAsia="仿宋_GB2312"/>
                <w:color w:val="000000"/>
                <w:spacing w:val="-10"/>
                <w:w w:val="90"/>
                <w:sz w:val="20"/>
                <w:szCs w:val="20"/>
              </w:rPr>
            </w:pPr>
            <w:r>
              <w:rPr>
                <w:rFonts w:hint="eastAsia" w:eastAsia="仿宋_GB2312"/>
                <w:color w:val="000000"/>
                <w:spacing w:val="-10"/>
                <w:w w:val="90"/>
                <w:kern w:val="0"/>
                <w:szCs w:val="21"/>
              </w:rPr>
              <w:t>为规范专项资金的管理，所取得的专项资金，设立单独账页，单项目独立核算，资金全部投入我县2022年度送戏下乡资金，利用率为100%</w:t>
            </w:r>
            <w:r>
              <w:rPr>
                <w:rFonts w:eastAsia="仿宋_GB2312"/>
                <w:color w:val="000000"/>
                <w:spacing w:val="-10"/>
                <w:w w:val="90"/>
                <w:kern w:val="0"/>
                <w:szCs w:val="21"/>
              </w:rPr>
              <w:t>　</w:t>
            </w:r>
          </w:p>
        </w:tc>
      </w:tr>
      <w:tr w14:paraId="2A74D78E">
        <w:tblPrEx>
          <w:tblCellMar>
            <w:top w:w="0" w:type="dxa"/>
            <w:left w:w="108" w:type="dxa"/>
            <w:bottom w:w="0" w:type="dxa"/>
            <w:right w:w="108" w:type="dxa"/>
          </w:tblCellMar>
        </w:tblPrEx>
        <w:trPr>
          <w:jc w:val="center"/>
        </w:trPr>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3409AA7E">
            <w:pPr>
              <w:widowControl/>
              <w:spacing w:line="260" w:lineRule="exact"/>
              <w:jc w:val="center"/>
              <w:rPr>
                <w:rFonts w:eastAsia="仿宋_GB2312"/>
                <w:color w:val="000000"/>
                <w:sz w:val="20"/>
                <w:szCs w:val="20"/>
              </w:rPr>
            </w:pPr>
            <w:r>
              <w:rPr>
                <w:rFonts w:eastAsia="仿宋_GB2312"/>
                <w:color w:val="000000"/>
                <w:sz w:val="20"/>
                <w:szCs w:val="20"/>
              </w:rPr>
              <w:t>绩</w:t>
            </w:r>
          </w:p>
          <w:p w14:paraId="595858F3">
            <w:pPr>
              <w:widowControl/>
              <w:spacing w:line="260" w:lineRule="exact"/>
              <w:jc w:val="center"/>
              <w:rPr>
                <w:rFonts w:eastAsia="仿宋_GB2312"/>
                <w:color w:val="000000"/>
                <w:sz w:val="20"/>
                <w:szCs w:val="20"/>
              </w:rPr>
            </w:pPr>
            <w:r>
              <w:rPr>
                <w:rFonts w:eastAsia="仿宋_GB2312"/>
                <w:color w:val="000000"/>
                <w:sz w:val="20"/>
                <w:szCs w:val="20"/>
              </w:rPr>
              <w:t>效</w:t>
            </w:r>
          </w:p>
          <w:p w14:paraId="65287388">
            <w:pPr>
              <w:widowControl/>
              <w:spacing w:line="260" w:lineRule="exact"/>
              <w:jc w:val="center"/>
              <w:rPr>
                <w:rFonts w:eastAsia="仿宋_GB2312"/>
                <w:color w:val="000000"/>
                <w:sz w:val="20"/>
                <w:szCs w:val="20"/>
              </w:rPr>
            </w:pPr>
            <w:r>
              <w:rPr>
                <w:rFonts w:eastAsia="仿宋_GB2312"/>
                <w:color w:val="000000"/>
                <w:sz w:val="20"/>
                <w:szCs w:val="20"/>
              </w:rPr>
              <w:t>指</w:t>
            </w:r>
          </w:p>
          <w:p w14:paraId="58EBCE08">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ign w:val="center"/>
          </w:tcPr>
          <w:p w14:paraId="57A367B0">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color="auto" w:sz="4" w:space="0"/>
              <w:right w:val="single" w:color="auto" w:sz="4" w:space="0"/>
            </w:tcBorders>
            <w:noWrap/>
            <w:vAlign w:val="center"/>
          </w:tcPr>
          <w:p w14:paraId="1A86FFAC">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403" w:type="dxa"/>
            <w:tcBorders>
              <w:top w:val="nil"/>
              <w:left w:val="nil"/>
              <w:bottom w:val="single" w:color="auto" w:sz="4" w:space="0"/>
              <w:right w:val="single" w:color="auto" w:sz="4" w:space="0"/>
            </w:tcBorders>
            <w:noWrap/>
            <w:vAlign w:val="center"/>
          </w:tcPr>
          <w:p w14:paraId="490A0540">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552" w:type="dxa"/>
            <w:tcBorders>
              <w:top w:val="nil"/>
              <w:left w:val="nil"/>
              <w:bottom w:val="single" w:color="auto" w:sz="4" w:space="0"/>
              <w:right w:val="single" w:color="auto" w:sz="4" w:space="0"/>
            </w:tcBorders>
            <w:noWrap/>
            <w:vAlign w:val="center"/>
          </w:tcPr>
          <w:p w14:paraId="068E4BB2">
            <w:pPr>
              <w:widowControl/>
              <w:spacing w:line="260" w:lineRule="exact"/>
              <w:jc w:val="center"/>
              <w:rPr>
                <w:rFonts w:eastAsia="仿宋_GB2312"/>
                <w:color w:val="000000"/>
                <w:sz w:val="20"/>
                <w:szCs w:val="20"/>
              </w:rPr>
            </w:pPr>
            <w:r>
              <w:rPr>
                <w:rFonts w:eastAsia="仿宋_GB2312"/>
                <w:color w:val="000000"/>
                <w:sz w:val="20"/>
                <w:szCs w:val="20"/>
              </w:rPr>
              <w:t>年度</w:t>
            </w:r>
          </w:p>
          <w:p w14:paraId="5A2ED51E">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027" w:type="dxa"/>
            <w:tcBorders>
              <w:top w:val="nil"/>
              <w:left w:val="nil"/>
              <w:bottom w:val="single" w:color="auto" w:sz="4" w:space="0"/>
              <w:right w:val="single" w:color="auto" w:sz="4" w:space="0"/>
            </w:tcBorders>
            <w:noWrap/>
            <w:vAlign w:val="center"/>
          </w:tcPr>
          <w:p w14:paraId="2BB9BCBE">
            <w:pPr>
              <w:widowControl/>
              <w:spacing w:line="260" w:lineRule="exact"/>
              <w:jc w:val="center"/>
              <w:rPr>
                <w:rFonts w:eastAsia="仿宋_GB2312"/>
                <w:color w:val="000000"/>
                <w:sz w:val="20"/>
                <w:szCs w:val="20"/>
              </w:rPr>
            </w:pPr>
            <w:r>
              <w:rPr>
                <w:rFonts w:eastAsia="仿宋_GB2312"/>
                <w:color w:val="000000"/>
                <w:sz w:val="20"/>
                <w:szCs w:val="20"/>
              </w:rPr>
              <w:t>实际</w:t>
            </w:r>
          </w:p>
          <w:p w14:paraId="30C9F198">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647" w:type="dxa"/>
            <w:tcBorders>
              <w:top w:val="nil"/>
              <w:left w:val="nil"/>
              <w:bottom w:val="single" w:color="auto" w:sz="4" w:space="0"/>
              <w:right w:val="single" w:color="auto" w:sz="4" w:space="0"/>
            </w:tcBorders>
            <w:noWrap/>
            <w:vAlign w:val="center"/>
          </w:tcPr>
          <w:p w14:paraId="6F7DE5F9">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743" w:type="dxa"/>
            <w:tcBorders>
              <w:top w:val="nil"/>
              <w:left w:val="nil"/>
              <w:bottom w:val="single" w:color="auto" w:sz="4" w:space="0"/>
              <w:right w:val="single" w:color="auto" w:sz="4" w:space="0"/>
            </w:tcBorders>
            <w:noWrap/>
            <w:vAlign w:val="center"/>
          </w:tcPr>
          <w:p w14:paraId="3EAE559F">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color="auto" w:sz="4" w:space="0"/>
              <w:right w:val="single" w:color="auto" w:sz="4" w:space="0"/>
            </w:tcBorders>
            <w:noWrap/>
            <w:vAlign w:val="center"/>
          </w:tcPr>
          <w:p w14:paraId="6211CDD2">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14:paraId="505BECB9">
        <w:tblPrEx>
          <w:tblCellMar>
            <w:top w:w="0" w:type="dxa"/>
            <w:left w:w="108" w:type="dxa"/>
            <w:bottom w:w="0" w:type="dxa"/>
            <w:right w:w="108" w:type="dxa"/>
          </w:tblCellMar>
        </w:tblPrEx>
        <w:trPr>
          <w:trHeight w:val="397"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7D53D67A">
            <w:pPr>
              <w:spacing w:line="260" w:lineRule="exact"/>
              <w:jc w:val="left"/>
              <w:rPr>
                <w:rFonts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3489CFBB">
            <w:pPr>
              <w:widowControl/>
              <w:spacing w:line="260" w:lineRule="exact"/>
              <w:jc w:val="center"/>
              <w:rPr>
                <w:rFonts w:eastAsia="仿宋_GB2312"/>
                <w:color w:val="000000"/>
                <w:sz w:val="20"/>
                <w:szCs w:val="20"/>
              </w:rPr>
            </w:pPr>
            <w:r>
              <w:rPr>
                <w:rFonts w:eastAsia="仿宋_GB2312"/>
                <w:color w:val="000000"/>
                <w:sz w:val="20"/>
                <w:szCs w:val="20"/>
              </w:rPr>
              <w:t>产出指标</w:t>
            </w:r>
          </w:p>
          <w:p w14:paraId="7784EC12">
            <w:pPr>
              <w:widowControl/>
              <w:spacing w:line="260" w:lineRule="exact"/>
              <w:jc w:val="center"/>
              <w:rPr>
                <w:rFonts w:eastAsia="仿宋_GB2312"/>
                <w:color w:val="000000"/>
                <w:sz w:val="20"/>
                <w:szCs w:val="20"/>
              </w:rPr>
            </w:pPr>
            <w:r>
              <w:rPr>
                <w:rFonts w:eastAsia="仿宋_GB2312"/>
                <w:color w:val="000000"/>
                <w:sz w:val="20"/>
                <w:szCs w:val="20"/>
              </w:rPr>
              <w:t>(50分)</w:t>
            </w: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4E9FDEA4">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403" w:type="dxa"/>
            <w:tcBorders>
              <w:top w:val="single" w:color="auto" w:sz="4" w:space="0"/>
              <w:left w:val="single" w:color="auto" w:sz="4" w:space="0"/>
              <w:bottom w:val="single" w:color="auto" w:sz="4" w:space="0"/>
              <w:right w:val="single" w:color="auto" w:sz="4" w:space="0"/>
            </w:tcBorders>
            <w:noWrap/>
            <w:vAlign w:val="center"/>
          </w:tcPr>
          <w:p w14:paraId="230BADA6">
            <w:pPr>
              <w:widowControl/>
              <w:spacing w:line="260" w:lineRule="exact"/>
              <w:jc w:val="left"/>
              <w:rPr>
                <w:rFonts w:eastAsia="仿宋_GB2312"/>
                <w:color w:val="000000"/>
                <w:sz w:val="20"/>
                <w:szCs w:val="20"/>
              </w:rPr>
            </w:pPr>
            <w:r>
              <w:rPr>
                <w:rFonts w:hint="eastAsia" w:eastAsia="仿宋_GB2312"/>
                <w:color w:val="000000"/>
                <w:sz w:val="20"/>
                <w:szCs w:val="20"/>
              </w:rPr>
              <w:t>送戏下乡</w:t>
            </w:r>
          </w:p>
        </w:tc>
        <w:tc>
          <w:tcPr>
            <w:tcW w:w="1552" w:type="dxa"/>
            <w:tcBorders>
              <w:top w:val="single" w:color="auto" w:sz="4" w:space="0"/>
              <w:left w:val="single" w:color="auto" w:sz="4" w:space="0"/>
              <w:bottom w:val="single" w:color="auto" w:sz="4" w:space="0"/>
              <w:right w:val="single" w:color="auto" w:sz="4" w:space="0"/>
            </w:tcBorders>
            <w:noWrap/>
            <w:vAlign w:val="center"/>
          </w:tcPr>
          <w:p w14:paraId="0BBB8040">
            <w:pPr>
              <w:widowControl/>
              <w:spacing w:line="260" w:lineRule="exact"/>
              <w:jc w:val="left"/>
              <w:rPr>
                <w:rFonts w:eastAsia="仿宋_GB2312"/>
                <w:color w:val="000000"/>
                <w:sz w:val="20"/>
                <w:szCs w:val="20"/>
              </w:rPr>
            </w:pPr>
            <w:r>
              <w:rPr>
                <w:rFonts w:eastAsia="仿宋_GB2312"/>
                <w:color w:val="000000"/>
                <w:sz w:val="20"/>
                <w:szCs w:val="20"/>
              </w:rPr>
              <w:t>　</w:t>
            </w:r>
            <w:r>
              <w:rPr>
                <w:rFonts w:ascii="Arial" w:hAnsi="Arial" w:eastAsia="仿宋_GB2312" w:cs="Arial"/>
                <w:color w:val="000000"/>
                <w:sz w:val="20"/>
                <w:szCs w:val="20"/>
              </w:rPr>
              <w:t>≥</w:t>
            </w:r>
            <w:r>
              <w:rPr>
                <w:rFonts w:hint="eastAsia" w:eastAsia="仿宋_GB2312"/>
                <w:color w:val="000000"/>
                <w:sz w:val="20"/>
                <w:szCs w:val="20"/>
              </w:rPr>
              <w:t>80场</w:t>
            </w:r>
          </w:p>
        </w:tc>
        <w:tc>
          <w:tcPr>
            <w:tcW w:w="1027" w:type="dxa"/>
            <w:tcBorders>
              <w:top w:val="nil"/>
              <w:left w:val="nil"/>
              <w:bottom w:val="single" w:color="auto" w:sz="4" w:space="0"/>
              <w:right w:val="single" w:color="auto" w:sz="4" w:space="0"/>
            </w:tcBorders>
            <w:noWrap/>
            <w:vAlign w:val="center"/>
          </w:tcPr>
          <w:p w14:paraId="702214EA">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80场</w:t>
            </w:r>
          </w:p>
        </w:tc>
        <w:tc>
          <w:tcPr>
            <w:tcW w:w="647" w:type="dxa"/>
            <w:tcBorders>
              <w:top w:val="nil"/>
              <w:left w:val="nil"/>
              <w:bottom w:val="single" w:color="auto" w:sz="4" w:space="0"/>
              <w:right w:val="single" w:color="auto" w:sz="4" w:space="0"/>
            </w:tcBorders>
            <w:noWrap/>
            <w:vAlign w:val="center"/>
          </w:tcPr>
          <w:p w14:paraId="1B7D789B">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743" w:type="dxa"/>
            <w:tcBorders>
              <w:top w:val="nil"/>
              <w:left w:val="nil"/>
              <w:bottom w:val="single" w:color="auto" w:sz="4" w:space="0"/>
              <w:right w:val="single" w:color="auto" w:sz="4" w:space="0"/>
            </w:tcBorders>
            <w:noWrap/>
            <w:vAlign w:val="center"/>
          </w:tcPr>
          <w:p w14:paraId="18407C40">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1418" w:type="dxa"/>
            <w:tcBorders>
              <w:top w:val="nil"/>
              <w:left w:val="nil"/>
              <w:bottom w:val="single" w:color="auto" w:sz="4" w:space="0"/>
              <w:right w:val="single" w:color="auto" w:sz="4" w:space="0"/>
            </w:tcBorders>
            <w:noWrap/>
            <w:vAlign w:val="center"/>
          </w:tcPr>
          <w:p w14:paraId="1FF1FBC1">
            <w:pPr>
              <w:widowControl/>
              <w:spacing w:line="260" w:lineRule="exact"/>
              <w:jc w:val="left"/>
              <w:rPr>
                <w:rFonts w:eastAsia="仿宋_GB2312"/>
                <w:color w:val="000000"/>
                <w:sz w:val="20"/>
                <w:szCs w:val="20"/>
              </w:rPr>
            </w:pPr>
            <w:r>
              <w:rPr>
                <w:rFonts w:eastAsia="仿宋_GB2312"/>
                <w:color w:val="000000"/>
                <w:sz w:val="20"/>
                <w:szCs w:val="20"/>
              </w:rPr>
              <w:t>　</w:t>
            </w:r>
          </w:p>
        </w:tc>
      </w:tr>
      <w:tr w14:paraId="48907CA2">
        <w:tblPrEx>
          <w:tblCellMar>
            <w:top w:w="0" w:type="dxa"/>
            <w:left w:w="108" w:type="dxa"/>
            <w:bottom w:w="0" w:type="dxa"/>
            <w:right w:w="108" w:type="dxa"/>
          </w:tblCellMar>
        </w:tblPrEx>
        <w:trPr>
          <w:trHeight w:val="42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2C49D2F7">
            <w:pPr>
              <w:spacing w:line="260" w:lineRule="exact"/>
              <w:jc w:val="left"/>
              <w:rPr>
                <w:rFonts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45997470">
            <w:pPr>
              <w:spacing w:line="260" w:lineRule="exact"/>
              <w:jc w:val="left"/>
              <w:rPr>
                <w:rFonts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500321A0">
            <w:pPr>
              <w:spacing w:line="260" w:lineRule="exact"/>
              <w:jc w:val="center"/>
              <w:rPr>
                <w:rFonts w:eastAsia="仿宋_GB2312"/>
                <w:color w:val="000000"/>
                <w:sz w:val="20"/>
                <w:szCs w:val="20"/>
              </w:rPr>
            </w:pPr>
          </w:p>
        </w:tc>
        <w:tc>
          <w:tcPr>
            <w:tcW w:w="1403" w:type="dxa"/>
            <w:tcBorders>
              <w:top w:val="single" w:color="auto" w:sz="4" w:space="0"/>
              <w:left w:val="single" w:color="auto" w:sz="4" w:space="0"/>
              <w:bottom w:val="single" w:color="auto" w:sz="4" w:space="0"/>
              <w:right w:val="single" w:color="auto" w:sz="4" w:space="0"/>
            </w:tcBorders>
            <w:noWrap/>
            <w:vAlign w:val="center"/>
          </w:tcPr>
          <w:p w14:paraId="233F75BC">
            <w:pPr>
              <w:widowControl/>
              <w:spacing w:line="260" w:lineRule="exact"/>
              <w:jc w:val="left"/>
              <w:rPr>
                <w:rFonts w:eastAsia="仿宋_GB2312"/>
                <w:color w:val="000000"/>
                <w:sz w:val="20"/>
                <w:szCs w:val="20"/>
              </w:rPr>
            </w:pPr>
            <w:r>
              <w:rPr>
                <w:rFonts w:hint="eastAsia" w:eastAsia="仿宋_GB2312"/>
                <w:color w:val="000000"/>
                <w:sz w:val="20"/>
                <w:szCs w:val="20"/>
              </w:rPr>
              <w:t>资金安排</w:t>
            </w:r>
          </w:p>
        </w:tc>
        <w:tc>
          <w:tcPr>
            <w:tcW w:w="1552" w:type="dxa"/>
            <w:tcBorders>
              <w:top w:val="single" w:color="auto" w:sz="4" w:space="0"/>
              <w:left w:val="single" w:color="auto" w:sz="4" w:space="0"/>
              <w:bottom w:val="single" w:color="auto" w:sz="4" w:space="0"/>
              <w:right w:val="single" w:color="auto" w:sz="4" w:space="0"/>
            </w:tcBorders>
            <w:noWrap/>
            <w:vAlign w:val="center"/>
          </w:tcPr>
          <w:p w14:paraId="71DD9C22">
            <w:pPr>
              <w:widowControl/>
              <w:spacing w:line="260" w:lineRule="exact"/>
              <w:jc w:val="center"/>
              <w:rPr>
                <w:rFonts w:eastAsia="仿宋_GB2312"/>
                <w:color w:val="000000"/>
                <w:sz w:val="20"/>
                <w:szCs w:val="20"/>
              </w:rPr>
            </w:pPr>
            <w:r>
              <w:rPr>
                <w:rFonts w:hint="eastAsia" w:eastAsia="仿宋_GB2312"/>
                <w:color w:val="000000"/>
                <w:sz w:val="20"/>
                <w:szCs w:val="20"/>
              </w:rPr>
              <w:t>=40万元</w:t>
            </w:r>
          </w:p>
        </w:tc>
        <w:tc>
          <w:tcPr>
            <w:tcW w:w="1027" w:type="dxa"/>
            <w:tcBorders>
              <w:top w:val="nil"/>
              <w:left w:val="nil"/>
              <w:bottom w:val="single" w:color="auto" w:sz="4" w:space="0"/>
              <w:right w:val="single" w:color="auto" w:sz="4" w:space="0"/>
            </w:tcBorders>
            <w:noWrap/>
            <w:vAlign w:val="center"/>
          </w:tcPr>
          <w:p w14:paraId="3D5115C2">
            <w:pPr>
              <w:widowControl/>
              <w:spacing w:line="260" w:lineRule="exact"/>
              <w:jc w:val="center"/>
              <w:rPr>
                <w:rFonts w:eastAsia="仿宋_GB2312"/>
                <w:color w:val="000000"/>
                <w:sz w:val="20"/>
                <w:szCs w:val="20"/>
              </w:rPr>
            </w:pPr>
            <w:r>
              <w:rPr>
                <w:rFonts w:hint="eastAsia" w:eastAsia="仿宋_GB2312"/>
                <w:color w:val="000000"/>
                <w:sz w:val="20"/>
                <w:szCs w:val="20"/>
              </w:rPr>
              <w:t>40万元</w:t>
            </w:r>
          </w:p>
        </w:tc>
        <w:tc>
          <w:tcPr>
            <w:tcW w:w="647" w:type="dxa"/>
            <w:tcBorders>
              <w:top w:val="nil"/>
              <w:left w:val="nil"/>
              <w:bottom w:val="single" w:color="auto" w:sz="4" w:space="0"/>
              <w:right w:val="single" w:color="auto" w:sz="4" w:space="0"/>
            </w:tcBorders>
            <w:noWrap/>
            <w:vAlign w:val="center"/>
          </w:tcPr>
          <w:p w14:paraId="7315E222">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743" w:type="dxa"/>
            <w:tcBorders>
              <w:top w:val="nil"/>
              <w:left w:val="nil"/>
              <w:bottom w:val="single" w:color="auto" w:sz="4" w:space="0"/>
              <w:right w:val="single" w:color="auto" w:sz="4" w:space="0"/>
            </w:tcBorders>
            <w:noWrap/>
            <w:vAlign w:val="center"/>
          </w:tcPr>
          <w:p w14:paraId="7DB151A3">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1418" w:type="dxa"/>
            <w:tcBorders>
              <w:top w:val="nil"/>
              <w:left w:val="nil"/>
              <w:bottom w:val="single" w:color="auto" w:sz="4" w:space="0"/>
              <w:right w:val="single" w:color="auto" w:sz="4" w:space="0"/>
            </w:tcBorders>
            <w:noWrap/>
            <w:vAlign w:val="center"/>
          </w:tcPr>
          <w:p w14:paraId="15B2E10A">
            <w:pPr>
              <w:widowControl/>
              <w:spacing w:line="260" w:lineRule="exact"/>
              <w:jc w:val="left"/>
              <w:rPr>
                <w:rFonts w:eastAsia="仿宋_GB2312"/>
                <w:color w:val="000000"/>
                <w:sz w:val="20"/>
                <w:szCs w:val="20"/>
              </w:rPr>
            </w:pPr>
            <w:r>
              <w:rPr>
                <w:rFonts w:eastAsia="仿宋_GB2312"/>
                <w:color w:val="000000"/>
                <w:sz w:val="20"/>
                <w:szCs w:val="20"/>
              </w:rPr>
              <w:t>　</w:t>
            </w:r>
          </w:p>
        </w:tc>
      </w:tr>
      <w:tr w14:paraId="5A22FABD">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0AA741BA">
            <w:pPr>
              <w:spacing w:line="260" w:lineRule="exact"/>
              <w:jc w:val="left"/>
              <w:rPr>
                <w:rFonts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6AB9BB26">
            <w:pPr>
              <w:spacing w:line="260" w:lineRule="exact"/>
              <w:jc w:val="left"/>
              <w:rPr>
                <w:rFonts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074CADFF">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403" w:type="dxa"/>
            <w:tcBorders>
              <w:top w:val="single" w:color="auto" w:sz="4" w:space="0"/>
              <w:left w:val="single" w:color="auto" w:sz="4" w:space="0"/>
              <w:bottom w:val="single" w:color="auto" w:sz="4" w:space="0"/>
              <w:right w:val="single" w:color="auto" w:sz="4" w:space="0"/>
            </w:tcBorders>
            <w:noWrap/>
            <w:vAlign w:val="center"/>
          </w:tcPr>
          <w:p w14:paraId="0ABE4DB4">
            <w:pPr>
              <w:widowControl/>
              <w:jc w:val="left"/>
              <w:textAlignment w:val="center"/>
              <w:rPr>
                <w:rFonts w:ascii="新宋体" w:hAnsi="新宋体" w:eastAsia="新宋体" w:cs="新宋体"/>
                <w:color w:val="000000"/>
                <w:szCs w:val="21"/>
              </w:rPr>
            </w:pPr>
            <w:r>
              <w:rPr>
                <w:rFonts w:hint="eastAsia" w:ascii="宋体" w:hAnsi="宋体" w:cs="宋体"/>
                <w:color w:val="000000"/>
                <w:kern w:val="0"/>
                <w:sz w:val="22"/>
                <w:szCs w:val="22"/>
              </w:rPr>
              <w:t>专项经济指标完成率</w:t>
            </w:r>
          </w:p>
        </w:tc>
        <w:tc>
          <w:tcPr>
            <w:tcW w:w="1552" w:type="dxa"/>
            <w:tcBorders>
              <w:top w:val="single" w:color="auto" w:sz="4" w:space="0"/>
              <w:left w:val="single" w:color="auto" w:sz="4" w:space="0"/>
              <w:bottom w:val="single" w:color="auto" w:sz="4" w:space="0"/>
              <w:right w:val="single" w:color="auto" w:sz="4" w:space="0"/>
            </w:tcBorders>
            <w:noWrap/>
            <w:vAlign w:val="center"/>
          </w:tcPr>
          <w:p w14:paraId="28D0FAA1">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≧90%</w:t>
            </w:r>
          </w:p>
        </w:tc>
        <w:tc>
          <w:tcPr>
            <w:tcW w:w="1027" w:type="dxa"/>
            <w:tcBorders>
              <w:top w:val="nil"/>
              <w:left w:val="nil"/>
              <w:bottom w:val="single" w:color="auto" w:sz="4" w:space="0"/>
              <w:right w:val="single" w:color="auto" w:sz="4" w:space="0"/>
            </w:tcBorders>
            <w:noWrap/>
            <w:vAlign w:val="center"/>
          </w:tcPr>
          <w:p w14:paraId="140F0FAB">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647" w:type="dxa"/>
            <w:tcBorders>
              <w:top w:val="nil"/>
              <w:left w:val="nil"/>
              <w:bottom w:val="single" w:color="auto" w:sz="4" w:space="0"/>
              <w:right w:val="single" w:color="auto" w:sz="4" w:space="0"/>
            </w:tcBorders>
            <w:noWrap/>
            <w:vAlign w:val="center"/>
          </w:tcPr>
          <w:p w14:paraId="452D088A">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743" w:type="dxa"/>
            <w:tcBorders>
              <w:top w:val="nil"/>
              <w:left w:val="nil"/>
              <w:bottom w:val="single" w:color="auto" w:sz="4" w:space="0"/>
              <w:right w:val="single" w:color="auto" w:sz="4" w:space="0"/>
            </w:tcBorders>
            <w:noWrap/>
            <w:vAlign w:val="center"/>
          </w:tcPr>
          <w:p w14:paraId="55E2ED22">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1418" w:type="dxa"/>
            <w:tcBorders>
              <w:top w:val="nil"/>
              <w:left w:val="nil"/>
              <w:bottom w:val="single" w:color="auto" w:sz="4" w:space="0"/>
              <w:right w:val="single" w:color="auto" w:sz="4" w:space="0"/>
            </w:tcBorders>
            <w:noWrap/>
            <w:vAlign w:val="center"/>
          </w:tcPr>
          <w:p w14:paraId="44FB606A">
            <w:pPr>
              <w:widowControl/>
              <w:spacing w:line="260" w:lineRule="exact"/>
              <w:jc w:val="left"/>
              <w:rPr>
                <w:rFonts w:eastAsia="仿宋_GB2312"/>
                <w:color w:val="000000"/>
                <w:sz w:val="20"/>
                <w:szCs w:val="20"/>
              </w:rPr>
            </w:pPr>
            <w:r>
              <w:rPr>
                <w:rFonts w:eastAsia="仿宋_GB2312"/>
                <w:color w:val="000000"/>
                <w:sz w:val="20"/>
                <w:szCs w:val="20"/>
              </w:rPr>
              <w:t>　</w:t>
            </w:r>
          </w:p>
        </w:tc>
      </w:tr>
      <w:tr w14:paraId="6968C237">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60E9398E">
            <w:pPr>
              <w:spacing w:line="260" w:lineRule="exact"/>
              <w:jc w:val="left"/>
              <w:rPr>
                <w:rFonts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185B2B6E">
            <w:pPr>
              <w:spacing w:line="260" w:lineRule="exact"/>
              <w:jc w:val="left"/>
              <w:rPr>
                <w:rFonts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65B6EF3F">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403" w:type="dxa"/>
            <w:tcBorders>
              <w:top w:val="single" w:color="auto" w:sz="4" w:space="0"/>
              <w:left w:val="single" w:color="auto" w:sz="4" w:space="0"/>
              <w:bottom w:val="single" w:color="auto" w:sz="4" w:space="0"/>
              <w:right w:val="single" w:color="auto" w:sz="4" w:space="0"/>
            </w:tcBorders>
            <w:noWrap/>
            <w:vAlign w:val="center"/>
          </w:tcPr>
          <w:p w14:paraId="7435FB9C">
            <w:pPr>
              <w:widowControl/>
              <w:spacing w:line="260" w:lineRule="exact"/>
              <w:jc w:val="left"/>
              <w:rPr>
                <w:rFonts w:eastAsia="仿宋_GB2312"/>
                <w:color w:val="000000"/>
                <w:sz w:val="20"/>
                <w:szCs w:val="20"/>
              </w:rPr>
            </w:pPr>
            <w:r>
              <w:rPr>
                <w:rFonts w:hint="eastAsia" w:eastAsia="仿宋_GB2312"/>
                <w:color w:val="000000"/>
                <w:kern w:val="0"/>
                <w:szCs w:val="21"/>
              </w:rPr>
              <w:t>2022年12月31日前</w:t>
            </w:r>
          </w:p>
        </w:tc>
        <w:tc>
          <w:tcPr>
            <w:tcW w:w="1552" w:type="dxa"/>
            <w:tcBorders>
              <w:top w:val="single" w:color="auto" w:sz="4" w:space="0"/>
              <w:left w:val="single" w:color="auto" w:sz="4" w:space="0"/>
              <w:bottom w:val="single" w:color="auto" w:sz="4" w:space="0"/>
              <w:right w:val="single" w:color="auto" w:sz="4" w:space="0"/>
            </w:tcBorders>
            <w:noWrap/>
            <w:vAlign w:val="center"/>
          </w:tcPr>
          <w:p w14:paraId="2FC0B2D1">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=100%</w:t>
            </w:r>
          </w:p>
        </w:tc>
        <w:tc>
          <w:tcPr>
            <w:tcW w:w="1027" w:type="dxa"/>
            <w:tcBorders>
              <w:top w:val="nil"/>
              <w:left w:val="nil"/>
              <w:bottom w:val="single" w:color="auto" w:sz="4" w:space="0"/>
              <w:right w:val="single" w:color="auto" w:sz="4" w:space="0"/>
            </w:tcBorders>
            <w:noWrap/>
            <w:vAlign w:val="center"/>
          </w:tcPr>
          <w:p w14:paraId="072DEA0B">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100%</w:t>
            </w:r>
          </w:p>
        </w:tc>
        <w:tc>
          <w:tcPr>
            <w:tcW w:w="647" w:type="dxa"/>
            <w:tcBorders>
              <w:top w:val="nil"/>
              <w:left w:val="nil"/>
              <w:bottom w:val="single" w:color="auto" w:sz="4" w:space="0"/>
              <w:right w:val="single" w:color="auto" w:sz="4" w:space="0"/>
            </w:tcBorders>
            <w:noWrap/>
            <w:vAlign w:val="center"/>
          </w:tcPr>
          <w:p w14:paraId="47972F2E">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743" w:type="dxa"/>
            <w:tcBorders>
              <w:top w:val="nil"/>
              <w:left w:val="nil"/>
              <w:bottom w:val="single" w:color="auto" w:sz="4" w:space="0"/>
              <w:right w:val="single" w:color="auto" w:sz="4" w:space="0"/>
            </w:tcBorders>
            <w:noWrap/>
            <w:vAlign w:val="center"/>
          </w:tcPr>
          <w:p w14:paraId="7116974F">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1418" w:type="dxa"/>
            <w:tcBorders>
              <w:top w:val="nil"/>
              <w:left w:val="nil"/>
              <w:bottom w:val="single" w:color="auto" w:sz="4" w:space="0"/>
              <w:right w:val="single" w:color="auto" w:sz="4" w:space="0"/>
            </w:tcBorders>
            <w:noWrap/>
            <w:vAlign w:val="center"/>
          </w:tcPr>
          <w:p w14:paraId="6661FFC6">
            <w:pPr>
              <w:widowControl/>
              <w:spacing w:line="260" w:lineRule="exact"/>
              <w:jc w:val="left"/>
              <w:rPr>
                <w:rFonts w:eastAsia="仿宋_GB2312"/>
                <w:color w:val="000000"/>
                <w:sz w:val="20"/>
                <w:szCs w:val="20"/>
              </w:rPr>
            </w:pPr>
            <w:r>
              <w:rPr>
                <w:rFonts w:eastAsia="仿宋_GB2312"/>
                <w:color w:val="000000"/>
                <w:sz w:val="20"/>
                <w:szCs w:val="20"/>
              </w:rPr>
              <w:t>　</w:t>
            </w:r>
          </w:p>
        </w:tc>
      </w:tr>
      <w:tr w14:paraId="7C71F3F5">
        <w:tblPrEx>
          <w:tblCellMar>
            <w:top w:w="0" w:type="dxa"/>
            <w:left w:w="108" w:type="dxa"/>
            <w:bottom w:w="0" w:type="dxa"/>
            <w:right w:w="108" w:type="dxa"/>
          </w:tblCellMar>
        </w:tblPrEx>
        <w:trPr>
          <w:trHeight w:val="429"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58921E64">
            <w:pPr>
              <w:spacing w:line="260" w:lineRule="exact"/>
              <w:jc w:val="left"/>
              <w:rPr>
                <w:rFonts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0656119B">
            <w:pPr>
              <w:spacing w:line="260" w:lineRule="exact"/>
              <w:jc w:val="left"/>
              <w:rPr>
                <w:rFonts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5AF7D933">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403" w:type="dxa"/>
            <w:tcBorders>
              <w:top w:val="single" w:color="auto" w:sz="4" w:space="0"/>
              <w:left w:val="single" w:color="auto" w:sz="4" w:space="0"/>
              <w:bottom w:val="single" w:color="auto" w:sz="4" w:space="0"/>
              <w:right w:val="single" w:color="auto" w:sz="4" w:space="0"/>
            </w:tcBorders>
            <w:noWrap/>
            <w:vAlign w:val="center"/>
          </w:tcPr>
          <w:p w14:paraId="19096BFC">
            <w:pPr>
              <w:widowControl/>
              <w:spacing w:line="260" w:lineRule="exact"/>
              <w:jc w:val="left"/>
              <w:rPr>
                <w:rFonts w:eastAsia="仿宋_GB2312"/>
                <w:color w:val="000000"/>
                <w:sz w:val="20"/>
                <w:szCs w:val="20"/>
              </w:rPr>
            </w:pPr>
            <w:r>
              <w:rPr>
                <w:rFonts w:hint="eastAsia" w:eastAsia="仿宋_GB2312"/>
                <w:color w:val="000000"/>
                <w:sz w:val="20"/>
                <w:szCs w:val="20"/>
              </w:rPr>
              <w:t>财政拨款</w:t>
            </w:r>
          </w:p>
        </w:tc>
        <w:tc>
          <w:tcPr>
            <w:tcW w:w="1552" w:type="dxa"/>
            <w:tcBorders>
              <w:top w:val="single" w:color="auto" w:sz="4" w:space="0"/>
              <w:left w:val="single" w:color="auto" w:sz="4" w:space="0"/>
              <w:bottom w:val="single" w:color="auto" w:sz="4" w:space="0"/>
              <w:right w:val="single" w:color="auto" w:sz="4" w:space="0"/>
            </w:tcBorders>
            <w:noWrap/>
            <w:vAlign w:val="center"/>
          </w:tcPr>
          <w:p w14:paraId="2406B48A">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40万元</w:t>
            </w:r>
          </w:p>
        </w:tc>
        <w:tc>
          <w:tcPr>
            <w:tcW w:w="1027" w:type="dxa"/>
            <w:tcBorders>
              <w:top w:val="nil"/>
              <w:left w:val="nil"/>
              <w:bottom w:val="single" w:color="auto" w:sz="4" w:space="0"/>
              <w:right w:val="single" w:color="auto" w:sz="4" w:space="0"/>
            </w:tcBorders>
            <w:noWrap/>
            <w:vAlign w:val="center"/>
          </w:tcPr>
          <w:p w14:paraId="69ACEE0C">
            <w:pPr>
              <w:widowControl/>
              <w:spacing w:line="260" w:lineRule="exact"/>
              <w:jc w:val="center"/>
              <w:rPr>
                <w:rFonts w:eastAsia="仿宋_GB2312"/>
                <w:color w:val="000000"/>
                <w:sz w:val="20"/>
                <w:szCs w:val="20"/>
              </w:rPr>
            </w:pPr>
            <w:r>
              <w:rPr>
                <w:rFonts w:hint="eastAsia" w:eastAsia="仿宋_GB2312"/>
                <w:color w:val="000000"/>
                <w:sz w:val="20"/>
                <w:szCs w:val="20"/>
              </w:rPr>
              <w:t>40万元</w:t>
            </w:r>
          </w:p>
        </w:tc>
        <w:tc>
          <w:tcPr>
            <w:tcW w:w="647" w:type="dxa"/>
            <w:tcBorders>
              <w:top w:val="nil"/>
              <w:left w:val="nil"/>
              <w:bottom w:val="single" w:color="auto" w:sz="4" w:space="0"/>
              <w:right w:val="single" w:color="auto" w:sz="4" w:space="0"/>
            </w:tcBorders>
            <w:noWrap/>
            <w:vAlign w:val="center"/>
          </w:tcPr>
          <w:p w14:paraId="3F576115">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743" w:type="dxa"/>
            <w:tcBorders>
              <w:top w:val="nil"/>
              <w:left w:val="nil"/>
              <w:bottom w:val="single" w:color="auto" w:sz="4" w:space="0"/>
              <w:right w:val="single" w:color="auto" w:sz="4" w:space="0"/>
            </w:tcBorders>
            <w:noWrap/>
            <w:vAlign w:val="center"/>
          </w:tcPr>
          <w:p w14:paraId="43FFC708">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1418" w:type="dxa"/>
            <w:tcBorders>
              <w:top w:val="nil"/>
              <w:left w:val="nil"/>
              <w:bottom w:val="single" w:color="auto" w:sz="4" w:space="0"/>
              <w:right w:val="single" w:color="auto" w:sz="4" w:space="0"/>
            </w:tcBorders>
            <w:noWrap/>
            <w:vAlign w:val="center"/>
          </w:tcPr>
          <w:p w14:paraId="056AFE45">
            <w:pPr>
              <w:widowControl/>
              <w:spacing w:line="260" w:lineRule="exact"/>
              <w:jc w:val="left"/>
              <w:rPr>
                <w:rFonts w:eastAsia="仿宋_GB2312"/>
                <w:color w:val="000000"/>
                <w:sz w:val="20"/>
                <w:szCs w:val="20"/>
              </w:rPr>
            </w:pPr>
            <w:r>
              <w:rPr>
                <w:rFonts w:eastAsia="仿宋_GB2312"/>
                <w:color w:val="000000"/>
                <w:sz w:val="20"/>
                <w:szCs w:val="20"/>
              </w:rPr>
              <w:t>　</w:t>
            </w:r>
          </w:p>
        </w:tc>
      </w:tr>
      <w:tr w14:paraId="6052FBE0">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3DA38C2E">
            <w:pPr>
              <w:spacing w:line="260" w:lineRule="exact"/>
              <w:jc w:val="left"/>
              <w:rPr>
                <w:rFonts w:eastAsia="仿宋_GB2312"/>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1ECAE7F3">
            <w:pPr>
              <w:widowControl/>
              <w:spacing w:line="260" w:lineRule="exact"/>
              <w:jc w:val="left"/>
              <w:rPr>
                <w:rFonts w:eastAsia="仿宋_GB2312"/>
                <w:color w:val="000000"/>
                <w:sz w:val="20"/>
                <w:szCs w:val="20"/>
              </w:rPr>
            </w:pPr>
            <w:r>
              <w:rPr>
                <w:rFonts w:eastAsia="仿宋_GB2312"/>
                <w:color w:val="000000"/>
                <w:sz w:val="20"/>
                <w:szCs w:val="20"/>
              </w:rPr>
              <w:t>效益指标</w:t>
            </w:r>
          </w:p>
          <w:p w14:paraId="78907696">
            <w:pPr>
              <w:widowControl/>
              <w:spacing w:line="260" w:lineRule="exact"/>
              <w:jc w:val="left"/>
              <w:rPr>
                <w:rFonts w:eastAsia="仿宋_GB2312"/>
                <w:color w:val="000000"/>
                <w:sz w:val="20"/>
                <w:szCs w:val="20"/>
              </w:rPr>
            </w:pPr>
            <w:r>
              <w:rPr>
                <w:rFonts w:eastAsia="仿宋_GB2312"/>
                <w:color w:val="000000"/>
                <w:sz w:val="20"/>
                <w:szCs w:val="20"/>
              </w:rPr>
              <w:t>（30分）</w:t>
            </w:r>
          </w:p>
        </w:tc>
        <w:tc>
          <w:tcPr>
            <w:tcW w:w="1080" w:type="dxa"/>
            <w:tcBorders>
              <w:top w:val="single" w:color="auto" w:sz="4" w:space="0"/>
              <w:left w:val="single" w:color="auto" w:sz="4" w:space="0"/>
              <w:bottom w:val="single" w:color="auto" w:sz="4" w:space="0"/>
              <w:right w:val="single" w:color="auto" w:sz="4" w:space="0"/>
            </w:tcBorders>
            <w:noWrap/>
            <w:vAlign w:val="center"/>
          </w:tcPr>
          <w:p w14:paraId="4FCF65A2">
            <w:pPr>
              <w:widowControl/>
              <w:spacing w:line="260" w:lineRule="exact"/>
              <w:jc w:val="center"/>
              <w:rPr>
                <w:rFonts w:eastAsia="仿宋_GB2312"/>
                <w:color w:val="000000"/>
                <w:sz w:val="20"/>
                <w:szCs w:val="20"/>
              </w:rPr>
            </w:pPr>
            <w:r>
              <w:rPr>
                <w:rFonts w:eastAsia="仿宋_GB2312"/>
                <w:color w:val="000000"/>
                <w:sz w:val="20"/>
                <w:szCs w:val="20"/>
              </w:rPr>
              <w:t>经济效</w:t>
            </w:r>
          </w:p>
          <w:p w14:paraId="133D2AD9">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403" w:type="dxa"/>
            <w:tcBorders>
              <w:top w:val="nil"/>
              <w:left w:val="nil"/>
              <w:bottom w:val="single" w:color="auto" w:sz="4" w:space="0"/>
              <w:right w:val="single" w:color="auto" w:sz="4" w:space="0"/>
            </w:tcBorders>
            <w:noWrap/>
            <w:vAlign w:val="center"/>
          </w:tcPr>
          <w:p w14:paraId="26D70803">
            <w:pPr>
              <w:widowControl/>
              <w:spacing w:line="260" w:lineRule="exact"/>
              <w:jc w:val="left"/>
              <w:rPr>
                <w:rFonts w:eastAsia="仿宋_GB2312"/>
                <w:color w:val="000000"/>
                <w:sz w:val="20"/>
                <w:szCs w:val="20"/>
              </w:rPr>
            </w:pPr>
            <w:r>
              <w:rPr>
                <w:rFonts w:hint="eastAsia" w:eastAsia="仿宋_GB2312"/>
                <w:color w:val="000000"/>
                <w:sz w:val="20"/>
                <w:szCs w:val="20"/>
              </w:rPr>
              <w:t>送戏下乡演出业务增加了就业岗位</w:t>
            </w:r>
          </w:p>
        </w:tc>
        <w:tc>
          <w:tcPr>
            <w:tcW w:w="1552" w:type="dxa"/>
            <w:tcBorders>
              <w:top w:val="nil"/>
              <w:left w:val="nil"/>
              <w:bottom w:val="single" w:color="auto" w:sz="4" w:space="0"/>
              <w:right w:val="single" w:color="auto" w:sz="4" w:space="0"/>
            </w:tcBorders>
            <w:noWrap/>
            <w:vAlign w:val="center"/>
          </w:tcPr>
          <w:p w14:paraId="4768DC99">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=送戏下乡演出业务增加了就业岗位%</w:t>
            </w:r>
          </w:p>
        </w:tc>
        <w:tc>
          <w:tcPr>
            <w:tcW w:w="1027" w:type="dxa"/>
            <w:tcBorders>
              <w:top w:val="nil"/>
              <w:left w:val="nil"/>
              <w:bottom w:val="single" w:color="auto" w:sz="4" w:space="0"/>
              <w:right w:val="single" w:color="auto" w:sz="4" w:space="0"/>
            </w:tcBorders>
            <w:noWrap/>
            <w:vAlign w:val="center"/>
          </w:tcPr>
          <w:p w14:paraId="1366B685">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100%</w:t>
            </w:r>
          </w:p>
        </w:tc>
        <w:tc>
          <w:tcPr>
            <w:tcW w:w="647" w:type="dxa"/>
            <w:tcBorders>
              <w:top w:val="nil"/>
              <w:left w:val="nil"/>
              <w:bottom w:val="single" w:color="auto" w:sz="4" w:space="0"/>
              <w:right w:val="single" w:color="auto" w:sz="4" w:space="0"/>
            </w:tcBorders>
            <w:noWrap/>
            <w:vAlign w:val="center"/>
          </w:tcPr>
          <w:p w14:paraId="394B6E18">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743" w:type="dxa"/>
            <w:tcBorders>
              <w:top w:val="nil"/>
              <w:left w:val="nil"/>
              <w:bottom w:val="single" w:color="auto" w:sz="4" w:space="0"/>
              <w:right w:val="single" w:color="auto" w:sz="4" w:space="0"/>
            </w:tcBorders>
            <w:noWrap/>
            <w:vAlign w:val="center"/>
          </w:tcPr>
          <w:p w14:paraId="46459E8A">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10</w:t>
            </w:r>
          </w:p>
        </w:tc>
        <w:tc>
          <w:tcPr>
            <w:tcW w:w="1418" w:type="dxa"/>
            <w:tcBorders>
              <w:top w:val="nil"/>
              <w:left w:val="nil"/>
              <w:bottom w:val="single" w:color="auto" w:sz="4" w:space="0"/>
              <w:right w:val="single" w:color="auto" w:sz="4" w:space="0"/>
            </w:tcBorders>
            <w:noWrap/>
            <w:vAlign w:val="center"/>
          </w:tcPr>
          <w:p w14:paraId="42BE2211">
            <w:pPr>
              <w:widowControl/>
              <w:spacing w:line="260" w:lineRule="exact"/>
              <w:jc w:val="left"/>
              <w:rPr>
                <w:rFonts w:eastAsia="仿宋_GB2312"/>
                <w:color w:val="000000"/>
                <w:sz w:val="20"/>
                <w:szCs w:val="20"/>
              </w:rPr>
            </w:pPr>
            <w:r>
              <w:rPr>
                <w:rFonts w:eastAsia="仿宋_GB2312"/>
                <w:color w:val="000000"/>
                <w:sz w:val="20"/>
                <w:szCs w:val="20"/>
              </w:rPr>
              <w:t>　</w:t>
            </w:r>
          </w:p>
        </w:tc>
      </w:tr>
      <w:tr w14:paraId="039BB45A">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24DA115F">
            <w:pPr>
              <w:spacing w:line="260" w:lineRule="exact"/>
              <w:jc w:val="left"/>
              <w:rPr>
                <w:rFonts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18B50FD6">
            <w:pPr>
              <w:spacing w:line="260" w:lineRule="exact"/>
              <w:jc w:val="left"/>
              <w:rPr>
                <w:rFonts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3E2399AA">
            <w:pPr>
              <w:widowControl/>
              <w:spacing w:line="260" w:lineRule="exact"/>
              <w:jc w:val="center"/>
              <w:rPr>
                <w:rFonts w:eastAsia="仿宋_GB2312"/>
                <w:color w:val="000000"/>
                <w:sz w:val="20"/>
                <w:szCs w:val="20"/>
              </w:rPr>
            </w:pPr>
            <w:r>
              <w:rPr>
                <w:rFonts w:eastAsia="仿宋_GB2312"/>
                <w:color w:val="000000"/>
                <w:sz w:val="20"/>
                <w:szCs w:val="20"/>
              </w:rPr>
              <w:t>社会效</w:t>
            </w:r>
          </w:p>
          <w:p w14:paraId="3D43377C">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403" w:type="dxa"/>
            <w:tcBorders>
              <w:top w:val="nil"/>
              <w:left w:val="nil"/>
              <w:bottom w:val="single" w:color="auto" w:sz="4" w:space="0"/>
              <w:right w:val="single" w:color="auto" w:sz="4" w:space="0"/>
            </w:tcBorders>
            <w:noWrap/>
            <w:vAlign w:val="center"/>
          </w:tcPr>
          <w:p w14:paraId="5C08041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活跃了城乡文化生活</w:t>
            </w:r>
          </w:p>
        </w:tc>
        <w:tc>
          <w:tcPr>
            <w:tcW w:w="1552" w:type="dxa"/>
            <w:tcBorders>
              <w:top w:val="nil"/>
              <w:left w:val="nil"/>
              <w:bottom w:val="single" w:color="auto" w:sz="4" w:space="0"/>
              <w:right w:val="single" w:color="auto" w:sz="4" w:space="0"/>
            </w:tcBorders>
            <w:noWrap/>
            <w:vAlign w:val="center"/>
          </w:tcPr>
          <w:p w14:paraId="0485479C">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=活跃了城乡文化生活%</w:t>
            </w:r>
          </w:p>
        </w:tc>
        <w:tc>
          <w:tcPr>
            <w:tcW w:w="1027" w:type="dxa"/>
            <w:tcBorders>
              <w:top w:val="nil"/>
              <w:left w:val="nil"/>
              <w:bottom w:val="single" w:color="auto" w:sz="4" w:space="0"/>
              <w:right w:val="single" w:color="auto" w:sz="4" w:space="0"/>
            </w:tcBorders>
            <w:noWrap/>
            <w:vAlign w:val="center"/>
          </w:tcPr>
          <w:p w14:paraId="362ED04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647" w:type="dxa"/>
            <w:tcBorders>
              <w:top w:val="nil"/>
              <w:left w:val="nil"/>
              <w:bottom w:val="single" w:color="auto" w:sz="4" w:space="0"/>
              <w:right w:val="single" w:color="auto" w:sz="4" w:space="0"/>
            </w:tcBorders>
            <w:noWrap/>
            <w:vAlign w:val="center"/>
          </w:tcPr>
          <w:p w14:paraId="25D48C9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743" w:type="dxa"/>
            <w:tcBorders>
              <w:top w:val="nil"/>
              <w:left w:val="nil"/>
              <w:bottom w:val="single" w:color="auto" w:sz="4" w:space="0"/>
              <w:right w:val="single" w:color="auto" w:sz="4" w:space="0"/>
            </w:tcBorders>
            <w:noWrap/>
            <w:vAlign w:val="center"/>
          </w:tcPr>
          <w:p w14:paraId="286355C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1418" w:type="dxa"/>
            <w:tcBorders>
              <w:top w:val="nil"/>
              <w:left w:val="nil"/>
              <w:bottom w:val="single" w:color="auto" w:sz="4" w:space="0"/>
              <w:right w:val="single" w:color="auto" w:sz="4" w:space="0"/>
            </w:tcBorders>
            <w:noWrap/>
            <w:vAlign w:val="center"/>
          </w:tcPr>
          <w:p w14:paraId="1EE75499">
            <w:pPr>
              <w:widowControl/>
              <w:spacing w:line="260" w:lineRule="exact"/>
              <w:jc w:val="left"/>
              <w:rPr>
                <w:rFonts w:eastAsia="仿宋_GB2312"/>
                <w:color w:val="000000"/>
                <w:sz w:val="20"/>
                <w:szCs w:val="20"/>
              </w:rPr>
            </w:pPr>
            <w:r>
              <w:rPr>
                <w:rFonts w:eastAsia="仿宋_GB2312"/>
                <w:color w:val="000000"/>
                <w:sz w:val="20"/>
                <w:szCs w:val="20"/>
              </w:rPr>
              <w:t>　</w:t>
            </w:r>
          </w:p>
        </w:tc>
      </w:tr>
      <w:tr w14:paraId="401E92DB">
        <w:tblPrEx>
          <w:tblCellMar>
            <w:top w:w="0" w:type="dxa"/>
            <w:left w:w="108" w:type="dxa"/>
            <w:bottom w:w="0" w:type="dxa"/>
            <w:right w:w="108" w:type="dxa"/>
          </w:tblCellMar>
        </w:tblPrEx>
        <w:trPr>
          <w:trHeight w:val="1463"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2C2A25F7">
            <w:pPr>
              <w:spacing w:line="260" w:lineRule="exact"/>
              <w:jc w:val="left"/>
              <w:rPr>
                <w:rFonts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3867C3A3">
            <w:pPr>
              <w:spacing w:line="260" w:lineRule="exact"/>
              <w:jc w:val="left"/>
              <w:rPr>
                <w:rFonts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679D21C9">
            <w:pPr>
              <w:widowControl/>
              <w:spacing w:line="260" w:lineRule="exact"/>
              <w:jc w:val="center"/>
              <w:rPr>
                <w:rFonts w:eastAsia="仿宋_GB2312"/>
                <w:color w:val="000000"/>
                <w:sz w:val="20"/>
                <w:szCs w:val="20"/>
              </w:rPr>
            </w:pPr>
            <w:r>
              <w:rPr>
                <w:rFonts w:eastAsia="仿宋_GB2312"/>
                <w:color w:val="000000"/>
                <w:sz w:val="20"/>
                <w:szCs w:val="20"/>
              </w:rPr>
              <w:t>生态效</w:t>
            </w:r>
          </w:p>
          <w:p w14:paraId="32642AAD">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403" w:type="dxa"/>
            <w:tcBorders>
              <w:top w:val="nil"/>
              <w:left w:val="nil"/>
              <w:bottom w:val="single" w:color="auto" w:sz="4" w:space="0"/>
              <w:right w:val="single" w:color="auto" w:sz="4" w:space="0"/>
            </w:tcBorders>
            <w:noWrap/>
            <w:vAlign w:val="center"/>
          </w:tcPr>
          <w:p w14:paraId="5DB7D293">
            <w:pPr>
              <w:widowControl/>
              <w:spacing w:line="260" w:lineRule="exact"/>
              <w:jc w:val="center"/>
              <w:rPr>
                <w:rFonts w:ascii="新宋体" w:hAnsi="新宋体" w:eastAsia="新宋体" w:cs="新宋体"/>
                <w:color w:val="000000"/>
                <w:szCs w:val="21"/>
              </w:rPr>
            </w:pPr>
            <w:r>
              <w:rPr>
                <w:rFonts w:hint="eastAsia" w:eastAsia="仿宋_GB2312"/>
                <w:color w:val="000000"/>
                <w:kern w:val="0"/>
                <w:szCs w:val="21"/>
              </w:rPr>
              <w:t>基本形成了覆盖城乡、结构合理、功能健全、实用高效的公共文化服务体系</w:t>
            </w:r>
            <w:r>
              <w:rPr>
                <w:rFonts w:eastAsia="仿宋_GB2312"/>
                <w:color w:val="000000"/>
                <w:kern w:val="0"/>
                <w:szCs w:val="21"/>
              </w:rPr>
              <w:t>　</w:t>
            </w:r>
          </w:p>
        </w:tc>
        <w:tc>
          <w:tcPr>
            <w:tcW w:w="1552" w:type="dxa"/>
            <w:tcBorders>
              <w:top w:val="nil"/>
              <w:left w:val="nil"/>
              <w:bottom w:val="single" w:color="auto" w:sz="4" w:space="0"/>
              <w:right w:val="single" w:color="auto" w:sz="4" w:space="0"/>
            </w:tcBorders>
            <w:noWrap/>
            <w:vAlign w:val="center"/>
          </w:tcPr>
          <w:p w14:paraId="2888FF45">
            <w:pPr>
              <w:widowControl/>
              <w:spacing w:line="260" w:lineRule="exact"/>
              <w:jc w:val="center"/>
              <w:rPr>
                <w:rFonts w:ascii="新宋体" w:hAnsi="新宋体" w:eastAsia="新宋体" w:cs="新宋体"/>
                <w:color w:val="000000"/>
                <w:szCs w:val="21"/>
              </w:rPr>
            </w:pPr>
            <w:r>
              <w:rPr>
                <w:rFonts w:hint="eastAsia" w:ascii="新宋体" w:hAnsi="新宋体" w:eastAsia="新宋体" w:cs="新宋体"/>
                <w:color w:val="000000"/>
                <w:szCs w:val="21"/>
              </w:rPr>
              <w:t>=</w:t>
            </w:r>
            <w:r>
              <w:rPr>
                <w:rFonts w:hint="eastAsia" w:eastAsia="仿宋_GB2312"/>
                <w:color w:val="000000"/>
                <w:kern w:val="0"/>
                <w:szCs w:val="21"/>
              </w:rPr>
              <w:t>基本形成了覆盖城乡、结构合理、功能健全、实用高效的公共文化服务体系</w:t>
            </w:r>
            <w:r>
              <w:rPr>
                <w:rFonts w:eastAsia="仿宋_GB2312"/>
                <w:color w:val="000000"/>
                <w:kern w:val="0"/>
                <w:szCs w:val="21"/>
              </w:rPr>
              <w:t>　</w:t>
            </w:r>
            <w:r>
              <w:rPr>
                <w:rFonts w:hint="eastAsia" w:ascii="新宋体" w:hAnsi="新宋体" w:eastAsia="新宋体" w:cs="新宋体"/>
                <w:color w:val="000000"/>
                <w:szCs w:val="21"/>
              </w:rPr>
              <w:t>%　</w:t>
            </w:r>
          </w:p>
        </w:tc>
        <w:tc>
          <w:tcPr>
            <w:tcW w:w="1027" w:type="dxa"/>
            <w:tcBorders>
              <w:top w:val="nil"/>
              <w:left w:val="nil"/>
              <w:bottom w:val="single" w:color="auto" w:sz="4" w:space="0"/>
              <w:right w:val="single" w:color="auto" w:sz="4" w:space="0"/>
            </w:tcBorders>
            <w:noWrap/>
            <w:vAlign w:val="center"/>
          </w:tcPr>
          <w:p w14:paraId="46B9935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　</w:t>
            </w:r>
          </w:p>
        </w:tc>
        <w:tc>
          <w:tcPr>
            <w:tcW w:w="647" w:type="dxa"/>
            <w:tcBorders>
              <w:top w:val="nil"/>
              <w:left w:val="nil"/>
              <w:bottom w:val="single" w:color="auto" w:sz="4" w:space="0"/>
              <w:right w:val="single" w:color="auto" w:sz="4" w:space="0"/>
            </w:tcBorders>
            <w:noWrap/>
            <w:vAlign w:val="center"/>
          </w:tcPr>
          <w:p w14:paraId="6FE504A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　</w:t>
            </w:r>
          </w:p>
        </w:tc>
        <w:tc>
          <w:tcPr>
            <w:tcW w:w="743" w:type="dxa"/>
            <w:tcBorders>
              <w:top w:val="nil"/>
              <w:left w:val="nil"/>
              <w:bottom w:val="single" w:color="auto" w:sz="4" w:space="0"/>
              <w:right w:val="single" w:color="auto" w:sz="4" w:space="0"/>
            </w:tcBorders>
            <w:noWrap/>
            <w:vAlign w:val="center"/>
          </w:tcPr>
          <w:p w14:paraId="14285DB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　</w:t>
            </w:r>
          </w:p>
        </w:tc>
        <w:tc>
          <w:tcPr>
            <w:tcW w:w="1418" w:type="dxa"/>
            <w:tcBorders>
              <w:top w:val="nil"/>
              <w:left w:val="nil"/>
              <w:bottom w:val="single" w:color="auto" w:sz="4" w:space="0"/>
              <w:right w:val="single" w:color="auto" w:sz="4" w:space="0"/>
            </w:tcBorders>
            <w:noWrap/>
            <w:vAlign w:val="center"/>
          </w:tcPr>
          <w:p w14:paraId="25444296">
            <w:pPr>
              <w:widowControl/>
              <w:spacing w:line="260" w:lineRule="exact"/>
              <w:jc w:val="left"/>
              <w:rPr>
                <w:rFonts w:eastAsia="仿宋_GB2312"/>
                <w:color w:val="000000"/>
                <w:sz w:val="20"/>
                <w:szCs w:val="20"/>
              </w:rPr>
            </w:pPr>
            <w:r>
              <w:rPr>
                <w:rFonts w:eastAsia="仿宋_GB2312"/>
                <w:color w:val="000000"/>
                <w:sz w:val="20"/>
                <w:szCs w:val="20"/>
              </w:rPr>
              <w:t>　</w:t>
            </w:r>
          </w:p>
        </w:tc>
      </w:tr>
      <w:tr w14:paraId="31EB13AC">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7B603A7B">
            <w:pPr>
              <w:widowControl/>
              <w:spacing w:line="260" w:lineRule="exact"/>
              <w:jc w:val="center"/>
              <w:rPr>
                <w:rFonts w:eastAsia="仿宋_GB2312"/>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519715A7">
            <w:pPr>
              <w:widowControl/>
              <w:spacing w:line="260" w:lineRule="exact"/>
              <w:jc w:val="left"/>
              <w:rPr>
                <w:rFonts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513E2AA5">
            <w:pPr>
              <w:widowControl/>
              <w:spacing w:line="260" w:lineRule="exact"/>
              <w:jc w:val="center"/>
              <w:rPr>
                <w:rFonts w:eastAsia="仿宋_GB2312"/>
                <w:color w:val="000000"/>
                <w:sz w:val="20"/>
                <w:szCs w:val="20"/>
              </w:rPr>
            </w:pPr>
            <w:r>
              <w:rPr>
                <w:rFonts w:eastAsia="仿宋_GB2312"/>
                <w:color w:val="000000"/>
                <w:sz w:val="20"/>
                <w:szCs w:val="20"/>
              </w:rPr>
              <w:t>可持续</w:t>
            </w:r>
          </w:p>
          <w:p w14:paraId="11E3F8BE">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403" w:type="dxa"/>
            <w:tcBorders>
              <w:top w:val="single" w:color="auto" w:sz="4" w:space="0"/>
              <w:left w:val="single" w:color="auto" w:sz="4" w:space="0"/>
              <w:bottom w:val="single" w:color="auto" w:sz="4" w:space="0"/>
              <w:right w:val="single" w:color="auto" w:sz="4" w:space="0"/>
            </w:tcBorders>
            <w:noWrap/>
            <w:vAlign w:val="center"/>
          </w:tcPr>
          <w:p w14:paraId="11F6779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全县群众文化生活丰富</w:t>
            </w:r>
          </w:p>
        </w:tc>
        <w:tc>
          <w:tcPr>
            <w:tcW w:w="1552" w:type="dxa"/>
            <w:tcBorders>
              <w:top w:val="single" w:color="auto" w:sz="4" w:space="0"/>
              <w:left w:val="single" w:color="auto" w:sz="4" w:space="0"/>
              <w:bottom w:val="single" w:color="auto" w:sz="4" w:space="0"/>
              <w:right w:val="single" w:color="auto" w:sz="4" w:space="0"/>
            </w:tcBorders>
            <w:noWrap/>
            <w:vAlign w:val="center"/>
          </w:tcPr>
          <w:p w14:paraId="3D22EBD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=全县群众文化生活丰富%</w:t>
            </w:r>
          </w:p>
        </w:tc>
        <w:tc>
          <w:tcPr>
            <w:tcW w:w="1027" w:type="dxa"/>
            <w:tcBorders>
              <w:top w:val="single" w:color="auto" w:sz="4" w:space="0"/>
              <w:left w:val="single" w:color="auto" w:sz="4" w:space="0"/>
              <w:bottom w:val="single" w:color="auto" w:sz="4" w:space="0"/>
              <w:right w:val="single" w:color="auto" w:sz="4" w:space="0"/>
            </w:tcBorders>
            <w:noWrap/>
            <w:vAlign w:val="center"/>
          </w:tcPr>
          <w:p w14:paraId="36D4CC3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647" w:type="dxa"/>
            <w:tcBorders>
              <w:top w:val="single" w:color="auto" w:sz="4" w:space="0"/>
              <w:left w:val="single" w:color="auto" w:sz="4" w:space="0"/>
              <w:bottom w:val="single" w:color="auto" w:sz="4" w:space="0"/>
              <w:right w:val="single" w:color="auto" w:sz="4" w:space="0"/>
            </w:tcBorders>
            <w:noWrap/>
            <w:vAlign w:val="center"/>
          </w:tcPr>
          <w:p w14:paraId="46C3AD6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743" w:type="dxa"/>
            <w:tcBorders>
              <w:top w:val="single" w:color="auto" w:sz="4" w:space="0"/>
              <w:left w:val="single" w:color="auto" w:sz="4" w:space="0"/>
              <w:bottom w:val="single" w:color="auto" w:sz="4" w:space="0"/>
              <w:right w:val="single" w:color="auto" w:sz="4" w:space="0"/>
            </w:tcBorders>
            <w:noWrap/>
            <w:vAlign w:val="center"/>
          </w:tcPr>
          <w:p w14:paraId="00DD5D2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1418" w:type="dxa"/>
            <w:tcBorders>
              <w:top w:val="single" w:color="auto" w:sz="4" w:space="0"/>
              <w:left w:val="single" w:color="auto" w:sz="4" w:space="0"/>
              <w:bottom w:val="single" w:color="auto" w:sz="4" w:space="0"/>
              <w:right w:val="single" w:color="auto" w:sz="4" w:space="0"/>
            </w:tcBorders>
            <w:noWrap/>
            <w:vAlign w:val="center"/>
          </w:tcPr>
          <w:p w14:paraId="4A3CEE0F">
            <w:pPr>
              <w:widowControl/>
              <w:spacing w:line="260" w:lineRule="exact"/>
              <w:jc w:val="left"/>
              <w:rPr>
                <w:rFonts w:eastAsia="仿宋_GB2312"/>
                <w:color w:val="000000"/>
                <w:sz w:val="20"/>
                <w:szCs w:val="20"/>
              </w:rPr>
            </w:pPr>
            <w:r>
              <w:rPr>
                <w:rFonts w:eastAsia="仿宋_GB2312"/>
                <w:color w:val="000000"/>
                <w:sz w:val="20"/>
                <w:szCs w:val="20"/>
              </w:rPr>
              <w:t>　</w:t>
            </w:r>
          </w:p>
        </w:tc>
      </w:tr>
      <w:tr w14:paraId="5E87071D">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6B246BEB">
            <w:pPr>
              <w:spacing w:line="260" w:lineRule="exact"/>
              <w:jc w:val="left"/>
              <w:rPr>
                <w:rFonts w:eastAsia="仿宋_GB2312"/>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743C9A70">
            <w:pPr>
              <w:widowControl/>
              <w:spacing w:line="260" w:lineRule="exact"/>
              <w:jc w:val="center"/>
              <w:rPr>
                <w:rFonts w:eastAsia="仿宋_GB2312"/>
                <w:color w:val="000000"/>
                <w:sz w:val="20"/>
                <w:szCs w:val="20"/>
              </w:rPr>
            </w:pPr>
            <w:r>
              <w:rPr>
                <w:rFonts w:eastAsia="仿宋_GB2312"/>
                <w:color w:val="000000"/>
                <w:sz w:val="20"/>
                <w:szCs w:val="20"/>
              </w:rPr>
              <w:t>满意度</w:t>
            </w:r>
          </w:p>
          <w:p w14:paraId="4B69F9DD">
            <w:pPr>
              <w:widowControl/>
              <w:spacing w:line="260" w:lineRule="exact"/>
              <w:jc w:val="center"/>
              <w:rPr>
                <w:rFonts w:eastAsia="仿宋_GB2312"/>
                <w:color w:val="000000"/>
                <w:sz w:val="20"/>
                <w:szCs w:val="20"/>
              </w:rPr>
            </w:pPr>
            <w:r>
              <w:rPr>
                <w:rFonts w:eastAsia="仿宋_GB2312"/>
                <w:color w:val="000000"/>
                <w:sz w:val="20"/>
                <w:szCs w:val="20"/>
              </w:rPr>
              <w:t>指标</w:t>
            </w:r>
          </w:p>
          <w:p w14:paraId="1FD0E730">
            <w:pPr>
              <w:widowControl/>
              <w:spacing w:line="260" w:lineRule="exact"/>
              <w:jc w:val="center"/>
              <w:rPr>
                <w:rFonts w:eastAsia="仿宋_GB2312"/>
                <w:color w:val="000000"/>
                <w:sz w:val="20"/>
                <w:szCs w:val="20"/>
              </w:rPr>
            </w:pPr>
            <w:r>
              <w:rPr>
                <w:rFonts w:eastAsia="仿宋_GB2312"/>
                <w:color w:val="000000"/>
                <w:sz w:val="20"/>
                <w:szCs w:val="20"/>
              </w:rPr>
              <w:t>（10分）</w:t>
            </w:r>
          </w:p>
        </w:tc>
        <w:tc>
          <w:tcPr>
            <w:tcW w:w="1080" w:type="dxa"/>
            <w:tcBorders>
              <w:top w:val="single" w:color="auto" w:sz="4" w:space="0"/>
              <w:left w:val="single" w:color="auto" w:sz="4" w:space="0"/>
              <w:bottom w:val="single" w:color="auto" w:sz="4" w:space="0"/>
              <w:right w:val="single" w:color="auto" w:sz="4" w:space="0"/>
            </w:tcBorders>
            <w:noWrap/>
            <w:vAlign w:val="center"/>
          </w:tcPr>
          <w:p w14:paraId="448528D3">
            <w:pPr>
              <w:widowControl/>
              <w:spacing w:line="260" w:lineRule="exact"/>
              <w:jc w:val="center"/>
              <w:rPr>
                <w:rFonts w:eastAsia="仿宋_GB2312"/>
                <w:color w:val="000000"/>
                <w:sz w:val="20"/>
                <w:szCs w:val="20"/>
              </w:rPr>
            </w:pPr>
            <w:r>
              <w:rPr>
                <w:rFonts w:eastAsia="仿宋_GB2312"/>
                <w:color w:val="000000"/>
                <w:sz w:val="20"/>
                <w:szCs w:val="20"/>
              </w:rPr>
              <w:t>服务对象满意度</w:t>
            </w:r>
          </w:p>
          <w:p w14:paraId="2D9890F8">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403" w:type="dxa"/>
            <w:tcBorders>
              <w:top w:val="single" w:color="auto" w:sz="4" w:space="0"/>
              <w:left w:val="single" w:color="auto" w:sz="4" w:space="0"/>
              <w:bottom w:val="single" w:color="auto" w:sz="4" w:space="0"/>
              <w:right w:val="single" w:color="auto" w:sz="4" w:space="0"/>
            </w:tcBorders>
            <w:noWrap/>
            <w:vAlign w:val="center"/>
          </w:tcPr>
          <w:p w14:paraId="3E94F484">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≧95%</w:t>
            </w:r>
          </w:p>
        </w:tc>
        <w:tc>
          <w:tcPr>
            <w:tcW w:w="1552" w:type="dxa"/>
            <w:tcBorders>
              <w:top w:val="single" w:color="auto" w:sz="4" w:space="0"/>
              <w:left w:val="single" w:color="auto" w:sz="4" w:space="0"/>
              <w:bottom w:val="single" w:color="auto" w:sz="4" w:space="0"/>
              <w:right w:val="single" w:color="auto" w:sz="4" w:space="0"/>
            </w:tcBorders>
            <w:noWrap/>
            <w:vAlign w:val="center"/>
          </w:tcPr>
          <w:p w14:paraId="16AC529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1027" w:type="dxa"/>
            <w:tcBorders>
              <w:top w:val="single" w:color="auto" w:sz="4" w:space="0"/>
              <w:left w:val="single" w:color="auto" w:sz="4" w:space="0"/>
              <w:bottom w:val="single" w:color="auto" w:sz="4" w:space="0"/>
              <w:right w:val="single" w:color="auto" w:sz="4" w:space="0"/>
            </w:tcBorders>
            <w:noWrap/>
            <w:vAlign w:val="center"/>
          </w:tcPr>
          <w:p w14:paraId="5E9A613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90%　</w:t>
            </w:r>
          </w:p>
        </w:tc>
        <w:tc>
          <w:tcPr>
            <w:tcW w:w="647" w:type="dxa"/>
            <w:tcBorders>
              <w:top w:val="single" w:color="auto" w:sz="4" w:space="0"/>
              <w:left w:val="single" w:color="auto" w:sz="4" w:space="0"/>
              <w:bottom w:val="single" w:color="auto" w:sz="4" w:space="0"/>
              <w:right w:val="single" w:color="auto" w:sz="4" w:space="0"/>
            </w:tcBorders>
            <w:noWrap/>
            <w:vAlign w:val="center"/>
          </w:tcPr>
          <w:p w14:paraId="29D974C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　</w:t>
            </w:r>
          </w:p>
        </w:tc>
        <w:tc>
          <w:tcPr>
            <w:tcW w:w="743" w:type="dxa"/>
            <w:tcBorders>
              <w:top w:val="single" w:color="auto" w:sz="4" w:space="0"/>
              <w:left w:val="single" w:color="auto" w:sz="4" w:space="0"/>
              <w:bottom w:val="single" w:color="auto" w:sz="4" w:space="0"/>
              <w:right w:val="single" w:color="auto" w:sz="4" w:space="0"/>
            </w:tcBorders>
            <w:noWrap/>
            <w:vAlign w:val="center"/>
          </w:tcPr>
          <w:p w14:paraId="0B9956D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8　</w:t>
            </w:r>
          </w:p>
        </w:tc>
        <w:tc>
          <w:tcPr>
            <w:tcW w:w="1418" w:type="dxa"/>
            <w:tcBorders>
              <w:top w:val="single" w:color="auto" w:sz="4" w:space="0"/>
              <w:left w:val="single" w:color="auto" w:sz="4" w:space="0"/>
              <w:bottom w:val="single" w:color="auto" w:sz="4" w:space="0"/>
              <w:right w:val="single" w:color="auto" w:sz="4" w:space="0"/>
            </w:tcBorders>
            <w:noWrap/>
            <w:vAlign w:val="center"/>
          </w:tcPr>
          <w:p w14:paraId="1ED8712E">
            <w:pPr>
              <w:widowControl/>
              <w:spacing w:line="260" w:lineRule="exact"/>
              <w:jc w:val="left"/>
              <w:rPr>
                <w:rFonts w:eastAsia="仿宋_GB2312"/>
                <w:color w:val="000000"/>
                <w:sz w:val="20"/>
                <w:szCs w:val="20"/>
              </w:rPr>
            </w:pPr>
            <w:r>
              <w:rPr>
                <w:rFonts w:eastAsia="仿宋_GB2312"/>
                <w:color w:val="000000"/>
                <w:sz w:val="20"/>
                <w:szCs w:val="20"/>
              </w:rPr>
              <w:t>　</w:t>
            </w:r>
          </w:p>
        </w:tc>
      </w:tr>
      <w:tr w14:paraId="47B188A8">
        <w:tblPrEx>
          <w:tblCellMar>
            <w:top w:w="0" w:type="dxa"/>
            <w:left w:w="108" w:type="dxa"/>
            <w:bottom w:w="0" w:type="dxa"/>
            <w:right w:w="108" w:type="dxa"/>
          </w:tblCellMar>
        </w:tblPrEx>
        <w:trPr>
          <w:trHeight w:val="593" w:hRule="atLeast"/>
          <w:jc w:val="center"/>
        </w:trPr>
        <w:tc>
          <w:tcPr>
            <w:tcW w:w="7222" w:type="dxa"/>
            <w:gridSpan w:val="6"/>
            <w:tcBorders>
              <w:top w:val="single" w:color="auto" w:sz="4" w:space="0"/>
              <w:left w:val="single" w:color="auto" w:sz="4" w:space="0"/>
              <w:bottom w:val="single" w:color="auto" w:sz="4" w:space="0"/>
              <w:right w:val="single" w:color="000000" w:sz="4" w:space="0"/>
            </w:tcBorders>
            <w:noWrap/>
            <w:vAlign w:val="center"/>
          </w:tcPr>
          <w:p w14:paraId="5760831F">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647" w:type="dxa"/>
            <w:tcBorders>
              <w:top w:val="nil"/>
              <w:left w:val="nil"/>
              <w:bottom w:val="single" w:color="auto" w:sz="4" w:space="0"/>
              <w:right w:val="single" w:color="auto" w:sz="4" w:space="0"/>
            </w:tcBorders>
            <w:noWrap/>
            <w:vAlign w:val="center"/>
          </w:tcPr>
          <w:p w14:paraId="27C27192">
            <w:pPr>
              <w:widowControl/>
              <w:spacing w:line="260" w:lineRule="exact"/>
              <w:jc w:val="center"/>
              <w:rPr>
                <w:rFonts w:eastAsia="仿宋_GB2312"/>
                <w:color w:val="000000"/>
                <w:sz w:val="20"/>
                <w:szCs w:val="20"/>
              </w:rPr>
            </w:pPr>
            <w:r>
              <w:rPr>
                <w:rFonts w:eastAsia="仿宋_GB2312"/>
                <w:color w:val="000000"/>
                <w:sz w:val="20"/>
                <w:szCs w:val="20"/>
              </w:rPr>
              <w:t>100</w:t>
            </w:r>
          </w:p>
        </w:tc>
        <w:tc>
          <w:tcPr>
            <w:tcW w:w="743" w:type="dxa"/>
            <w:tcBorders>
              <w:top w:val="nil"/>
              <w:left w:val="nil"/>
              <w:bottom w:val="single" w:color="auto" w:sz="4" w:space="0"/>
              <w:right w:val="single" w:color="auto" w:sz="4" w:space="0"/>
            </w:tcBorders>
            <w:noWrap/>
            <w:vAlign w:val="center"/>
          </w:tcPr>
          <w:p w14:paraId="7442A9D6">
            <w:pPr>
              <w:widowControl/>
              <w:spacing w:line="260" w:lineRule="exact"/>
              <w:jc w:val="left"/>
              <w:rPr>
                <w:rFonts w:eastAsia="仿宋_GB2312"/>
                <w:color w:val="000000"/>
                <w:sz w:val="20"/>
                <w:szCs w:val="20"/>
              </w:rPr>
            </w:pPr>
            <w:r>
              <w:rPr>
                <w:rFonts w:eastAsia="仿宋_GB2312"/>
                <w:color w:val="000000"/>
                <w:sz w:val="20"/>
                <w:szCs w:val="20"/>
              </w:rPr>
              <w:t>　</w:t>
            </w:r>
            <w:r>
              <w:rPr>
                <w:rFonts w:hint="eastAsia" w:eastAsia="仿宋_GB2312"/>
                <w:color w:val="000000"/>
                <w:sz w:val="20"/>
                <w:szCs w:val="20"/>
              </w:rPr>
              <w:t>98</w:t>
            </w:r>
          </w:p>
        </w:tc>
        <w:tc>
          <w:tcPr>
            <w:tcW w:w="1418" w:type="dxa"/>
            <w:tcBorders>
              <w:top w:val="nil"/>
              <w:left w:val="nil"/>
              <w:bottom w:val="single" w:color="auto" w:sz="4" w:space="0"/>
              <w:right w:val="single" w:color="auto" w:sz="4" w:space="0"/>
            </w:tcBorders>
            <w:noWrap/>
            <w:vAlign w:val="center"/>
          </w:tcPr>
          <w:p w14:paraId="032398CD">
            <w:pPr>
              <w:widowControl/>
              <w:spacing w:line="260" w:lineRule="exact"/>
              <w:jc w:val="left"/>
              <w:rPr>
                <w:rFonts w:eastAsia="仿宋_GB2312"/>
                <w:color w:val="000000"/>
                <w:sz w:val="20"/>
                <w:szCs w:val="20"/>
              </w:rPr>
            </w:pPr>
            <w:r>
              <w:rPr>
                <w:rFonts w:eastAsia="仿宋_GB2312"/>
                <w:color w:val="000000"/>
                <w:sz w:val="20"/>
                <w:szCs w:val="20"/>
              </w:rPr>
              <w:t>　</w:t>
            </w:r>
          </w:p>
        </w:tc>
      </w:tr>
    </w:tbl>
    <w:p w14:paraId="01FC904E">
      <w:pPr>
        <w:pStyle w:val="10"/>
      </w:pPr>
    </w:p>
    <w:p w14:paraId="29809504">
      <w:pPr>
        <w:jc w:val="left"/>
        <w:rPr>
          <w:rFonts w:ascii="新宋体" w:hAnsi="新宋体" w:eastAsia="新宋体" w:cs="新宋体"/>
          <w:szCs w:val="21"/>
        </w:rPr>
      </w:pPr>
      <w:r>
        <w:rPr>
          <w:rFonts w:hint="eastAsia" w:ascii="新宋体" w:hAnsi="新宋体" w:eastAsia="新宋体" w:cs="新宋体"/>
          <w:szCs w:val="21"/>
        </w:rPr>
        <w:t>填表人：李文广  填报日期：2023.7.12  联系电话：13607405252 单位负责人签字：</w:t>
      </w:r>
    </w:p>
    <w:p w14:paraId="07424FC7">
      <w:pPr>
        <w:jc w:val="left"/>
        <w:outlineLvl w:val="0"/>
        <w:rPr>
          <w:rFonts w:ascii="新宋体" w:hAnsi="新宋体" w:eastAsia="新宋体" w:cs="新宋体"/>
          <w:szCs w:val="21"/>
        </w:rPr>
        <w:sectPr>
          <w:pgSz w:w="11906" w:h="16838"/>
          <w:pgMar w:top="1701" w:right="1417" w:bottom="1417" w:left="1417" w:header="851" w:footer="992" w:gutter="0"/>
          <w:cols w:space="0" w:num="1"/>
          <w:docGrid w:type="lines" w:linePitch="312" w:charSpace="0"/>
        </w:sectPr>
      </w:pPr>
    </w:p>
    <w:p w14:paraId="2D7FAEC4">
      <w:pPr>
        <w:rPr>
          <w:rFonts w:ascii="黑体" w:hAnsi="黑体" w:eastAsia="黑体" w:cs="黑体"/>
          <w:sz w:val="32"/>
          <w:szCs w:val="32"/>
        </w:rPr>
      </w:pPr>
      <w:r>
        <w:rPr>
          <w:rFonts w:hint="eastAsia" w:ascii="黑体" w:hAnsi="黑体" w:eastAsia="黑体" w:cs="黑体"/>
          <w:sz w:val="32"/>
          <w:szCs w:val="32"/>
        </w:rPr>
        <w:t>附件6</w:t>
      </w:r>
    </w:p>
    <w:p w14:paraId="72E971E6">
      <w:pPr>
        <w:jc w:val="center"/>
        <w:rPr>
          <w:rFonts w:eastAsia="方正小标宋_GBK"/>
          <w:sz w:val="52"/>
          <w:szCs w:val="52"/>
        </w:rPr>
      </w:pPr>
    </w:p>
    <w:p w14:paraId="0CF386F9">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2022年度华容县文化旅游广电局本级送戏下乡项目支出绩效自评报告</w:t>
      </w:r>
    </w:p>
    <w:p w14:paraId="084990FD">
      <w:pPr>
        <w:jc w:val="center"/>
        <w:rPr>
          <w:rFonts w:eastAsia="方正小标宋_GBK"/>
          <w:b/>
          <w:sz w:val="52"/>
          <w:szCs w:val="52"/>
        </w:rPr>
      </w:pPr>
    </w:p>
    <w:p w14:paraId="71AF23D8">
      <w:pPr>
        <w:jc w:val="center"/>
        <w:rPr>
          <w:rFonts w:eastAsia="楷体_GB2312"/>
          <w:b/>
          <w:sz w:val="32"/>
          <w:szCs w:val="32"/>
        </w:rPr>
      </w:pPr>
    </w:p>
    <w:p w14:paraId="5DC7A46F">
      <w:pPr>
        <w:jc w:val="center"/>
        <w:rPr>
          <w:rFonts w:eastAsia="楷体_GB2312"/>
          <w:b/>
          <w:sz w:val="32"/>
          <w:szCs w:val="32"/>
        </w:rPr>
      </w:pPr>
    </w:p>
    <w:p w14:paraId="456FAAF1">
      <w:pPr>
        <w:jc w:val="center"/>
        <w:rPr>
          <w:rFonts w:eastAsia="楷体_GB2312"/>
          <w:b/>
          <w:sz w:val="32"/>
          <w:szCs w:val="32"/>
        </w:rPr>
      </w:pPr>
    </w:p>
    <w:p w14:paraId="45917780">
      <w:pPr>
        <w:jc w:val="center"/>
        <w:rPr>
          <w:rFonts w:eastAsia="楷体_GB2312"/>
          <w:b/>
          <w:sz w:val="32"/>
          <w:szCs w:val="32"/>
        </w:rPr>
      </w:pPr>
    </w:p>
    <w:p w14:paraId="761DB832">
      <w:pPr>
        <w:jc w:val="center"/>
        <w:rPr>
          <w:rFonts w:eastAsia="楷体_GB2312"/>
          <w:b/>
          <w:sz w:val="32"/>
          <w:szCs w:val="32"/>
        </w:rPr>
      </w:pPr>
    </w:p>
    <w:p w14:paraId="05C80861">
      <w:pPr>
        <w:jc w:val="center"/>
        <w:rPr>
          <w:rFonts w:eastAsia="楷体_GB2312"/>
          <w:b/>
          <w:sz w:val="32"/>
          <w:szCs w:val="32"/>
        </w:rPr>
      </w:pPr>
    </w:p>
    <w:p w14:paraId="6F11FA20">
      <w:pPr>
        <w:jc w:val="center"/>
        <w:rPr>
          <w:rFonts w:eastAsia="黑体"/>
          <w:sz w:val="32"/>
          <w:szCs w:val="32"/>
        </w:rPr>
      </w:pPr>
    </w:p>
    <w:p w14:paraId="427E89C6">
      <w:pPr>
        <w:jc w:val="center"/>
        <w:rPr>
          <w:rFonts w:eastAsia="黑体"/>
          <w:sz w:val="32"/>
          <w:szCs w:val="32"/>
        </w:rPr>
      </w:pPr>
    </w:p>
    <w:p w14:paraId="6C99BA3D">
      <w:pPr>
        <w:rPr>
          <w:rFonts w:eastAsia="黑体"/>
          <w:sz w:val="32"/>
          <w:szCs w:val="32"/>
        </w:rPr>
      </w:pPr>
    </w:p>
    <w:p w14:paraId="025DD7AA">
      <w:pPr>
        <w:rPr>
          <w:rFonts w:eastAsia="黑体"/>
          <w:sz w:val="32"/>
          <w:szCs w:val="32"/>
        </w:rPr>
      </w:pPr>
    </w:p>
    <w:p w14:paraId="77CE9193">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14:paraId="4F58BE2F">
      <w:pPr>
        <w:pStyle w:val="2"/>
      </w:pPr>
    </w:p>
    <w:p w14:paraId="122DEC55">
      <w:pPr>
        <w:spacing w:line="600" w:lineRule="exact"/>
        <w:jc w:val="center"/>
        <w:rPr>
          <w:rFonts w:eastAsia="楷体_GB2312"/>
          <w:sz w:val="32"/>
          <w:szCs w:val="32"/>
        </w:rPr>
      </w:pPr>
      <w:r>
        <w:rPr>
          <w:rFonts w:hint="eastAsia" w:eastAsia="楷体_GB2312"/>
          <w:sz w:val="32"/>
          <w:szCs w:val="32"/>
        </w:rPr>
        <w:t>2023</w:t>
      </w:r>
      <w:r>
        <w:rPr>
          <w:rFonts w:eastAsia="楷体_GB2312"/>
          <w:sz w:val="32"/>
          <w:szCs w:val="32"/>
        </w:rPr>
        <w:t xml:space="preserve">年 </w:t>
      </w:r>
      <w:r>
        <w:rPr>
          <w:rFonts w:hint="eastAsia" w:eastAsia="楷体_GB2312"/>
          <w:sz w:val="32"/>
          <w:szCs w:val="32"/>
        </w:rPr>
        <w:t>7</w:t>
      </w:r>
      <w:r>
        <w:rPr>
          <w:rFonts w:eastAsia="楷体_GB2312"/>
          <w:sz w:val="32"/>
          <w:szCs w:val="32"/>
        </w:rPr>
        <w:t xml:space="preserve"> 月 </w:t>
      </w:r>
      <w:r>
        <w:rPr>
          <w:rFonts w:hint="eastAsia" w:eastAsia="楷体_GB2312"/>
          <w:sz w:val="32"/>
          <w:szCs w:val="32"/>
        </w:rPr>
        <w:t>12</w:t>
      </w:r>
      <w:r>
        <w:rPr>
          <w:rFonts w:eastAsia="楷体_GB2312"/>
          <w:sz w:val="32"/>
          <w:szCs w:val="32"/>
        </w:rPr>
        <w:t>日</w:t>
      </w:r>
    </w:p>
    <w:p w14:paraId="0E66AF87">
      <w:pPr>
        <w:spacing w:line="640" w:lineRule="exact"/>
        <w:jc w:val="center"/>
        <w:rPr>
          <w:rFonts w:hint="eastAsia" w:ascii="方正小标宋简体" w:hAnsi="方正小标宋简体" w:eastAsia="方正小标宋简体" w:cs="方正小标宋简体"/>
          <w:sz w:val="44"/>
          <w:szCs w:val="44"/>
        </w:rPr>
      </w:pPr>
      <w:r>
        <w:rPr>
          <w:rFonts w:eastAsia="仿宋_GB2312"/>
          <w:sz w:val="32"/>
          <w:szCs w:val="32"/>
        </w:rPr>
        <w:br w:type="page"/>
      </w:r>
      <w:r>
        <w:rPr>
          <w:rFonts w:hint="eastAsia" w:ascii="方正小标宋简体" w:hAnsi="方正小标宋简体" w:eastAsia="方正小标宋简体" w:cs="方正小标宋简体"/>
          <w:sz w:val="44"/>
          <w:szCs w:val="44"/>
        </w:rPr>
        <w:t>2022年度华容县文化旅游广电局本级</w:t>
      </w:r>
    </w:p>
    <w:p w14:paraId="5159BCE2">
      <w:pPr>
        <w:spacing w:line="640" w:lineRule="exact"/>
        <w:jc w:val="center"/>
        <w:rPr>
          <w:rFonts w:ascii="黑体" w:hAnsi="黑体" w:eastAsia="黑体" w:cs="黑体"/>
          <w:sz w:val="30"/>
          <w:szCs w:val="30"/>
        </w:rPr>
      </w:pPr>
      <w:r>
        <w:rPr>
          <w:rFonts w:hint="eastAsia" w:ascii="方正小标宋简体" w:hAnsi="方正小标宋简体" w:eastAsia="方正小标宋简体" w:cs="方正小标宋简体"/>
          <w:sz w:val="44"/>
          <w:szCs w:val="44"/>
        </w:rPr>
        <w:t>送戏下乡项目支出绩效自评报告</w:t>
      </w:r>
    </w:p>
    <w:p w14:paraId="24F063E4">
      <w:pPr>
        <w:spacing w:line="540" w:lineRule="exact"/>
        <w:ind w:firstLine="600" w:firstLineChars="200"/>
        <w:rPr>
          <w:rFonts w:hint="eastAsia" w:ascii="黑体" w:hAnsi="黑体" w:eastAsia="黑体" w:cs="黑体"/>
          <w:sz w:val="30"/>
          <w:szCs w:val="30"/>
        </w:rPr>
      </w:pPr>
    </w:p>
    <w:p w14:paraId="71C8478C">
      <w:pPr>
        <w:spacing w:line="5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一、基本情况</w:t>
      </w:r>
    </w:p>
    <w:p w14:paraId="4E0A9FEA">
      <w:pPr>
        <w:spacing w:line="540" w:lineRule="exact"/>
        <w:ind w:firstLine="643" w:firstLineChars="200"/>
        <w:rPr>
          <w:rFonts w:hint="eastAsia" w:ascii="楷体" w:hAnsi="楷体" w:eastAsia="楷体" w:cs="仿宋"/>
          <w:b/>
          <w:sz w:val="32"/>
          <w:szCs w:val="32"/>
        </w:rPr>
      </w:pPr>
      <w:r>
        <w:rPr>
          <w:rFonts w:hint="eastAsia" w:ascii="楷体" w:hAnsi="楷体" w:eastAsia="楷体" w:cs="仿宋"/>
          <w:b/>
          <w:sz w:val="32"/>
          <w:szCs w:val="32"/>
        </w:rPr>
        <w:t>(一)项目概况。</w:t>
      </w:r>
    </w:p>
    <w:p w14:paraId="624B62EC">
      <w:pPr>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按照岳阳市文化旅游广电局《关于下达2021年“送戏曲进万村、送书画进万家”演出场次任务的通知》的要求，我县财政2022年度拨付送戏下乡专项资金40.00万元，加强我县文化事业的发展。</w:t>
      </w:r>
    </w:p>
    <w:p w14:paraId="43900D3D">
      <w:pPr>
        <w:spacing w:line="540" w:lineRule="exact"/>
        <w:ind w:firstLine="643" w:firstLineChars="200"/>
        <w:rPr>
          <w:rFonts w:hint="eastAsia" w:ascii="楷体" w:hAnsi="楷体" w:eastAsia="楷体" w:cs="仿宋"/>
          <w:b/>
          <w:sz w:val="32"/>
          <w:szCs w:val="32"/>
        </w:rPr>
      </w:pPr>
      <w:r>
        <w:rPr>
          <w:rFonts w:hint="eastAsia" w:ascii="楷体" w:hAnsi="楷体" w:eastAsia="楷体" w:cs="仿宋"/>
          <w:b/>
          <w:sz w:val="32"/>
          <w:szCs w:val="32"/>
        </w:rPr>
        <w:t>（二）项目绩效目标。</w:t>
      </w:r>
    </w:p>
    <w:p w14:paraId="2B55CB4B">
      <w:pPr>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组建3支文化演出队伍（文化馆演出队、艺术团演出队、汇和文化传媒有限公司），全年共送戏下乡80场，每场5000元（包括节目生产、灯光音响设备租赁及其他费用）。</w:t>
      </w:r>
    </w:p>
    <w:p w14:paraId="29F589D8">
      <w:pPr>
        <w:spacing w:line="5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二、绩效评价工作开展情况</w:t>
      </w:r>
    </w:p>
    <w:p w14:paraId="1C8559B1">
      <w:pPr>
        <w:spacing w:line="540" w:lineRule="exact"/>
        <w:ind w:firstLine="643" w:firstLineChars="200"/>
        <w:rPr>
          <w:rFonts w:hint="eastAsia" w:ascii="楷体" w:hAnsi="楷体" w:eastAsia="楷体" w:cs="仿宋"/>
          <w:b/>
          <w:sz w:val="32"/>
          <w:szCs w:val="32"/>
        </w:rPr>
      </w:pPr>
      <w:r>
        <w:rPr>
          <w:rFonts w:hint="eastAsia" w:ascii="楷体" w:hAnsi="楷体" w:eastAsia="楷体" w:cs="仿宋"/>
          <w:b/>
          <w:sz w:val="32"/>
          <w:szCs w:val="32"/>
        </w:rPr>
        <w:t>（一）资金投入情况分析。</w:t>
      </w:r>
    </w:p>
    <w:p w14:paraId="17704A64">
      <w:pPr>
        <w:spacing w:line="540" w:lineRule="exact"/>
        <w:ind w:firstLine="643" w:firstLineChars="200"/>
        <w:rPr>
          <w:rFonts w:hint="eastAsia" w:ascii="仿宋" w:hAnsi="仿宋" w:eastAsia="仿宋" w:cs="仿宋"/>
          <w:sz w:val="32"/>
          <w:szCs w:val="32"/>
        </w:rPr>
      </w:pPr>
      <w:r>
        <w:rPr>
          <w:rFonts w:hint="eastAsia" w:ascii="仿宋" w:hAnsi="仿宋" w:eastAsia="仿宋"/>
          <w:b/>
          <w:sz w:val="32"/>
          <w:szCs w:val="32"/>
        </w:rPr>
        <w:t>1.项目资金到位情况分析。</w:t>
      </w:r>
      <w:r>
        <w:rPr>
          <w:rFonts w:hint="eastAsia" w:ascii="仿宋" w:hAnsi="仿宋" w:eastAsia="仿宋"/>
          <w:sz w:val="32"/>
          <w:szCs w:val="32"/>
        </w:rPr>
        <w:t>按照</w:t>
      </w:r>
      <w:r>
        <w:rPr>
          <w:rFonts w:hint="eastAsia" w:ascii="仿宋" w:hAnsi="仿宋" w:eastAsia="仿宋" w:cs="仿宋"/>
          <w:sz w:val="32"/>
          <w:szCs w:val="32"/>
        </w:rPr>
        <w:t>《关于下达2021年“送戏曲进万村、送书画进万家”演出场次任务的通知》的要求</w:t>
      </w:r>
      <w:r>
        <w:rPr>
          <w:rFonts w:hint="eastAsia" w:ascii="仿宋" w:hAnsi="仿宋" w:eastAsia="仿宋"/>
          <w:sz w:val="32"/>
          <w:szCs w:val="32"/>
        </w:rPr>
        <w:t>，</w:t>
      </w:r>
      <w:r>
        <w:rPr>
          <w:rFonts w:hint="eastAsia" w:ascii="仿宋" w:hAnsi="仿宋" w:eastAsia="仿宋" w:cs="仿宋"/>
          <w:sz w:val="32"/>
          <w:szCs w:val="32"/>
        </w:rPr>
        <w:t>全年共送戏下乡80场，每场5000元（包括节目生产、灯光音响设备租赁及其他费用）。</w:t>
      </w:r>
    </w:p>
    <w:p w14:paraId="234DE4D7">
      <w:pPr>
        <w:spacing w:line="540" w:lineRule="exact"/>
        <w:ind w:firstLine="643" w:firstLineChars="200"/>
        <w:rPr>
          <w:rFonts w:hint="eastAsia" w:ascii="仿宋" w:hAnsi="仿宋" w:eastAsia="仿宋"/>
          <w:sz w:val="32"/>
          <w:szCs w:val="32"/>
        </w:rPr>
      </w:pPr>
      <w:r>
        <w:rPr>
          <w:rFonts w:hint="eastAsia" w:ascii="仿宋" w:hAnsi="仿宋" w:eastAsia="仿宋"/>
          <w:b/>
          <w:sz w:val="32"/>
          <w:szCs w:val="32"/>
        </w:rPr>
        <w:t>2.项目资金执行情况。</w:t>
      </w:r>
      <w:r>
        <w:rPr>
          <w:rFonts w:hint="eastAsia" w:ascii="仿宋" w:hAnsi="仿宋" w:eastAsia="仿宋"/>
          <w:sz w:val="32"/>
          <w:szCs w:val="32"/>
        </w:rPr>
        <w:t>为了充分发挥政府资金的作用，提高资金使用效益，我局充分利用上级文化资金，深入基层，问需于民。</w:t>
      </w:r>
    </w:p>
    <w:p w14:paraId="3896EB8B">
      <w:pPr>
        <w:spacing w:line="540" w:lineRule="exact"/>
        <w:ind w:firstLine="643" w:firstLineChars="200"/>
        <w:rPr>
          <w:rFonts w:hint="eastAsia" w:ascii="仿宋" w:hAnsi="仿宋" w:eastAsia="仿宋"/>
          <w:sz w:val="32"/>
          <w:szCs w:val="32"/>
        </w:rPr>
      </w:pPr>
      <w:r>
        <w:rPr>
          <w:rFonts w:hint="eastAsia" w:ascii="仿宋" w:hAnsi="仿宋" w:eastAsia="仿宋"/>
          <w:b/>
          <w:sz w:val="32"/>
          <w:szCs w:val="32"/>
        </w:rPr>
        <w:t>3.项目资金管理情况分析。</w:t>
      </w:r>
      <w:r>
        <w:rPr>
          <w:rFonts w:hint="eastAsia" w:ascii="仿宋" w:hAnsi="仿宋" w:eastAsia="仿宋"/>
          <w:sz w:val="32"/>
          <w:szCs w:val="32"/>
        </w:rPr>
        <w:t>为规范专项资金的管理，所取得的专项资金，设立单独账页，单项目独立核算，资金全部投入我县2022年度送戏下乡资金，利用率为100%。</w:t>
      </w:r>
    </w:p>
    <w:p w14:paraId="166E163D">
      <w:pPr>
        <w:spacing w:line="540" w:lineRule="exact"/>
        <w:ind w:firstLine="643" w:firstLineChars="200"/>
        <w:rPr>
          <w:rFonts w:hint="eastAsia" w:ascii="楷体" w:hAnsi="楷体" w:eastAsia="楷体" w:cs="仿宋"/>
          <w:b/>
          <w:sz w:val="32"/>
          <w:szCs w:val="32"/>
        </w:rPr>
      </w:pPr>
      <w:r>
        <w:rPr>
          <w:rFonts w:hint="eastAsia" w:ascii="楷体" w:hAnsi="楷体" w:eastAsia="楷体" w:cs="仿宋"/>
          <w:b/>
          <w:sz w:val="32"/>
          <w:szCs w:val="32"/>
        </w:rPr>
        <w:t>（二）项目绩效指标完成情况分析。</w:t>
      </w:r>
    </w:p>
    <w:p w14:paraId="308760EF">
      <w:pPr>
        <w:spacing w:line="540" w:lineRule="exact"/>
        <w:ind w:firstLine="643" w:firstLineChars="200"/>
        <w:rPr>
          <w:rFonts w:hint="eastAsia" w:ascii="仿宋" w:hAnsi="仿宋" w:eastAsia="仿宋"/>
          <w:b/>
          <w:sz w:val="32"/>
          <w:szCs w:val="32"/>
        </w:rPr>
      </w:pPr>
      <w:r>
        <w:rPr>
          <w:rFonts w:hint="eastAsia" w:ascii="仿宋" w:hAnsi="仿宋" w:eastAsia="仿宋"/>
          <w:b/>
          <w:sz w:val="32"/>
          <w:szCs w:val="32"/>
        </w:rPr>
        <w:t>1.产出指标完成情况分析。</w:t>
      </w:r>
    </w:p>
    <w:p w14:paraId="0F1E10BA">
      <w:pPr>
        <w:spacing w:line="540" w:lineRule="exact"/>
        <w:ind w:firstLine="640" w:firstLineChars="200"/>
        <w:rPr>
          <w:rFonts w:hint="eastAsia" w:ascii="仿宋" w:hAnsi="仿宋" w:eastAsia="仿宋"/>
          <w:sz w:val="32"/>
          <w:szCs w:val="32"/>
        </w:rPr>
      </w:pPr>
      <w:r>
        <w:rPr>
          <w:rFonts w:hint="eastAsia" w:ascii="仿宋" w:hAnsi="仿宋" w:eastAsia="仿宋"/>
          <w:sz w:val="32"/>
          <w:szCs w:val="32"/>
        </w:rPr>
        <w:t>①项目完成数量。“送戏下乡”演出80场。</w:t>
      </w:r>
    </w:p>
    <w:p w14:paraId="2C776C50">
      <w:pPr>
        <w:spacing w:line="540" w:lineRule="exact"/>
        <w:ind w:firstLine="640" w:firstLineChars="200"/>
        <w:rPr>
          <w:rFonts w:hint="eastAsia" w:ascii="仿宋" w:hAnsi="仿宋" w:eastAsia="仿宋"/>
          <w:sz w:val="32"/>
          <w:szCs w:val="32"/>
        </w:rPr>
      </w:pPr>
      <w:r>
        <w:rPr>
          <w:rFonts w:hint="eastAsia" w:ascii="仿宋" w:hAnsi="仿宋" w:eastAsia="仿宋"/>
          <w:sz w:val="32"/>
          <w:szCs w:val="32"/>
        </w:rPr>
        <w:t>②项目完成质量。我局严格按照《会计法》等相关规定和要求，加强单位会计基础工作的规范性管理工作，遵循国家、省、市各级制定的财务管理办法，规定规范收支行为，做到专款专用，完善各项内部管理制度，加强对日常财务管理工作的严格把关。全面梳理业务流程、人员分工及岗位职责形成机关单位权责清晰、权责一致的责任体系。</w:t>
      </w:r>
    </w:p>
    <w:p w14:paraId="6F9B7096">
      <w:pPr>
        <w:spacing w:line="540" w:lineRule="exact"/>
        <w:ind w:firstLine="640" w:firstLineChars="200"/>
        <w:rPr>
          <w:rFonts w:hint="eastAsia" w:ascii="仿宋" w:hAnsi="仿宋" w:eastAsia="仿宋"/>
          <w:sz w:val="32"/>
          <w:szCs w:val="32"/>
        </w:rPr>
      </w:pPr>
      <w:r>
        <w:rPr>
          <w:rFonts w:hint="eastAsia" w:ascii="仿宋" w:hAnsi="仿宋" w:eastAsia="仿宋"/>
          <w:sz w:val="32"/>
          <w:szCs w:val="32"/>
        </w:rPr>
        <w:t>③项目实施进度。财政资金按照支付使用，圆满完成2022年度送戏下乡资金。</w:t>
      </w:r>
    </w:p>
    <w:p w14:paraId="04979331">
      <w:pPr>
        <w:spacing w:line="540" w:lineRule="exact"/>
        <w:ind w:firstLine="640" w:firstLineChars="200"/>
        <w:rPr>
          <w:rFonts w:hint="eastAsia" w:ascii="仿宋" w:hAnsi="仿宋" w:eastAsia="仿宋"/>
          <w:sz w:val="32"/>
          <w:szCs w:val="32"/>
        </w:rPr>
      </w:pPr>
      <w:r>
        <w:rPr>
          <w:rFonts w:hint="eastAsia" w:ascii="仿宋" w:hAnsi="仿宋" w:eastAsia="仿宋"/>
          <w:sz w:val="32"/>
          <w:szCs w:val="32"/>
        </w:rPr>
        <w:t>④项目成本节约情况。严格按照采购法规定，10万以上的项目由政府采购办统一招标，自主采购的事项严格货比三家，质优价廉者胜。</w:t>
      </w:r>
    </w:p>
    <w:p w14:paraId="33D08505">
      <w:pPr>
        <w:spacing w:line="540" w:lineRule="exact"/>
        <w:ind w:firstLine="643" w:firstLineChars="200"/>
        <w:rPr>
          <w:rFonts w:hint="eastAsia" w:ascii="仿宋" w:hAnsi="仿宋" w:eastAsia="仿宋"/>
          <w:b/>
          <w:sz w:val="32"/>
          <w:szCs w:val="32"/>
        </w:rPr>
      </w:pPr>
      <w:r>
        <w:rPr>
          <w:rFonts w:hint="eastAsia" w:ascii="仿宋" w:hAnsi="仿宋" w:eastAsia="仿宋"/>
          <w:b/>
          <w:sz w:val="32"/>
          <w:szCs w:val="32"/>
        </w:rPr>
        <w:t>2.满意度指标完成情况分析</w:t>
      </w:r>
    </w:p>
    <w:p w14:paraId="25AEEAC5">
      <w:pPr>
        <w:spacing w:line="540" w:lineRule="exact"/>
        <w:ind w:firstLine="640" w:firstLineChars="200"/>
        <w:rPr>
          <w:rFonts w:hint="eastAsia" w:ascii="仿宋" w:hAnsi="仿宋" w:eastAsia="仿宋"/>
          <w:sz w:val="32"/>
          <w:szCs w:val="32"/>
        </w:rPr>
      </w:pPr>
      <w:r>
        <w:rPr>
          <w:rFonts w:hint="eastAsia" w:ascii="仿宋" w:hAnsi="仿宋" w:eastAsia="仿宋"/>
          <w:sz w:val="32"/>
          <w:szCs w:val="32"/>
        </w:rPr>
        <w:t>我县基本形成了覆盖城乡、结构合理、功能健全、实用高效的公共文化服务体系，一系列文化活动的开展，受到广大群众的喜爱和欢迎。</w:t>
      </w:r>
    </w:p>
    <w:p w14:paraId="40C9F283">
      <w:pPr>
        <w:spacing w:line="5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三、绩效评价指标分析</w:t>
      </w:r>
    </w:p>
    <w:p w14:paraId="4FE391CC">
      <w:pPr>
        <w:spacing w:line="540" w:lineRule="exact"/>
        <w:ind w:firstLine="643" w:firstLineChars="200"/>
        <w:rPr>
          <w:rFonts w:hint="eastAsia" w:ascii="楷体" w:hAnsi="楷体" w:eastAsia="楷体" w:cs="仿宋"/>
          <w:b/>
          <w:sz w:val="32"/>
          <w:szCs w:val="32"/>
        </w:rPr>
      </w:pPr>
      <w:r>
        <w:rPr>
          <w:rFonts w:hint="eastAsia" w:ascii="楷体" w:hAnsi="楷体" w:eastAsia="楷体" w:cs="仿宋"/>
          <w:b/>
          <w:sz w:val="32"/>
          <w:szCs w:val="32"/>
        </w:rPr>
        <w:t>(一)项目决策情况。</w:t>
      </w:r>
    </w:p>
    <w:p w14:paraId="35AB526C">
      <w:pPr>
        <w:spacing w:line="540" w:lineRule="exact"/>
        <w:ind w:firstLine="640" w:firstLineChars="200"/>
        <w:rPr>
          <w:rFonts w:hint="eastAsia" w:ascii="仿宋" w:hAnsi="仿宋" w:eastAsia="仿宋"/>
          <w:sz w:val="32"/>
          <w:szCs w:val="32"/>
        </w:rPr>
      </w:pPr>
      <w:r>
        <w:rPr>
          <w:rFonts w:hint="eastAsia" w:ascii="仿宋" w:hAnsi="仿宋" w:eastAsia="仿宋"/>
          <w:sz w:val="32"/>
          <w:szCs w:val="32"/>
        </w:rPr>
        <w:t>我局严格按照《会计法》等相关规定和要求，加强单位会计基础工作的规范性管理工作，遵循国家、省、市各级制定的财务管理办法，规定规范收支行为，做到专款专用，完善各项内部管理制度，加强对日常财务管理工作的严格把关。全面梳理业务流程、人员分工及岗位职责形成机关单位权责清晰、权责一致的责任体系。</w:t>
      </w:r>
    </w:p>
    <w:p w14:paraId="019BA613">
      <w:pPr>
        <w:spacing w:line="540" w:lineRule="exact"/>
        <w:ind w:firstLine="643" w:firstLineChars="200"/>
        <w:rPr>
          <w:rFonts w:hint="eastAsia" w:ascii="楷体" w:hAnsi="楷体" w:eastAsia="楷体" w:cs="仿宋"/>
          <w:b/>
          <w:sz w:val="32"/>
          <w:szCs w:val="32"/>
        </w:rPr>
      </w:pPr>
      <w:r>
        <w:rPr>
          <w:rFonts w:hint="eastAsia" w:ascii="楷体" w:hAnsi="楷体" w:eastAsia="楷体" w:cs="仿宋"/>
          <w:b/>
          <w:sz w:val="32"/>
          <w:szCs w:val="32"/>
        </w:rPr>
        <w:t>（二）项目过程情况。</w:t>
      </w:r>
    </w:p>
    <w:p w14:paraId="42113C20">
      <w:pPr>
        <w:spacing w:line="540" w:lineRule="exact"/>
        <w:ind w:firstLine="640" w:firstLineChars="200"/>
        <w:rPr>
          <w:rFonts w:hint="eastAsia" w:ascii="仿宋" w:hAnsi="仿宋" w:eastAsia="仿宋"/>
          <w:sz w:val="32"/>
          <w:szCs w:val="32"/>
        </w:rPr>
      </w:pPr>
      <w:r>
        <w:rPr>
          <w:rFonts w:hint="eastAsia" w:ascii="仿宋" w:hAnsi="仿宋" w:eastAsia="仿宋"/>
          <w:sz w:val="32"/>
          <w:szCs w:val="32"/>
        </w:rPr>
        <w:t>组建3支文化演出队伍（文化馆演出队、艺术团演出队、汇和文化传媒有限公司）。</w:t>
      </w:r>
    </w:p>
    <w:p w14:paraId="02E9EF8A">
      <w:pPr>
        <w:spacing w:line="540" w:lineRule="exact"/>
        <w:ind w:firstLine="643" w:firstLineChars="200"/>
        <w:rPr>
          <w:rFonts w:hint="eastAsia" w:ascii="楷体" w:hAnsi="楷体" w:eastAsia="楷体" w:cs="仿宋"/>
          <w:b/>
          <w:sz w:val="32"/>
          <w:szCs w:val="32"/>
        </w:rPr>
      </w:pPr>
      <w:r>
        <w:rPr>
          <w:rFonts w:hint="eastAsia" w:ascii="楷体" w:hAnsi="楷体" w:eastAsia="楷体" w:cs="仿宋"/>
          <w:b/>
          <w:sz w:val="32"/>
          <w:szCs w:val="32"/>
        </w:rPr>
        <w:t>（三）项目产出情况。</w:t>
      </w:r>
    </w:p>
    <w:p w14:paraId="753FEEA3">
      <w:pPr>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全年共送戏下乡80场，每场5000元（包括节目生产、灯光音响设备租赁及其他费用）。</w:t>
      </w:r>
    </w:p>
    <w:p w14:paraId="1D7F63C3">
      <w:pPr>
        <w:spacing w:line="540" w:lineRule="exact"/>
        <w:ind w:firstLine="643" w:firstLineChars="200"/>
        <w:rPr>
          <w:rFonts w:hint="eastAsia" w:ascii="楷体" w:hAnsi="楷体" w:eastAsia="楷体"/>
          <w:b/>
          <w:sz w:val="32"/>
          <w:szCs w:val="32"/>
        </w:rPr>
      </w:pPr>
      <w:r>
        <w:rPr>
          <w:rFonts w:hint="eastAsia" w:ascii="楷体" w:hAnsi="楷体" w:eastAsia="楷体" w:cs="仿宋"/>
          <w:b/>
          <w:sz w:val="32"/>
          <w:szCs w:val="32"/>
        </w:rPr>
        <w:t>（四）</w:t>
      </w:r>
      <w:r>
        <w:rPr>
          <w:rFonts w:hint="eastAsia" w:ascii="楷体" w:hAnsi="楷体" w:eastAsia="楷体"/>
          <w:b/>
          <w:sz w:val="32"/>
          <w:szCs w:val="32"/>
        </w:rPr>
        <w:t>项目效益情况。</w:t>
      </w:r>
    </w:p>
    <w:p w14:paraId="3CA842C6">
      <w:pPr>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我局以我局以绩效目标实现为导向，不断夯实预算绩效管理基础，扩大绩效目标管理范围加强预算绩效目标管理，提高预算编制质量，采取有力措施加强项目资金动态监控工作。建立以局主要领导负全责，分管领导分类负责、各业务科室负责人具体负责的组织领导体制，形成上下联动、分工合作、有效衔接，积极按照时间节点推动财政资金动态监控工作，优质高效完成业务工作，并开展预算绩效评价。</w:t>
      </w:r>
    </w:p>
    <w:p w14:paraId="6D7C334F">
      <w:pPr>
        <w:spacing w:line="540" w:lineRule="exact"/>
        <w:ind w:firstLine="640" w:firstLineChars="200"/>
        <w:rPr>
          <w:rFonts w:hint="eastAsia" w:ascii="黑体" w:hAnsi="黑体" w:eastAsia="黑体" w:cs="黑体"/>
          <w:sz w:val="32"/>
          <w:szCs w:val="32"/>
        </w:rPr>
      </w:pPr>
      <w:r>
        <w:rPr>
          <w:rFonts w:hint="eastAsia" w:ascii="黑体" w:hAnsi="黑体" w:eastAsia="黑体" w:cs="仿宋"/>
          <w:sz w:val="32"/>
          <w:szCs w:val="32"/>
        </w:rPr>
        <w:t>四、</w:t>
      </w:r>
      <w:r>
        <w:rPr>
          <w:rFonts w:hint="eastAsia" w:ascii="黑体" w:hAnsi="黑体" w:eastAsia="黑体" w:cs="黑体"/>
          <w:sz w:val="32"/>
          <w:szCs w:val="32"/>
        </w:rPr>
        <w:t>主要经验及做法、存在的问题及原因分析</w:t>
      </w:r>
    </w:p>
    <w:p w14:paraId="6E361D50">
      <w:pPr>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在本次绩效评价工作中，从前期准备到组织实施，做了大量的工作，包括工作方案、计划安排、实施进程都做了详细的统筹安排，保障了2022年度项目资金绩效评价工作的顺利完成。</w:t>
      </w:r>
    </w:p>
    <w:p w14:paraId="22E67D1F">
      <w:pPr>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首先是前期准备充分。一是熟知全县项目情况，掌握项目资金名称、内容、指标、实施单位情况；二是制定项目绩效自评工作进度，按进度有条不紊开展工作。</w:t>
      </w:r>
    </w:p>
    <w:p w14:paraId="13C78112">
      <w:pPr>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其次是加强组织实施，一方面加强学习项目绩效评价的相关政策，共同探讨项目绩效自评工作的思路、方法；另一方面对各项目单位绩效自评工作的组织和实施作出安排和部署，对项目单位的绩效评价工作进行了跟踪、督查，确保工作顺利开展。</w:t>
      </w:r>
    </w:p>
    <w:p w14:paraId="5C53B62B">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主要存在的问题为：演出的节目比较单调，水准不高，演出范围不太广泛。建议进一步加强对演出节目的审查力度，扩大演出范围，请求县委县政府对文化旅游事业支持。</w:t>
      </w:r>
    </w:p>
    <w:p w14:paraId="20005826">
      <w:pPr>
        <w:pStyle w:val="13"/>
        <w:spacing w:before="0" w:beforeAutospacing="0" w:line="540" w:lineRule="exact"/>
        <w:ind w:left="420" w:firstLine="640"/>
        <w:rPr>
          <w:rFonts w:ascii="仿宋" w:hAnsi="仿宋" w:eastAsia="仿宋"/>
          <w:sz w:val="32"/>
          <w:szCs w:val="32"/>
        </w:rPr>
      </w:pPr>
    </w:p>
    <w:sectPr>
      <w:footerReference r:id="rId3" w:type="default"/>
      <w:pgSz w:w="11906" w:h="16838"/>
      <w:pgMar w:top="1984" w:right="1701" w:bottom="1984"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735158-561E-483A-9BD9-525FE0E44276}"/>
  </w:font>
  <w:font w:name="Arial">
    <w:panose1 w:val="020B0604020202020204"/>
    <w:charset w:val="01"/>
    <w:family w:val="swiss"/>
    <w:pitch w:val="default"/>
    <w:sig w:usb0="E0002EFF" w:usb1="C000785B" w:usb2="00000009" w:usb3="00000000" w:csb0="400001FF" w:csb1="FFFF0000"/>
    <w:embedRegular r:id="rId2" w:fontKey="{CFACEE69-9096-4EF2-A2D9-33CB44A5138A}"/>
  </w:font>
  <w:font w:name="黑体">
    <w:panose1 w:val="02010609060101010101"/>
    <w:charset w:val="86"/>
    <w:family w:val="auto"/>
    <w:pitch w:val="default"/>
    <w:sig w:usb0="800002BF" w:usb1="38CF7CFA" w:usb2="00000016" w:usb3="00000000" w:csb0="00040001" w:csb1="00000000"/>
    <w:embedRegular r:id="rId3" w:fontKey="{D600B936-1F47-4809-AABE-FED7B2C29709}"/>
  </w:font>
  <w:font w:name="Courier New">
    <w:panose1 w:val="02070309020205020404"/>
    <w:charset w:val="01"/>
    <w:family w:val="modern"/>
    <w:pitch w:val="default"/>
    <w:sig w:usb0="E0002EFF" w:usb1="C0007843" w:usb2="00000009" w:usb3="00000000" w:csb0="400001FF" w:csb1="FFFF0000"/>
    <w:embedRegular r:id="rId4" w:fontKey="{E9241054-4BAD-4E3E-8693-74E72D183B6D}"/>
  </w:font>
  <w:font w:name="Symbol">
    <w:panose1 w:val="05050102010706020507"/>
    <w:charset w:val="02"/>
    <w:family w:val="roman"/>
    <w:pitch w:val="default"/>
    <w:sig w:usb0="00000000" w:usb1="00000000" w:usb2="00000000" w:usb3="00000000" w:csb0="80000000" w:csb1="00000000"/>
    <w:embedRegular r:id="rId5" w:fontKey="{6B52C2B1-44FF-46B6-BBF8-F83CC6B99412}"/>
  </w:font>
  <w:font w:name="Calibri">
    <w:panose1 w:val="020F0502020204030204"/>
    <w:charset w:val="00"/>
    <w:family w:val="swiss"/>
    <w:pitch w:val="default"/>
    <w:sig w:usb0="E4002EFF" w:usb1="C000247B" w:usb2="00000009" w:usb3="00000000" w:csb0="200001FF" w:csb1="00000000"/>
    <w:embedRegular r:id="rId6" w:fontKey="{32C30918-6F89-4377-B5C5-60C6C9CFB8AC}"/>
  </w:font>
  <w:font w:name="仿宋_GB2312">
    <w:altName w:val="仿宋"/>
    <w:panose1 w:val="00000000000000000000"/>
    <w:charset w:val="86"/>
    <w:family w:val="auto"/>
    <w:pitch w:val="default"/>
    <w:sig w:usb0="00000000" w:usb1="00000000" w:usb2="00000000" w:usb3="00000000" w:csb0="00040000" w:csb1="00000000"/>
    <w:embedRegular r:id="rId7" w:fontKey="{49DC2C1D-739F-4615-B6B6-01168E7295F7}"/>
  </w:font>
  <w:font w:name="方正粗黑宋简体">
    <w:altName w:val="宋体"/>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8" w:fontKey="{373C3838-7025-4026-90BC-86F826FD3348}"/>
  </w:font>
  <w:font w:name="新宋体">
    <w:panose1 w:val="02010609030101010101"/>
    <w:charset w:val="86"/>
    <w:family w:val="modern"/>
    <w:pitch w:val="default"/>
    <w:sig w:usb0="00000203" w:usb1="288F0000" w:usb2="00000006" w:usb3="00000000" w:csb0="00040001" w:csb1="00000000"/>
    <w:embedRegular r:id="rId9" w:fontKey="{C5F3218D-A2C5-43CE-9C46-348774CF242A}"/>
  </w:font>
  <w:font w:name="方正小标宋_GBK">
    <w:altName w:val="微软雅黑"/>
    <w:panose1 w:val="00000000000000000000"/>
    <w:charset w:val="86"/>
    <w:family w:val="script"/>
    <w:pitch w:val="default"/>
    <w:sig w:usb0="00000000" w:usb1="00000000" w:usb2="00000000" w:usb3="00000000" w:csb0="00040000" w:csb1="00000000"/>
    <w:embedRegular r:id="rId10" w:fontKey="{9C03277F-281D-4B86-8AE3-661AD11B3982}"/>
  </w:font>
  <w:font w:name="方正大标宋简体">
    <w:altName w:val="微软雅黑"/>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auto"/>
    <w:pitch w:val="default"/>
    <w:sig w:usb0="00000000" w:usb1="00000000" w:usb2="00000000" w:usb3="00000000" w:csb0="00040000" w:csb1="00000000"/>
    <w:embedRegular r:id="rId11" w:fontKey="{A9A62267-FBBD-4250-B63F-20E7882435B7}"/>
  </w:font>
  <w:font w:name="仿宋">
    <w:panose1 w:val="02010609060101010101"/>
    <w:charset w:val="86"/>
    <w:family w:val="modern"/>
    <w:pitch w:val="default"/>
    <w:sig w:usb0="800002BF" w:usb1="38CF7CFA" w:usb2="00000016" w:usb3="00000000" w:csb0="00040001" w:csb1="00000000"/>
    <w:embedRegular r:id="rId12" w:fontKey="{AC046FEA-CD31-4E6B-8304-57FAE32DDC2E}"/>
  </w:font>
  <w:font w:name="楷体">
    <w:panose1 w:val="02010609060101010101"/>
    <w:charset w:val="86"/>
    <w:family w:val="modern"/>
    <w:pitch w:val="default"/>
    <w:sig w:usb0="800002BF" w:usb1="38CF7CFA" w:usb2="00000016" w:usb3="00000000" w:csb0="00040001" w:csb1="00000000"/>
    <w:embedRegular r:id="rId13" w:fontKey="{FF0CF35B-31A5-41D0-A118-0F9EDC24A078}"/>
  </w:font>
  <w:font w:name="___WRD_EMBED_SUB_38">
    <w:panose1 w:val="02010609030101010101"/>
    <w:charset w:val="86"/>
    <w:family w:val="auto"/>
    <w:pitch w:val="default"/>
    <w:sig w:usb0="00000001" w:usb1="080E0000" w:usb2="00000000" w:usb3="00000000" w:csb0="00040000" w:csb1="00000000"/>
    <w:embedRegular r:id="rId14" w:fontKey="{8041E951-ED86-4E1C-91DA-5B9AF26D5D86}"/>
  </w:font>
  <w:font w:name="Arial">
    <w:panose1 w:val="020B0604020202020204"/>
    <w:charset w:val="00"/>
    <w:family w:val="swiss"/>
    <w:pitch w:val="default"/>
    <w:sig w:usb0="E0002EFF" w:usb1="C000785B" w:usb2="00000009" w:usb3="00000000" w:csb0="400001FF" w:csb1="FFFF0000"/>
    <w:embedRegular r:id="rId15" w:fontKey="{960CBA9B-0B92-48AE-8A69-A9386B287AF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6291F">
    <w:pPr>
      <w:pStyle w:val="7"/>
      <w:jc w:val="right"/>
      <w:rPr>
        <w:rFonts w:ascii="仿宋_GB2312" w:eastAsia="仿宋_GB2312"/>
        <w:sz w:val="28"/>
        <w:szCs w:val="28"/>
      </w:rPr>
    </w:pPr>
    <w:r>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14:paraId="2B1CB433">
                <w:pPr>
                  <w:pStyle w:val="7"/>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19</w:t>
                </w:r>
                <w:r>
                  <w:rPr>
                    <w:rFonts w:ascii="仿宋_GB2312" w:eastAsia="仿宋_GB2312"/>
                    <w:sz w:val="28"/>
                    <w:szCs w:val="28"/>
                  </w:rPr>
                  <w:fldChar w:fldCharType="end"/>
                </w:r>
                <w:r>
                  <w:rPr>
                    <w:rFonts w:ascii="仿宋_GB2312" w:eastAsia="仿宋_GB2312"/>
                    <w:sz w:val="28"/>
                    <w:szCs w:val="28"/>
                  </w:rPr>
                  <w:t>-</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M0N2RjMTc2YzM1ZmU4OGMyZjE2MzEwYjQyZDc1ODQifQ=="/>
  </w:docVars>
  <w:rsids>
    <w:rsidRoot w:val="0CCB7736"/>
    <w:rsid w:val="00047FEF"/>
    <w:rsid w:val="000A3906"/>
    <w:rsid w:val="001776F1"/>
    <w:rsid w:val="00400A01"/>
    <w:rsid w:val="006F0A16"/>
    <w:rsid w:val="007078E0"/>
    <w:rsid w:val="00773328"/>
    <w:rsid w:val="00821883"/>
    <w:rsid w:val="00917857"/>
    <w:rsid w:val="00A60369"/>
    <w:rsid w:val="00A755C2"/>
    <w:rsid w:val="00AA6261"/>
    <w:rsid w:val="016A347B"/>
    <w:rsid w:val="02B50488"/>
    <w:rsid w:val="03281EC8"/>
    <w:rsid w:val="0338470A"/>
    <w:rsid w:val="034822A9"/>
    <w:rsid w:val="03D86621"/>
    <w:rsid w:val="04583A5F"/>
    <w:rsid w:val="04EE6171"/>
    <w:rsid w:val="05395EA9"/>
    <w:rsid w:val="0643431C"/>
    <w:rsid w:val="06C07969"/>
    <w:rsid w:val="07017425"/>
    <w:rsid w:val="07624026"/>
    <w:rsid w:val="08E7715F"/>
    <w:rsid w:val="09026C8A"/>
    <w:rsid w:val="091C32AD"/>
    <w:rsid w:val="0ABD557B"/>
    <w:rsid w:val="0BBB5A8D"/>
    <w:rsid w:val="0BC159E2"/>
    <w:rsid w:val="0C104906"/>
    <w:rsid w:val="0CCB7736"/>
    <w:rsid w:val="0D9E0E8D"/>
    <w:rsid w:val="0E060087"/>
    <w:rsid w:val="0EAB7397"/>
    <w:rsid w:val="0EF755B3"/>
    <w:rsid w:val="0F17035E"/>
    <w:rsid w:val="0F3F1AA3"/>
    <w:rsid w:val="0F4E168D"/>
    <w:rsid w:val="11404466"/>
    <w:rsid w:val="11963ADD"/>
    <w:rsid w:val="11EB0F5C"/>
    <w:rsid w:val="11F20483"/>
    <w:rsid w:val="131756F5"/>
    <w:rsid w:val="13343592"/>
    <w:rsid w:val="136F31F8"/>
    <w:rsid w:val="138750E0"/>
    <w:rsid w:val="13E7095B"/>
    <w:rsid w:val="14C000D7"/>
    <w:rsid w:val="15194B44"/>
    <w:rsid w:val="15A620D3"/>
    <w:rsid w:val="16A3369E"/>
    <w:rsid w:val="178536BD"/>
    <w:rsid w:val="17981921"/>
    <w:rsid w:val="18CB0322"/>
    <w:rsid w:val="19516372"/>
    <w:rsid w:val="19575CC2"/>
    <w:rsid w:val="19A80228"/>
    <w:rsid w:val="1A101464"/>
    <w:rsid w:val="1A402B73"/>
    <w:rsid w:val="1A432DD4"/>
    <w:rsid w:val="1A932CB0"/>
    <w:rsid w:val="1AB74849"/>
    <w:rsid w:val="1AC52FF2"/>
    <w:rsid w:val="1AE43998"/>
    <w:rsid w:val="1AE6175D"/>
    <w:rsid w:val="1B742AA7"/>
    <w:rsid w:val="1B9266BD"/>
    <w:rsid w:val="1BC10D18"/>
    <w:rsid w:val="1CA34935"/>
    <w:rsid w:val="1D5A640E"/>
    <w:rsid w:val="1D9E3B64"/>
    <w:rsid w:val="1E254605"/>
    <w:rsid w:val="1E2D3898"/>
    <w:rsid w:val="1F7640EC"/>
    <w:rsid w:val="20D76C5F"/>
    <w:rsid w:val="21057490"/>
    <w:rsid w:val="214A230E"/>
    <w:rsid w:val="21B052C4"/>
    <w:rsid w:val="22FF5445"/>
    <w:rsid w:val="23513E88"/>
    <w:rsid w:val="238D0E57"/>
    <w:rsid w:val="24256710"/>
    <w:rsid w:val="24A42221"/>
    <w:rsid w:val="251E7983"/>
    <w:rsid w:val="260D5D83"/>
    <w:rsid w:val="26701A30"/>
    <w:rsid w:val="274C6D50"/>
    <w:rsid w:val="27543200"/>
    <w:rsid w:val="284A2254"/>
    <w:rsid w:val="2895052E"/>
    <w:rsid w:val="292F1467"/>
    <w:rsid w:val="29786927"/>
    <w:rsid w:val="297B51B4"/>
    <w:rsid w:val="29E40467"/>
    <w:rsid w:val="29F527E2"/>
    <w:rsid w:val="2A070FB7"/>
    <w:rsid w:val="2A8E15CA"/>
    <w:rsid w:val="2A99171D"/>
    <w:rsid w:val="2B054C74"/>
    <w:rsid w:val="2B705FC6"/>
    <w:rsid w:val="2BF35971"/>
    <w:rsid w:val="2C487650"/>
    <w:rsid w:val="2C76037E"/>
    <w:rsid w:val="2DA7653E"/>
    <w:rsid w:val="2DEC037E"/>
    <w:rsid w:val="2E4F43C0"/>
    <w:rsid w:val="2E5A3DAC"/>
    <w:rsid w:val="2E7A2856"/>
    <w:rsid w:val="2EC7368E"/>
    <w:rsid w:val="2F2139A5"/>
    <w:rsid w:val="2FA4127F"/>
    <w:rsid w:val="30707DCF"/>
    <w:rsid w:val="30E15A89"/>
    <w:rsid w:val="30FB4B41"/>
    <w:rsid w:val="315A22D3"/>
    <w:rsid w:val="31621165"/>
    <w:rsid w:val="323C5548"/>
    <w:rsid w:val="32597306"/>
    <w:rsid w:val="329F4483"/>
    <w:rsid w:val="336E3E55"/>
    <w:rsid w:val="33A16DA7"/>
    <w:rsid w:val="33D93B09"/>
    <w:rsid w:val="35B4270B"/>
    <w:rsid w:val="37450F88"/>
    <w:rsid w:val="37D6106F"/>
    <w:rsid w:val="38055CC8"/>
    <w:rsid w:val="389B749B"/>
    <w:rsid w:val="38F862EB"/>
    <w:rsid w:val="39343807"/>
    <w:rsid w:val="39887BBC"/>
    <w:rsid w:val="3A53023B"/>
    <w:rsid w:val="3AF42D2D"/>
    <w:rsid w:val="3B3A041F"/>
    <w:rsid w:val="3B59279F"/>
    <w:rsid w:val="3BAE6BF9"/>
    <w:rsid w:val="3C212F82"/>
    <w:rsid w:val="3CA4104C"/>
    <w:rsid w:val="3CCA47F2"/>
    <w:rsid w:val="3CDE0708"/>
    <w:rsid w:val="3D5877DF"/>
    <w:rsid w:val="3DC55CAA"/>
    <w:rsid w:val="3DD556CA"/>
    <w:rsid w:val="3F450429"/>
    <w:rsid w:val="3FB42DB1"/>
    <w:rsid w:val="40226C80"/>
    <w:rsid w:val="40A85CE6"/>
    <w:rsid w:val="40C451A5"/>
    <w:rsid w:val="4156470B"/>
    <w:rsid w:val="41630D72"/>
    <w:rsid w:val="41943ACE"/>
    <w:rsid w:val="41D40819"/>
    <w:rsid w:val="425D4066"/>
    <w:rsid w:val="42D737C5"/>
    <w:rsid w:val="43173FD4"/>
    <w:rsid w:val="44143822"/>
    <w:rsid w:val="44654A12"/>
    <w:rsid w:val="457C5F26"/>
    <w:rsid w:val="482D3E87"/>
    <w:rsid w:val="48BF0239"/>
    <w:rsid w:val="49CF255F"/>
    <w:rsid w:val="4A5A50CB"/>
    <w:rsid w:val="4B2C5DCD"/>
    <w:rsid w:val="4B5E50E8"/>
    <w:rsid w:val="4B7D1173"/>
    <w:rsid w:val="4BE27C16"/>
    <w:rsid w:val="4C150E22"/>
    <w:rsid w:val="4C36762B"/>
    <w:rsid w:val="4C6A38FC"/>
    <w:rsid w:val="4C773D77"/>
    <w:rsid w:val="4CE74BC3"/>
    <w:rsid w:val="4CF5000E"/>
    <w:rsid w:val="4D740761"/>
    <w:rsid w:val="4DB17672"/>
    <w:rsid w:val="4F7D4F18"/>
    <w:rsid w:val="4F8F78A9"/>
    <w:rsid w:val="4FD91453"/>
    <w:rsid w:val="50AC44C4"/>
    <w:rsid w:val="50EA6DB9"/>
    <w:rsid w:val="51CA7471"/>
    <w:rsid w:val="521C2FA3"/>
    <w:rsid w:val="522529B2"/>
    <w:rsid w:val="53910AF4"/>
    <w:rsid w:val="54DD3310"/>
    <w:rsid w:val="555952B3"/>
    <w:rsid w:val="556B5A36"/>
    <w:rsid w:val="55AE0069"/>
    <w:rsid w:val="55AF40BB"/>
    <w:rsid w:val="56B94FF6"/>
    <w:rsid w:val="56F72F7C"/>
    <w:rsid w:val="57D83DFC"/>
    <w:rsid w:val="580B75BE"/>
    <w:rsid w:val="586243BF"/>
    <w:rsid w:val="58676F42"/>
    <w:rsid w:val="58FD3402"/>
    <w:rsid w:val="59916E45"/>
    <w:rsid w:val="59F60B1C"/>
    <w:rsid w:val="5AAF7799"/>
    <w:rsid w:val="5B5C1753"/>
    <w:rsid w:val="5E134100"/>
    <w:rsid w:val="5E4364F9"/>
    <w:rsid w:val="5F7A1C50"/>
    <w:rsid w:val="601C4AB5"/>
    <w:rsid w:val="60BE691E"/>
    <w:rsid w:val="61444403"/>
    <w:rsid w:val="61AF3E33"/>
    <w:rsid w:val="62123D64"/>
    <w:rsid w:val="62265BDF"/>
    <w:rsid w:val="62E1699A"/>
    <w:rsid w:val="63CD5B11"/>
    <w:rsid w:val="64147F0D"/>
    <w:rsid w:val="64342361"/>
    <w:rsid w:val="64D66362"/>
    <w:rsid w:val="650D16B0"/>
    <w:rsid w:val="65633685"/>
    <w:rsid w:val="65860217"/>
    <w:rsid w:val="667E0AA1"/>
    <w:rsid w:val="66F469E4"/>
    <w:rsid w:val="66FA4F74"/>
    <w:rsid w:val="688A2F04"/>
    <w:rsid w:val="68FB17C3"/>
    <w:rsid w:val="695F12F9"/>
    <w:rsid w:val="69636C3A"/>
    <w:rsid w:val="69CF7B2C"/>
    <w:rsid w:val="6A0B0004"/>
    <w:rsid w:val="6A224DE7"/>
    <w:rsid w:val="6A582B8E"/>
    <w:rsid w:val="6AB4219F"/>
    <w:rsid w:val="6AE058A1"/>
    <w:rsid w:val="6BA1010E"/>
    <w:rsid w:val="6CE47E41"/>
    <w:rsid w:val="6CED5810"/>
    <w:rsid w:val="6CF92413"/>
    <w:rsid w:val="6DFE5E04"/>
    <w:rsid w:val="6E87203D"/>
    <w:rsid w:val="6F9278BB"/>
    <w:rsid w:val="6FC72954"/>
    <w:rsid w:val="71367ED5"/>
    <w:rsid w:val="71572F19"/>
    <w:rsid w:val="719B7427"/>
    <w:rsid w:val="71AF00CC"/>
    <w:rsid w:val="722C2B09"/>
    <w:rsid w:val="724A6793"/>
    <w:rsid w:val="7284642B"/>
    <w:rsid w:val="73AB1F81"/>
    <w:rsid w:val="741F26FA"/>
    <w:rsid w:val="742F4960"/>
    <w:rsid w:val="74470DF8"/>
    <w:rsid w:val="749D5D6D"/>
    <w:rsid w:val="75FD1676"/>
    <w:rsid w:val="799536BA"/>
    <w:rsid w:val="7AE30FB6"/>
    <w:rsid w:val="7B170752"/>
    <w:rsid w:val="7B2C1554"/>
    <w:rsid w:val="7B8F681B"/>
    <w:rsid w:val="7DD96C0E"/>
    <w:rsid w:val="7E092D49"/>
    <w:rsid w:val="7E474F7B"/>
    <w:rsid w:val="7E522459"/>
    <w:rsid w:val="7E8F7AC1"/>
    <w:rsid w:val="7E951A78"/>
    <w:rsid w:val="7F0D3BD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Body Text"/>
    <w:basedOn w:val="1"/>
    <w:next w:val="5"/>
    <w:qFormat/>
    <w:uiPriority w:val="0"/>
    <w:pPr>
      <w:spacing w:before="100" w:beforeAutospacing="1" w:after="120"/>
    </w:pPr>
  </w:style>
  <w:style w:type="paragraph" w:styleId="5">
    <w:name w:val="Body Text 2"/>
    <w:basedOn w:val="1"/>
    <w:qFormat/>
    <w:uiPriority w:val="99"/>
    <w:pPr>
      <w:spacing w:after="120" w:line="480" w:lineRule="auto"/>
    </w:pPr>
  </w:style>
  <w:style w:type="paragraph" w:styleId="6">
    <w:name w:val="Body Text Indent"/>
    <w:basedOn w:val="1"/>
    <w:qFormat/>
    <w:uiPriority w:val="0"/>
    <w:pPr>
      <w:spacing w:after="120"/>
      <w:ind w:left="420" w:leftChars="200"/>
    </w:pPr>
  </w:style>
  <w:style w:type="paragraph" w:styleId="7">
    <w:name w:val="footer"/>
    <w:basedOn w:val="1"/>
    <w:link w:val="18"/>
    <w:qFormat/>
    <w:uiPriority w:val="99"/>
    <w:pPr>
      <w:tabs>
        <w:tab w:val="center" w:pos="4153"/>
        <w:tab w:val="right" w:pos="8306"/>
      </w:tabs>
      <w:snapToGrid w:val="0"/>
      <w:jc w:val="left"/>
    </w:pPr>
    <w:rPr>
      <w:sz w:val="18"/>
      <w:szCs w:val="18"/>
    </w:rPr>
  </w:style>
  <w:style w:type="paragraph" w:styleId="8">
    <w:name w:val="header"/>
    <w:basedOn w:val="1"/>
    <w:link w:val="1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footnote text"/>
    <w:basedOn w:val="1"/>
    <w:next w:val="1"/>
    <w:qFormat/>
    <w:uiPriority w:val="0"/>
    <w:pPr>
      <w:snapToGrid w:val="0"/>
      <w:jc w:val="left"/>
    </w:pPr>
    <w:rPr>
      <w:sz w:val="18"/>
      <w:szCs w:val="18"/>
    </w:rPr>
  </w:style>
  <w:style w:type="paragraph" w:styleId="11">
    <w:name w:val="Normal (Web)"/>
    <w:basedOn w:val="1"/>
    <w:semiHidden/>
    <w:unhideWhenUsed/>
    <w:qFormat/>
    <w:uiPriority w:val="99"/>
    <w:pPr>
      <w:spacing w:beforeAutospacing="1" w:afterAutospacing="1"/>
      <w:jc w:val="left"/>
    </w:pPr>
    <w:rPr>
      <w:kern w:val="0"/>
      <w:sz w:val="24"/>
    </w:rPr>
  </w:style>
  <w:style w:type="paragraph" w:styleId="12">
    <w:name w:val="Body Text First Indent"/>
    <w:basedOn w:val="4"/>
    <w:next w:val="1"/>
    <w:qFormat/>
    <w:uiPriority w:val="0"/>
    <w:pPr>
      <w:ind w:firstLine="420" w:firstLineChars="100"/>
    </w:pPr>
  </w:style>
  <w:style w:type="paragraph" w:styleId="13">
    <w:name w:val="Body Text First Indent 2"/>
    <w:basedOn w:val="6"/>
    <w:next w:val="12"/>
    <w:qFormat/>
    <w:uiPriority w:val="0"/>
    <w:pPr>
      <w:spacing w:before="100" w:beforeAutospacing="1" w:after="0"/>
      <w:ind w:left="0" w:firstLine="420" w:firstLineChars="200"/>
    </w:pPr>
    <w:rPr>
      <w:rFonts w:ascii="Calibri" w:hAnsi="Calibri"/>
    </w:rPr>
  </w:style>
  <w:style w:type="table" w:styleId="15">
    <w:name w:val="Table Grid"/>
    <w:basedOn w:val="1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99"/>
    <w:rPr>
      <w:rFonts w:cs="Times New Roman"/>
    </w:rPr>
  </w:style>
  <w:style w:type="character" w:customStyle="1" w:styleId="18">
    <w:name w:val="页脚 Char"/>
    <w:basedOn w:val="16"/>
    <w:link w:val="7"/>
    <w:semiHidden/>
    <w:qFormat/>
    <w:uiPriority w:val="99"/>
    <w:rPr>
      <w:sz w:val="18"/>
      <w:szCs w:val="18"/>
    </w:rPr>
  </w:style>
  <w:style w:type="character" w:customStyle="1" w:styleId="19">
    <w:name w:val="页眉 Char"/>
    <w:basedOn w:val="16"/>
    <w:link w:val="8"/>
    <w:semiHidden/>
    <w:qFormat/>
    <w:uiPriority w:val="99"/>
    <w:rPr>
      <w:sz w:val="18"/>
      <w:szCs w:val="18"/>
    </w:rPr>
  </w:style>
  <w:style w:type="paragraph" w:styleId="20">
    <w:name w:val="List Paragraph"/>
    <w:basedOn w:val="1"/>
    <w:qFormat/>
    <w:uiPriority w:val="99"/>
    <w:pPr>
      <w:ind w:firstLine="420" w:firstLineChars="200"/>
    </w:pPr>
    <w:rPr>
      <w:rFonts w:ascii="Calibri" w:hAnsi="Calibri"/>
      <w:szCs w:val="22"/>
    </w:rPr>
  </w:style>
  <w:style w:type="paragraph" w:customStyle="1" w:styleId="21">
    <w:name w:val="BodyText"/>
    <w:basedOn w:val="1"/>
    <w:next w:val="1"/>
    <w:qFormat/>
    <w:uiPriority w:val="0"/>
    <w:pPr>
      <w:widowControl/>
      <w:spacing w:before="100" w:beforeAutospacing="1" w:after="120" w:line="560" w:lineRule="exact"/>
      <w:ind w:firstLine="640" w:firstLineChars="200"/>
      <w:textAlignment w:val="baseline"/>
    </w:pPr>
    <w:rPr>
      <w:rFonts w:eastAsia="仿宋_GB2312" w:asciiTheme="minorHAnsi" w:hAnsiTheme="minorHAnsi"/>
      <w:sz w:val="32"/>
      <w:szCs w:val="32"/>
    </w:rPr>
  </w:style>
  <w:style w:type="paragraph" w:customStyle="1" w:styleId="22">
    <w:name w:val="正文首行缩进1"/>
    <w:basedOn w:val="1"/>
    <w:qFormat/>
    <w:uiPriority w:val="0"/>
    <w:pPr>
      <w:spacing w:after="120"/>
      <w:ind w:firstLine="420" w:firstLineChars="100"/>
    </w:pPr>
  </w:style>
  <w:style w:type="character" w:customStyle="1" w:styleId="23">
    <w:name w:val="print"/>
    <w:basedOn w:val="16"/>
    <w:qFormat/>
    <w:uiPriority w:val="0"/>
  </w:style>
  <w:style w:type="character" w:customStyle="1" w:styleId="24">
    <w:name w:val="time"/>
    <w:basedOn w:val="16"/>
    <w:qFormat/>
    <w:uiPriority w:val="0"/>
  </w:style>
  <w:style w:type="character" w:customStyle="1" w:styleId="25">
    <w:name w:val="font"/>
    <w:basedOn w:val="16"/>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AE7CDF-0F1C-4F12-A2CC-0117975DD5A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917</Words>
  <Characters>1133</Characters>
  <Lines>74</Lines>
  <Paragraphs>20</Paragraphs>
  <TotalTime>17</TotalTime>
  <ScaleCrop>false</ScaleCrop>
  <LinksUpToDate>false</LinksUpToDate>
  <CharactersWithSpaces>1154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2023-07-17T01:32:00Z</dcterms:created>
  <dc:creator>Administrator</dc:creator>
  <cp:lastModifiedBy>叶宏欢</cp:lastModifiedBy>
  <cp:lastPrinted>2023-07-17T01:31:00Z</cp:lastPrinted>
  <dcterms:modified xsi:type="dcterms:W3CDTF">2025-10-17T01:59:31Z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SaveFontToCloudKey">
    <vt:lpwstr>386772509_embed</vt:lpwstr>
  </property>
  <property fmtid="{D5CDD505-2E9C-101B-9397-08002B2CF9AE}" pid="4" name="ICV">
    <vt:lpwstr>22F6C65267154955AD5E17359874E52A_13</vt:lpwstr>
  </property>
  <property fmtid="{D5CDD505-2E9C-101B-9397-08002B2CF9AE}" pid="5" name="KSOTemplateDocerSaveRecord">
    <vt:lpwstr>eyJoZGlkIjoiNmFhNTIwY2JhYmJhYmFmMDMwZjE4YTRjYzM4MDkwMTQiLCJ1c2VySWQiOiIxNDgxMDAwNDg1In0=</vt:lpwstr>
  </property>
</Properties>
</file>