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jc w:val="both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4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年度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华容县禹山镇中心卫生院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整体支出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绩效自评报告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</w:p>
    <w:p>
      <w:pPr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jc w:val="both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eastAsia="黑体" w:cs="Times New Roman"/>
          <w:sz w:val="32"/>
          <w:szCs w:val="32"/>
        </w:rPr>
        <w:t>部门（单位）基本情况</w:t>
      </w:r>
    </w:p>
    <w:p>
      <w:pPr>
        <w:shd w:val="solid" w:color="FFFFFF" w:fill="auto"/>
        <w:autoSpaceDN w:val="0"/>
        <w:spacing w:line="600" w:lineRule="exact"/>
        <w:ind w:firstLine="640" w:firstLineChars="200"/>
        <w:jc w:val="left"/>
        <w:rPr>
          <w:rFonts w:hint="default" w:ascii="仿宋_GB2312" w:hAnsi="仿宋_GB2312" w:eastAsia="仿宋_GB2312" w:cs="仿宋_GB2312"/>
          <w:color w:val="auto"/>
          <w:sz w:val="32"/>
          <w:lang w:val="en-US"/>
        </w:rPr>
      </w:pPr>
      <w:r>
        <w:rPr>
          <w:rFonts w:hint="eastAsia" w:ascii="仿宋_GB2312" w:hAnsi="仿宋_GB2312" w:eastAsia="仿宋_GB2312" w:cs="仿宋_GB2312"/>
          <w:color w:val="auto"/>
          <w:sz w:val="32"/>
        </w:rPr>
        <w:t>华容县</w:t>
      </w:r>
      <w:r>
        <w:rPr>
          <w:rFonts w:hint="eastAsia" w:ascii="仿宋_GB2312" w:hAnsi="仿宋_GB2312" w:eastAsia="仿宋_GB2312" w:cs="仿宋_GB2312"/>
          <w:color w:val="auto"/>
          <w:sz w:val="32"/>
          <w:lang w:eastAsia="zh-CN"/>
        </w:rPr>
        <w:t>禹山镇中心</w:t>
      </w:r>
      <w:r>
        <w:rPr>
          <w:rFonts w:hint="eastAsia" w:ascii="仿宋_GB2312" w:hAnsi="仿宋_GB2312" w:eastAsia="仿宋_GB2312" w:cs="仿宋_GB2312"/>
          <w:color w:val="auto"/>
          <w:sz w:val="32"/>
        </w:rPr>
        <w:t>卫</w:t>
      </w:r>
      <w:r>
        <w:rPr>
          <w:rFonts w:hint="eastAsia" w:ascii="仿宋_GB2312" w:hAnsi="仿宋_GB2312" w:eastAsia="仿宋_GB2312" w:cs="仿宋_GB2312"/>
          <w:color w:val="auto"/>
          <w:sz w:val="32"/>
          <w:lang w:eastAsia="zh-CN"/>
        </w:rPr>
        <w:t>生院</w:t>
      </w:r>
      <w:r>
        <w:rPr>
          <w:rFonts w:hint="eastAsia" w:ascii="仿宋_GB2312" w:hAnsi="仿宋_GB2312" w:eastAsia="仿宋_GB2312" w:cs="仿宋_GB2312"/>
          <w:color w:val="auto"/>
          <w:sz w:val="32"/>
        </w:rPr>
        <w:t>系财政全额预算拨款单位。202</w:t>
      </w:r>
      <w:r>
        <w:rPr>
          <w:rFonts w:hint="eastAsia" w:ascii="仿宋_GB2312" w:hAnsi="仿宋_GB2312" w:eastAsia="仿宋_GB2312" w:cs="仿宋_GB2312"/>
          <w:color w:val="auto"/>
          <w:sz w:val="32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color w:val="auto"/>
          <w:sz w:val="32"/>
        </w:rPr>
        <w:t>年编制部门核实华容县</w:t>
      </w:r>
      <w:r>
        <w:rPr>
          <w:rFonts w:hint="eastAsia" w:ascii="仿宋_GB2312" w:hAnsi="仿宋_GB2312" w:eastAsia="仿宋_GB2312" w:cs="仿宋_GB2312"/>
          <w:color w:val="auto"/>
          <w:sz w:val="32"/>
          <w:lang w:eastAsia="zh-CN"/>
        </w:rPr>
        <w:t>禹山镇中心卫生院</w:t>
      </w:r>
      <w:r>
        <w:rPr>
          <w:rFonts w:hint="eastAsia" w:ascii="仿宋_GB2312" w:hAnsi="仿宋_GB2312" w:eastAsia="仿宋_GB2312" w:cs="仿宋_GB2312"/>
          <w:color w:val="auto"/>
          <w:sz w:val="32"/>
        </w:rPr>
        <w:t>卫生</w:t>
      </w:r>
      <w:r>
        <w:rPr>
          <w:rFonts w:hint="eastAsia" w:ascii="仿宋_GB2312" w:hAnsi="仿宋_GB2312" w:eastAsia="仿宋_GB2312" w:cs="仿宋_GB2312"/>
          <w:color w:val="auto"/>
          <w:sz w:val="32"/>
          <w:lang w:eastAsia="zh-CN"/>
        </w:rPr>
        <w:t>院事业</w:t>
      </w:r>
      <w:r>
        <w:rPr>
          <w:rFonts w:hint="eastAsia" w:ascii="仿宋_GB2312" w:hAnsi="仿宋_GB2312" w:eastAsia="仿宋_GB2312" w:cs="仿宋_GB2312"/>
          <w:color w:val="auto"/>
          <w:sz w:val="32"/>
        </w:rPr>
        <w:t>编制</w:t>
      </w:r>
      <w:r>
        <w:rPr>
          <w:rFonts w:hint="eastAsia" w:ascii="仿宋_GB2312" w:hAnsi="仿宋_GB2312" w:eastAsia="仿宋_GB2312" w:cs="仿宋_GB2312"/>
          <w:color w:val="auto"/>
          <w:sz w:val="32"/>
          <w:lang w:val="en-US" w:eastAsia="zh-CN"/>
        </w:rPr>
        <w:t>28</w:t>
      </w:r>
      <w:r>
        <w:rPr>
          <w:rFonts w:hint="eastAsia" w:ascii="仿宋_GB2312" w:hAnsi="仿宋_GB2312" w:eastAsia="仿宋_GB2312" w:cs="仿宋_GB2312"/>
          <w:color w:val="auto"/>
          <w:sz w:val="32"/>
        </w:rPr>
        <w:t>名，实有人员</w:t>
      </w:r>
      <w:r>
        <w:rPr>
          <w:rFonts w:hint="eastAsia" w:ascii="仿宋_GB2312" w:hAnsi="仿宋_GB2312" w:eastAsia="仿宋_GB2312" w:cs="仿宋_GB2312"/>
          <w:color w:val="auto"/>
          <w:sz w:val="32"/>
          <w:lang w:val="en-US" w:eastAsia="zh-CN"/>
        </w:rPr>
        <w:t>31</w:t>
      </w:r>
      <w:r>
        <w:rPr>
          <w:rFonts w:hint="eastAsia" w:ascii="仿宋_GB2312" w:hAnsi="仿宋_GB2312" w:eastAsia="仿宋_GB2312" w:cs="仿宋_GB2312"/>
          <w:color w:val="auto"/>
          <w:sz w:val="32"/>
        </w:rPr>
        <w:t>人</w:t>
      </w:r>
      <w:r>
        <w:rPr>
          <w:rFonts w:hint="eastAsia" w:ascii="仿宋_GB2312" w:hAnsi="仿宋_GB2312" w:eastAsia="仿宋_GB2312" w:cs="仿宋_GB2312"/>
          <w:color w:val="auto"/>
          <w:sz w:val="32"/>
          <w:lang w:val="en-US" w:eastAsia="zh-CN"/>
        </w:rPr>
        <w:t>.其中全额编制人员22人，临聘人员9人，华容县禹山镇中心卫生院单位内设机构包括：3个职能科室。医疗组、防保组、行政后勤组。</w:t>
      </w:r>
    </w:p>
    <w:p>
      <w:pPr>
        <w:pStyle w:val="2"/>
        <w:numPr>
          <w:ilvl w:val="0"/>
          <w:numId w:val="0"/>
        </w:numPr>
        <w:rPr>
          <w:rFonts w:hint="default"/>
        </w:rPr>
      </w:pPr>
    </w:p>
    <w:p>
      <w:pPr>
        <w:pStyle w:val="13"/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left="0" w:leftChars="0" w:firstLine="640" w:firstLineChars="200"/>
        <w:jc w:val="both"/>
        <w:textAlignment w:val="auto"/>
        <w:rPr>
          <w:rFonts w:hint="default" w:ascii="Times New Roman" w:hAnsi="Times New Roman" w:eastAsia="黑体" w:cs="Times New Roman"/>
          <w:kern w:val="2"/>
          <w:sz w:val="32"/>
          <w:szCs w:val="32"/>
          <w:lang w:val="en-US" w:eastAsia="zh-CN" w:bidi="ar-SA"/>
        </w:rPr>
      </w:pPr>
      <w:r>
        <w:rPr>
          <w:rFonts w:hint="default" w:ascii="Times New Roman" w:hAnsi="Times New Roman" w:eastAsia="黑体" w:cs="Times New Roman"/>
          <w:kern w:val="2"/>
          <w:sz w:val="32"/>
          <w:szCs w:val="32"/>
          <w:lang w:val="en-US" w:eastAsia="zh-CN" w:bidi="ar-SA"/>
        </w:rPr>
        <w:t>基本支出情况</w:t>
      </w:r>
    </w:p>
    <w:p>
      <w:pPr>
        <w:spacing w:line="560" w:lineRule="exact"/>
        <w:ind w:firstLine="640" w:firstLineChars="200"/>
        <w:rPr>
          <w:rFonts w:hint="eastAsia" w:ascii="华文仿宋" w:hAnsi="华文仿宋" w:eastAsia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28"/>
          <w:lang w:val="en-US" w:eastAsia="zh-CN"/>
        </w:rPr>
        <w:t>2024年华容县禹山镇中心卫生院基本支出合计649.09万元，主要是用于人员工资、社会保障缴费、临时工工资以及为保障医疗卫生机构正常运转、完成日常工作任务而发生的商品和服务支出。其中：</w:t>
      </w:r>
      <w:r>
        <w:rPr>
          <w:rFonts w:hint="eastAsia" w:ascii="仿宋_GB2312" w:hAnsi="仿宋_GB2312" w:eastAsia="仿宋_GB2312" w:cs="仿宋_GB2312"/>
          <w:sz w:val="32"/>
          <w:szCs w:val="28"/>
          <w:lang w:eastAsia="zh-CN"/>
        </w:rPr>
        <w:t>工资福利支出</w:t>
      </w:r>
      <w:r>
        <w:rPr>
          <w:rFonts w:hint="eastAsia" w:ascii="仿宋_GB2312" w:hAnsi="仿宋_GB2312" w:eastAsia="仿宋_GB2312" w:cs="仿宋_GB2312"/>
          <w:sz w:val="32"/>
          <w:szCs w:val="28"/>
          <w:lang w:val="en-US" w:eastAsia="zh-CN"/>
        </w:rPr>
        <w:t>446.18</w:t>
      </w:r>
      <w:r>
        <w:rPr>
          <w:rFonts w:hint="eastAsia" w:ascii="仿宋_GB2312" w:hAnsi="仿宋_GB2312" w:eastAsia="仿宋_GB2312" w:cs="仿宋_GB2312"/>
          <w:sz w:val="32"/>
          <w:szCs w:val="28"/>
        </w:rPr>
        <w:t>万元</w:t>
      </w:r>
      <w:r>
        <w:rPr>
          <w:rFonts w:hint="eastAsia" w:ascii="仿宋_GB2312" w:hAnsi="仿宋_GB2312" w:eastAsia="仿宋_GB2312" w:cs="仿宋_GB2312"/>
          <w:sz w:val="32"/>
          <w:szCs w:val="28"/>
          <w:lang w:eastAsia="zh-CN"/>
        </w:rPr>
        <w:t>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left="0" w:leftChars="0" w:firstLine="640" w:firstLineChars="200"/>
        <w:jc w:val="both"/>
        <w:textAlignment w:val="auto"/>
        <w:rPr>
          <w:rFonts w:hint="default" w:ascii="Times New Roman" w:hAnsi="Times New Roman" w:eastAsia="黑体" w:cs="Times New Roman"/>
          <w:kern w:val="2"/>
          <w:sz w:val="32"/>
          <w:szCs w:val="32"/>
          <w:lang w:val="en-US" w:eastAsia="zh-CN" w:bidi="ar-SA"/>
        </w:rPr>
      </w:pPr>
      <w:r>
        <w:rPr>
          <w:rFonts w:hint="default" w:ascii="Times New Roman" w:hAnsi="Times New Roman" w:eastAsia="黑体" w:cs="Times New Roman"/>
          <w:kern w:val="2"/>
          <w:sz w:val="32"/>
          <w:szCs w:val="32"/>
          <w:lang w:val="en-US" w:eastAsia="zh-CN" w:bidi="ar-SA"/>
        </w:rPr>
        <w:t>项目支出情况</w:t>
      </w:r>
    </w:p>
    <w:p>
      <w:pPr>
        <w:spacing w:line="560" w:lineRule="exact"/>
        <w:ind w:firstLine="643" w:firstLineChars="200"/>
        <w:rPr>
          <w:rFonts w:hint="eastAsia" w:ascii="Times New Roman" w:hAnsi="Times New Roman" w:eastAsia="仿宋_GB2312" w:cs="Times New Roman"/>
          <w:b/>
          <w:bCs/>
          <w:color w:val="auto"/>
          <w:kern w:val="2"/>
          <w:sz w:val="32"/>
          <w:szCs w:val="32"/>
          <w:shd w:val="clear" w:color="auto" w:fill="FFFFFF"/>
          <w:lang w:val="en-US" w:eastAsia="zh-CN" w:bidi="ar-SA"/>
        </w:rPr>
      </w:pPr>
      <w:r>
        <w:rPr>
          <w:rFonts w:hint="eastAsia" w:ascii="Times New Roman" w:hAnsi="Times New Roman" w:eastAsia="仿宋_GB2312" w:cs="Times New Roman"/>
          <w:b/>
          <w:bCs/>
          <w:color w:val="auto"/>
          <w:kern w:val="2"/>
          <w:sz w:val="32"/>
          <w:szCs w:val="32"/>
          <w:shd w:val="clear" w:color="auto" w:fill="FFFFFF"/>
          <w:lang w:val="en-US" w:eastAsia="zh-CN" w:bidi="ar-SA"/>
        </w:rPr>
        <w:t>1、项目资金安排落实、总投入等情况</w:t>
      </w:r>
    </w:p>
    <w:p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color w:val="auto"/>
          <w:sz w:val="32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28"/>
          <w:lang w:val="en-US" w:eastAsia="zh-CN"/>
        </w:rPr>
        <w:t>我部门项目资金按照年初预算的安排，按照月度与进度等安排资金落实，2024年华容县禹山镇中心卫生院整体年初项目资金合计申报362.12万元，主要是用于</w:t>
      </w:r>
      <w:r>
        <w:rPr>
          <w:rFonts w:hint="eastAsia" w:ascii="仿宋_GB2312" w:hAnsi="仿宋_GB2312" w:eastAsia="仿宋_GB2312" w:cs="仿宋_GB2312"/>
          <w:color w:val="auto"/>
          <w:sz w:val="32"/>
          <w:szCs w:val="28"/>
          <w:lang w:val="en-US" w:eastAsia="zh-CN"/>
        </w:rPr>
        <w:t>基本公共卫生服务、应急物质储备的支出。</w:t>
      </w:r>
    </w:p>
    <w:p>
      <w:pPr>
        <w:spacing w:line="560" w:lineRule="exact"/>
        <w:ind w:firstLine="643" w:firstLineChars="200"/>
        <w:rPr>
          <w:rFonts w:hint="eastAsia" w:ascii="Times New Roman" w:hAnsi="Times New Roman" w:eastAsia="仿宋_GB2312" w:cs="Times New Roman"/>
          <w:b/>
          <w:bCs/>
          <w:color w:val="auto"/>
          <w:kern w:val="2"/>
          <w:sz w:val="32"/>
          <w:szCs w:val="32"/>
          <w:shd w:val="clear" w:color="auto" w:fill="FFFFFF"/>
          <w:lang w:val="en-US" w:eastAsia="zh-CN" w:bidi="ar-SA"/>
        </w:rPr>
      </w:pPr>
      <w:r>
        <w:rPr>
          <w:rFonts w:hint="eastAsia" w:eastAsia="仿宋_GB2312" w:cs="Times New Roman"/>
          <w:b/>
          <w:bCs/>
          <w:color w:val="auto"/>
          <w:kern w:val="2"/>
          <w:sz w:val="32"/>
          <w:szCs w:val="32"/>
          <w:shd w:val="clear" w:color="auto" w:fill="FFFFFF"/>
          <w:lang w:val="en-US" w:eastAsia="zh-CN" w:bidi="ar-SA"/>
        </w:rPr>
        <w:t>2</w:t>
      </w:r>
      <w:r>
        <w:rPr>
          <w:rFonts w:hint="eastAsia" w:ascii="Times New Roman" w:hAnsi="Times New Roman" w:eastAsia="仿宋_GB2312" w:cs="Times New Roman"/>
          <w:b/>
          <w:bCs/>
          <w:color w:val="auto"/>
          <w:kern w:val="2"/>
          <w:sz w:val="32"/>
          <w:szCs w:val="32"/>
          <w:shd w:val="clear" w:color="auto" w:fill="FFFFFF"/>
          <w:lang w:val="en-US" w:eastAsia="zh-CN" w:bidi="ar-SA"/>
        </w:rPr>
        <w:t>、专项资金管理情况分析</w:t>
      </w:r>
    </w:p>
    <w:p>
      <w:pPr>
        <w:spacing w:line="600" w:lineRule="exact"/>
        <w:ind w:firstLine="470" w:firstLineChars="147"/>
        <w:jc w:val="left"/>
        <w:rPr>
          <w:rFonts w:hint="eastAsia" w:ascii="Times New Roman" w:hAnsi="Times New Roman" w:eastAsia="仿宋_GB2312" w:cs="Times New Roman"/>
          <w:color w:val="auto"/>
          <w:kern w:val="2"/>
          <w:sz w:val="32"/>
          <w:szCs w:val="32"/>
          <w:shd w:val="clear" w:color="auto" w:fill="FFFFFF"/>
          <w:lang w:val="en-US" w:eastAsia="zh-CN" w:bidi="ar-SA"/>
        </w:rPr>
      </w:pPr>
      <w:r>
        <w:rPr>
          <w:rFonts w:hint="default" w:ascii="Times New Roman" w:hAnsi="Times New Roman" w:eastAsia="仿宋_GB2312" w:cs="Times New Roman"/>
          <w:color w:val="auto"/>
          <w:kern w:val="2"/>
          <w:sz w:val="32"/>
          <w:szCs w:val="32"/>
          <w:shd w:val="clear" w:color="auto" w:fill="FFFFFF"/>
          <w:lang w:val="en-US" w:eastAsia="zh-CN" w:bidi="ar-SA"/>
        </w:rPr>
        <w:t>严格按项目资金进行管理，执行相关财务支出管理制度，资金管理制度。</w:t>
      </w:r>
      <w:r>
        <w:rPr>
          <w:rFonts w:hint="eastAsia" w:ascii="Times New Roman" w:hAnsi="Times New Roman" w:eastAsia="仿宋_GB2312" w:cs="Times New Roman"/>
          <w:color w:val="auto"/>
          <w:kern w:val="2"/>
          <w:sz w:val="32"/>
          <w:szCs w:val="32"/>
          <w:shd w:val="clear" w:color="auto" w:fill="FFFFFF"/>
          <w:lang w:val="en-US" w:eastAsia="zh-CN" w:bidi="ar-SA"/>
        </w:rPr>
        <w:t>加强项目资金专款专用管理，设立专账核算，各项目执行单位财务机构加强项目资金日常使用监督。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leftChars="200"/>
        <w:jc w:val="both"/>
        <w:textAlignment w:val="auto"/>
        <w:rPr>
          <w:rFonts w:hint="default" w:ascii="仿宋_GB2312" w:hAnsi="仿宋_GB2312" w:eastAsia="仿宋_GB2312" w:cs="仿宋_GB2312"/>
          <w:kern w:val="2"/>
          <w:sz w:val="32"/>
          <w:szCs w:val="28"/>
          <w:lang w:val="en-US" w:eastAsia="zh-CN" w:bidi="ar-SA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jc w:val="both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eastAsia" w:eastAsia="黑体" w:cs="Times New Roman"/>
          <w:sz w:val="32"/>
          <w:szCs w:val="32"/>
          <w:lang w:eastAsia="zh-CN"/>
        </w:rPr>
        <w:t>四</w:t>
      </w:r>
      <w:r>
        <w:rPr>
          <w:rFonts w:hint="default" w:ascii="Times New Roman" w:hAnsi="Times New Roman" w:eastAsia="黑体" w:cs="Times New Roman"/>
          <w:sz w:val="32"/>
          <w:szCs w:val="32"/>
        </w:rPr>
        <w:t>、部门整体支出绩效情况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</w:rPr>
      </w:pP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202</w:t>
      </w: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4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年规范化居民电子健康档案已完成196</w:t>
      </w: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11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份，建档率达99.6 %；共完成接种</w:t>
      </w: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978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针次，其中卡介苗、乙肝疫苗、脊灰疫苗、麻疹疫苗、百白破、流脑、乙脑、甲肝等免疫规划疫苗接种率均达99 %以上；0-6岁儿童健康管理人数1001人，新生儿家庭访视率100%，儿童健康管理率</w:t>
      </w: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96.43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%；共管理1</w:t>
      </w: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03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例孕产妇，早孕建册率96.43%，产后访视率100%；老年人健康管理27</w:t>
      </w: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7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2人，健康管理率62.</w:t>
      </w: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6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 xml:space="preserve"> % ;糖尿病589人，规范管理 519人，规范管理率88.62 %；高血压管理1809人,规范管理  1621人,规范管理率89.62%；严重精神障碍患者健康管理 156人，规范管理147人，规范管理率94.23%；肺结核</w:t>
      </w: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5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人，已管理</w:t>
      </w: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5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人，管理率100%，规范服药</w:t>
      </w: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5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人，规范服药率100%；接受中医药健康管理服务老年人2319人，老年人中医药健康管理率83.6 %，0-3岁儿童接受中医药健康管理服务3</w:t>
      </w: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99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人，儿童中医药健康管理服务率91.7%；卫生院均实行了传染病和突发公共卫生事件预警应急机制，传染病疫情报告率100%，及时报告率100%；卫生计生监督协管信息报告率100%。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</w:rPr>
      </w:pP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全乡家庭医生团队5个累计签约人数13581人，通过“卫宁家医平台”实现了应签尽签，签约率100%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jc w:val="both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eastAsia" w:ascii="Times New Roman" w:hAnsi="Times New Roman" w:eastAsia="黑体" w:cs="Times New Roman"/>
          <w:sz w:val="32"/>
          <w:szCs w:val="32"/>
          <w:lang w:eastAsia="zh-CN"/>
        </w:rPr>
        <w:t>五</w:t>
      </w:r>
      <w:r>
        <w:rPr>
          <w:rFonts w:hint="default" w:ascii="Times New Roman" w:hAnsi="Times New Roman" w:eastAsia="黑体" w:cs="Times New Roman"/>
          <w:sz w:val="32"/>
          <w:szCs w:val="32"/>
        </w:rPr>
        <w:t>、存在的问题及原因分析</w:t>
      </w:r>
    </w:p>
    <w:p>
      <w:pPr>
        <w:tabs>
          <w:tab w:val="center" w:pos="4153"/>
        </w:tabs>
        <w:spacing w:line="600" w:lineRule="exact"/>
        <w:ind w:firstLine="640" w:firstLineChars="200"/>
        <w:jc w:val="left"/>
        <w:rPr>
          <w:rFonts w:hint="eastAsia" w:ascii="仿宋_GB2312" w:hAnsi="宋体" w:eastAsia="仿宋_GB2312" w:cs="宋体"/>
          <w:bCs/>
          <w:sz w:val="32"/>
          <w:szCs w:val="32"/>
        </w:rPr>
      </w:pPr>
      <w:r>
        <w:rPr>
          <w:rFonts w:hint="eastAsia" w:ascii="仿宋_GB2312" w:hAnsi="宋体" w:eastAsia="仿宋_GB2312" w:cs="宋体"/>
          <w:bCs/>
          <w:sz w:val="32"/>
          <w:szCs w:val="32"/>
          <w:lang w:val="en-US" w:eastAsia="zh-CN"/>
        </w:rPr>
        <w:t>1、</w:t>
      </w:r>
      <w:r>
        <w:rPr>
          <w:rFonts w:hint="eastAsia" w:ascii="仿宋_GB2312" w:hAnsi="宋体" w:eastAsia="仿宋_GB2312" w:cs="宋体"/>
          <w:bCs/>
          <w:sz w:val="32"/>
          <w:szCs w:val="32"/>
        </w:rPr>
        <w:t>预算编制有待更严格执行。预算编制与实际支出项目有的存在差异。</w:t>
      </w:r>
      <w:r>
        <w:rPr>
          <w:rFonts w:hint="eastAsia" w:ascii="仿宋_GB2312" w:hAnsi="仿宋" w:eastAsia="仿宋_GB2312"/>
          <w:sz w:val="32"/>
          <w:szCs w:val="32"/>
          <w:lang w:val="en-US" w:eastAsia="zh-CN"/>
        </w:rPr>
        <w:t>有些工作未能找到适当的量化方式，对绩效管理量化评价方面略显不足。通过县财政局组织的预算绩效管理培训，逐步找到适合的方法对本单位的工作进行合理的分类量化，以便适应将来的预算绩效管理工作。</w:t>
      </w:r>
    </w:p>
    <w:p>
      <w:pPr>
        <w:tabs>
          <w:tab w:val="center" w:pos="4153"/>
        </w:tabs>
        <w:spacing w:line="540" w:lineRule="exact"/>
        <w:ind w:firstLine="640" w:firstLineChars="200"/>
        <w:rPr>
          <w:rFonts w:hint="eastAsia" w:ascii="仿宋_GB2312" w:hAnsi="宋体" w:eastAsia="仿宋_GB2312" w:cs="宋体"/>
          <w:bCs/>
          <w:sz w:val="32"/>
          <w:szCs w:val="32"/>
        </w:rPr>
      </w:pPr>
      <w:r>
        <w:rPr>
          <w:rFonts w:hint="eastAsia" w:ascii="仿宋_GB2312" w:hAnsi="宋体" w:eastAsia="仿宋_GB2312" w:cs="宋体"/>
          <w:bCs/>
          <w:sz w:val="32"/>
          <w:szCs w:val="32"/>
          <w:lang w:val="en-US" w:eastAsia="zh-CN"/>
        </w:rPr>
        <w:t>2、</w:t>
      </w:r>
      <w:r>
        <w:rPr>
          <w:rFonts w:hint="eastAsia" w:eastAsia="仿宋_GB2312"/>
          <w:sz w:val="32"/>
          <w:szCs w:val="32"/>
          <w:lang w:eastAsia="zh-CN"/>
        </w:rPr>
        <w:t>加强对</w:t>
      </w:r>
      <w:r>
        <w:rPr>
          <w:rFonts w:eastAsia="仿宋_GB2312"/>
          <w:sz w:val="32"/>
          <w:szCs w:val="32"/>
        </w:rPr>
        <w:t>卫生院基础设施</w:t>
      </w:r>
      <w:r>
        <w:rPr>
          <w:rFonts w:hint="eastAsia" w:eastAsia="仿宋_GB2312"/>
          <w:sz w:val="32"/>
          <w:szCs w:val="32"/>
          <w:lang w:eastAsia="zh-CN"/>
        </w:rPr>
        <w:t>及</w:t>
      </w:r>
      <w:r>
        <w:rPr>
          <w:rFonts w:eastAsia="仿宋_GB2312"/>
          <w:sz w:val="32"/>
          <w:szCs w:val="32"/>
        </w:rPr>
        <w:t>能力建设</w:t>
      </w:r>
      <w:r>
        <w:rPr>
          <w:rFonts w:hint="eastAsia" w:eastAsia="仿宋_GB2312"/>
          <w:sz w:val="32"/>
          <w:szCs w:val="32"/>
          <w:lang w:eastAsia="zh-CN"/>
        </w:rPr>
        <w:t>，</w:t>
      </w:r>
      <w:r>
        <w:rPr>
          <w:rFonts w:eastAsia="仿宋_GB2312"/>
          <w:sz w:val="32"/>
          <w:szCs w:val="32"/>
        </w:rPr>
        <w:t>抓好医疗质量安全、医疗纠纷第三方调解机制、医疗机构布局、医疗废物集中处置等工作</w:t>
      </w:r>
      <w:r>
        <w:rPr>
          <w:rFonts w:hint="eastAsia" w:ascii="仿宋_GB2312" w:hAnsi="宋体" w:eastAsia="仿宋_GB2312" w:cs="宋体"/>
          <w:bCs/>
          <w:sz w:val="32"/>
          <w:szCs w:val="32"/>
        </w:rPr>
        <w:t>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jc w:val="both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eastAsia" w:eastAsia="黑体" w:cs="Times New Roman"/>
          <w:sz w:val="32"/>
          <w:szCs w:val="32"/>
          <w:lang w:eastAsia="zh-CN"/>
        </w:rPr>
        <w:t>六</w:t>
      </w:r>
      <w:r>
        <w:rPr>
          <w:rFonts w:hint="default" w:ascii="Times New Roman" w:hAnsi="Times New Roman" w:eastAsia="黑体" w:cs="Times New Roman"/>
          <w:sz w:val="32"/>
          <w:szCs w:val="32"/>
        </w:rPr>
        <w:t>、下一步改进措施</w:t>
      </w:r>
    </w:p>
    <w:p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Autospacing="0" w:line="600" w:lineRule="atLeast"/>
        <w:ind w:firstLine="643" w:firstLineChars="200"/>
        <w:textAlignment w:val="auto"/>
        <w:rPr>
          <w:rFonts w:hint="eastAsia" w:ascii="Times New Roman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仿宋_GB2312" w:cs="Times New Roman"/>
          <w:b/>
          <w:bCs/>
          <w:color w:val="auto"/>
          <w:kern w:val="2"/>
          <w:sz w:val="32"/>
          <w:szCs w:val="32"/>
          <w:lang w:val="en-US" w:eastAsia="zh-CN" w:bidi="ar-SA"/>
        </w:rPr>
        <w:t>1.强化宣传</w:t>
      </w:r>
      <w:r>
        <w:rPr>
          <w:rFonts w:hint="eastAsia" w:ascii="Times New Roman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  <w:t>。进一步加大宣传力度，让广大城乡居民更全面了解项目的益处，提高群众知晓率，鼓励群众积极参与，自愿配合医疗卫生服务工作的开展。</w:t>
      </w:r>
      <w:bookmarkStart w:id="0" w:name="_GoBack"/>
      <w:bookmarkEnd w:id="0"/>
    </w:p>
    <w:p>
      <w:pPr>
        <w:tabs>
          <w:tab w:val="center" w:pos="4153"/>
        </w:tabs>
        <w:spacing w:line="540" w:lineRule="exact"/>
        <w:ind w:firstLine="630"/>
        <w:jc w:val="left"/>
        <w:rPr>
          <w:rFonts w:hint="eastAsia" w:ascii="仿宋_GB2312" w:hAnsi="宋体" w:eastAsia="仿宋_GB2312" w:cs="宋体"/>
          <w:b/>
          <w:sz w:val="32"/>
          <w:szCs w:val="32"/>
        </w:rPr>
      </w:pPr>
      <w:r>
        <w:rPr>
          <w:rFonts w:hint="eastAsia" w:ascii="宋体" w:hAnsi="宋体" w:eastAsia="宋体" w:cs="宋体"/>
          <w:b/>
          <w:bCs w:val="0"/>
          <w:sz w:val="32"/>
          <w:szCs w:val="32"/>
          <w:lang w:val="en-US" w:eastAsia="zh-CN"/>
        </w:rPr>
        <w:t>2.严格审核。</w:t>
      </w:r>
      <w:r>
        <w:rPr>
          <w:rFonts w:hint="eastAsia" w:ascii="Times New Roman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  <w:t>按照预算规定的项目和用途严格财务审核，经费支出严格按预算规定项目的财务支出内容进行财务核算，在预算金额内严格控制费用的支出。</w:t>
      </w:r>
    </w:p>
    <w:p>
      <w:pPr>
        <w:tabs>
          <w:tab w:val="center" w:pos="4153"/>
        </w:tabs>
        <w:spacing w:line="540" w:lineRule="exact"/>
        <w:ind w:firstLine="645"/>
        <w:jc w:val="left"/>
        <w:rPr>
          <w:rFonts w:hint="eastAsia" w:ascii="仿宋_GB2312" w:hAnsi="宋体" w:eastAsia="仿宋_GB2312" w:cs="宋体"/>
          <w:sz w:val="32"/>
          <w:szCs w:val="32"/>
          <w:shd w:val="clear" w:color="auto" w:fill="FFFFFF"/>
        </w:rPr>
      </w:pPr>
      <w:r>
        <w:rPr>
          <w:rFonts w:hint="eastAsia" w:ascii="宋体" w:hAnsi="宋体" w:eastAsia="宋体" w:cs="宋体"/>
          <w:b/>
          <w:bCs w:val="0"/>
          <w:sz w:val="32"/>
          <w:szCs w:val="32"/>
          <w:lang w:val="en-US" w:eastAsia="zh-CN"/>
        </w:rPr>
        <w:t>3.分析常态化。</w:t>
      </w:r>
      <w:r>
        <w:rPr>
          <w:rFonts w:hint="eastAsia" w:ascii="仿宋_GB2312" w:hAnsi="宋体" w:eastAsia="仿宋_GB2312" w:cs="宋体"/>
          <w:sz w:val="32"/>
          <w:szCs w:val="32"/>
          <w:shd w:val="clear" w:color="auto" w:fill="FFFFFF"/>
          <w:lang w:eastAsia="zh-CN"/>
        </w:rPr>
        <w:t>将</w:t>
      </w:r>
      <w:r>
        <w:rPr>
          <w:rFonts w:hint="eastAsia" w:ascii="仿宋_GB2312" w:hAnsi="宋体" w:eastAsia="仿宋_GB2312" w:cs="宋体"/>
          <w:sz w:val="32"/>
          <w:szCs w:val="32"/>
          <w:shd w:val="clear" w:color="auto" w:fill="FFFFFF"/>
        </w:rPr>
        <w:t>预算财务分析常态化，定期做好预算支出财务分析，做好</w:t>
      </w:r>
      <w:r>
        <w:rPr>
          <w:rFonts w:hint="eastAsia" w:ascii="仿宋_GB2312" w:hAnsi="宋体" w:eastAsia="仿宋_GB2312" w:cs="宋体"/>
          <w:sz w:val="32"/>
          <w:szCs w:val="32"/>
          <w:shd w:val="clear" w:color="auto" w:fill="FFFFFF"/>
          <w:lang w:eastAsia="zh-CN"/>
        </w:rPr>
        <w:t>医院</w:t>
      </w:r>
      <w:r>
        <w:rPr>
          <w:rFonts w:hint="eastAsia" w:ascii="仿宋_GB2312" w:hAnsi="宋体" w:eastAsia="仿宋_GB2312" w:cs="宋体"/>
          <w:sz w:val="32"/>
          <w:szCs w:val="32"/>
          <w:shd w:val="clear" w:color="auto" w:fill="FFFFFF"/>
        </w:rPr>
        <w:t>整体支出预算评价工作。</w:t>
      </w:r>
    </w:p>
    <w:p>
      <w:pPr>
        <w:tabs>
          <w:tab w:val="center" w:pos="4153"/>
        </w:tabs>
        <w:spacing w:line="540" w:lineRule="exact"/>
        <w:ind w:firstLine="645"/>
        <w:jc w:val="left"/>
        <w:rPr>
          <w:rFonts w:hint="eastAsia" w:ascii="宋体" w:hAnsi="宋体" w:eastAsia="宋体" w:cs="宋体"/>
          <w:bCs/>
          <w:sz w:val="32"/>
          <w:szCs w:val="32"/>
        </w:rPr>
      </w:pPr>
      <w:r>
        <w:rPr>
          <w:rFonts w:hint="eastAsia" w:ascii="宋体" w:hAnsi="宋体" w:eastAsia="宋体" w:cs="宋体"/>
          <w:b/>
          <w:bCs w:val="0"/>
          <w:sz w:val="32"/>
          <w:szCs w:val="32"/>
          <w:lang w:val="en-US" w:eastAsia="zh-CN"/>
        </w:rPr>
        <w:t>4.强化信息公开。</w:t>
      </w:r>
      <w:r>
        <w:rPr>
          <w:rFonts w:hint="eastAsia" w:ascii="Times New Roman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  <w:t>积极宣传和引导居民群众对医疗卫生服务的认知度和信任度，激发公众的参与度，从而积极献计献策、监督政府职能部门的各项工作。</w:t>
      </w:r>
      <w:r>
        <w:rPr>
          <w:rFonts w:hint="eastAsia" w:ascii="宋体" w:hAnsi="宋体" w:eastAsia="宋体" w:cs="宋体"/>
          <w:bCs/>
          <w:spacing w:val="-6"/>
          <w:sz w:val="32"/>
          <w:szCs w:val="32"/>
        </w:rPr>
        <w:t xml:space="preserve"> </w:t>
      </w:r>
    </w:p>
    <w:p>
      <w:pPr>
        <w:tabs>
          <w:tab w:val="center" w:pos="4153"/>
        </w:tabs>
        <w:spacing w:line="600" w:lineRule="exact"/>
        <w:ind w:firstLine="643" w:firstLineChars="200"/>
        <w:jc w:val="left"/>
        <w:rPr>
          <w:rFonts w:hint="eastAsia" w:eastAsia="仿宋_GB2312"/>
          <w:sz w:val="32"/>
          <w:szCs w:val="32"/>
          <w:lang w:eastAsia="zh-CN"/>
        </w:rPr>
      </w:pPr>
      <w:r>
        <w:rPr>
          <w:rFonts w:hint="eastAsia" w:ascii="宋体" w:hAnsi="宋体" w:eastAsia="宋体" w:cs="宋体"/>
          <w:b/>
          <w:bCs w:val="0"/>
          <w:kern w:val="0"/>
          <w:sz w:val="32"/>
          <w:szCs w:val="32"/>
          <w:lang w:val="en-US" w:eastAsia="zh-CN" w:bidi="ar"/>
        </w:rPr>
        <w:t>5.加大人才培养。</w:t>
      </w:r>
      <w:r>
        <w:rPr>
          <w:rFonts w:hint="eastAsia" w:eastAsia="仿宋_GB2312"/>
          <w:sz w:val="32"/>
          <w:szCs w:val="32"/>
          <w:lang w:eastAsia="zh-CN"/>
        </w:rPr>
        <w:t>由于基层医疗卫生机构医护人员总量不足且青黄不接的问题，希望财政能加大对医疗卫生本土化人才培养的投入，</w:t>
      </w:r>
    </w:p>
    <w:p>
      <w:pPr>
        <w:pStyle w:val="2"/>
        <w:ind w:firstLine="643" w:firstLineChars="200"/>
        <w:rPr>
          <w:rFonts w:hint="default"/>
        </w:rPr>
      </w:pPr>
      <w:r>
        <w:rPr>
          <w:rFonts w:hint="eastAsia" w:ascii="宋体" w:hAnsi="宋体" w:eastAsia="宋体" w:cs="宋体"/>
          <w:b/>
          <w:bCs w:val="0"/>
          <w:kern w:val="0"/>
          <w:sz w:val="32"/>
          <w:szCs w:val="32"/>
          <w:lang w:val="en-US" w:eastAsia="zh-CN" w:bidi="ar"/>
        </w:rPr>
        <w:t>6.增强投入。</w:t>
      </w:r>
      <w:r>
        <w:rPr>
          <w:rFonts w:hint="eastAsia" w:eastAsia="仿宋_GB2312"/>
          <w:sz w:val="32"/>
          <w:szCs w:val="32"/>
          <w:lang w:eastAsia="zh-CN"/>
        </w:rPr>
        <w:t>疾病预防控制中相关经费短缺，预防性健康体检经费，疫情防控经费，建设等项目需要增强投入和建设。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jc w:val="both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eastAsia" w:eastAsia="黑体" w:cs="Times New Roman"/>
          <w:sz w:val="32"/>
          <w:szCs w:val="32"/>
          <w:lang w:eastAsia="zh-CN"/>
        </w:rPr>
        <w:t>七</w:t>
      </w:r>
      <w:r>
        <w:rPr>
          <w:rFonts w:hint="default" w:ascii="Times New Roman" w:hAnsi="Times New Roman" w:eastAsia="黑体" w:cs="Times New Roman"/>
          <w:sz w:val="32"/>
          <w:szCs w:val="32"/>
        </w:rPr>
        <w:t>、其他需要说明的情况</w:t>
      </w:r>
    </w:p>
    <w:p>
      <w:pPr>
        <w:pStyle w:val="2"/>
        <w:rPr>
          <w:rFonts w:hint="eastAsia" w:ascii="仿宋_GB2312" w:eastAsia="仿宋_GB2312"/>
          <w:sz w:val="32"/>
          <w:szCs w:val="32"/>
          <w:lang w:val="en-US" w:eastAsia="zh-CN"/>
        </w:rPr>
      </w:pPr>
      <w:r>
        <w:rPr>
          <w:rFonts w:hint="eastAsia" w:eastAsia="仿宋_GB2312"/>
          <w:sz w:val="32"/>
          <w:szCs w:val="32"/>
          <w:lang w:val="en-US" w:eastAsia="zh-CN"/>
        </w:rPr>
        <w:t>无</w:t>
      </w:r>
    </w:p>
    <w:sectPr>
      <w:footerReference r:id="rId3" w:type="default"/>
      <w:pgSz w:w="11906" w:h="16838"/>
      <w:pgMar w:top="1984" w:right="1701" w:bottom="1984" w:left="1701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1DCB4CF0-4797-4191-987E-28712208EFB5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1EED40F2-A77E-456E-8BEB-8EB21736D72F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48071CDF-212E-4300-80FE-7332C3B37C2D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3B93DE45-085D-4331-B84F-28FF29063FE0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2ED744D7-D104-4237-A643-723026445E93}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  <w:embedRegular r:id="rId6" w:fontKey="{7EA74927-AB70-4343-B472-51037D63109E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7" w:fontKey="{498F0229-4F66-4546-9E9C-0F40633DA58A}"/>
  </w:font>
  <w:font w:name="方正小标宋简体">
    <w:panose1 w:val="03000509000000000000"/>
    <w:charset w:val="86"/>
    <w:family w:val="auto"/>
    <w:pitch w:val="default"/>
    <w:sig w:usb0="00000000" w:usb1="00000000" w:usb2="00000000" w:usb3="00000000" w:csb0="00000000" w:csb1="00000000"/>
    <w:embedRegular r:id="rId8" w:fontKey="{239879A8-77C5-42DD-B093-60CBA11F2E4C}"/>
  </w:font>
  <w:font w:name="仿宋_GB2312">
    <w:panose1 w:val="02010609030101010101"/>
    <w:charset w:val="86"/>
    <w:family w:val="auto"/>
    <w:pitch w:val="default"/>
    <w:sig w:usb0="00000000" w:usb1="00000000" w:usb2="00000000" w:usb3="00000000" w:csb0="00000000" w:csb1="00000000"/>
    <w:embedRegular r:id="rId9" w:fontKey="{01720287-3A79-4044-AA86-2677A21764F9}"/>
  </w:font>
  <w:font w:name="华文仿宋">
    <w:panose1 w:val="02010600040101010101"/>
    <w:charset w:val="86"/>
    <w:family w:val="auto"/>
    <w:pitch w:val="default"/>
    <w:sig w:usb0="00000000" w:usb1="00000000" w:usb2="00000000" w:usb3="00000000" w:csb0="00000000" w:csb1="00000000"/>
    <w:embedRegular r:id="rId10" w:fontKey="{4C9D4FA9-2464-4EA9-ACCE-15DDB7FC2C36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1" w:fontKey="{4467B46C-96CA-42E4-A2B0-CFE2202D29CD}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  <w:embedRegular r:id="rId12" w:fontKey="{6AB48FAD-0A44-43B4-A019-8859E17A30BB}"/>
  </w:font>
  <w:font w:name="仿宋_GB2312">
    <w:panose1 w:val="02010609030101010101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right"/>
      <w:rPr>
        <w:rFonts w:ascii="仿宋_GB2312" w:eastAsia="仿宋_GB2312"/>
        <w:sz w:val="28"/>
        <w:szCs w:val="28"/>
      </w:rPr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4"/>
                            <w:jc w:val="right"/>
                          </w:pPr>
                          <w:r>
                            <w:rPr>
                              <w:rFonts w:ascii="仿宋_GB2312" w:eastAsia="仿宋_GB2312"/>
                              <w:sz w:val="28"/>
                              <w:szCs w:val="28"/>
                            </w:rPr>
                            <w:t>-</w:t>
                          </w:r>
                          <w:r>
                            <w:rPr>
                              <w:rFonts w:ascii="仿宋_GB2312" w:eastAsia="仿宋_GB2312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ascii="仿宋_GB2312" w:eastAsia="仿宋_GB2312"/>
                              <w:sz w:val="28"/>
                              <w:szCs w:val="28"/>
                            </w:rPr>
                            <w:instrText xml:space="preserve"> PAGE   \* MERGEFORMAT </w:instrText>
                          </w:r>
                          <w:r>
                            <w:rPr>
                              <w:rFonts w:ascii="仿宋_GB2312" w:eastAsia="仿宋_GB2312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ascii="仿宋_GB2312" w:eastAsia="仿宋_GB2312"/>
                              <w:sz w:val="28"/>
                              <w:szCs w:val="28"/>
                              <w:lang w:val="zh-CN"/>
                            </w:rPr>
                            <w:t>1</w:t>
                          </w:r>
                          <w:r>
                            <w:rPr>
                              <w:rFonts w:ascii="仿宋_GB2312" w:eastAsia="仿宋_GB2312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rFonts w:ascii="仿宋_GB2312" w:eastAsia="仿宋_GB2312"/>
                              <w:sz w:val="28"/>
                              <w:szCs w:val="28"/>
                            </w:rPr>
                            <w:t>-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s0lY7tAAAAAFAQAADwAAAAAA&#10;AAABACAAAAAiAAAAZHJzL2Rvd25yZXYueG1sUEsBAhQAFAAAAAgAh07iQA4bVggbAgAAIQQAAA4A&#10;AAAAAAAAAQAgAAAAHwEAAGRycy9lMm9Eb2MueG1sUEsFBgAAAAAGAAYAWQEAAKw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  <w:jc w:val="right"/>
                    </w:pPr>
                    <w:r>
                      <w:rPr>
                        <w:rFonts w:ascii="仿宋_GB2312" w:eastAsia="仿宋_GB2312"/>
                        <w:sz w:val="28"/>
                        <w:szCs w:val="28"/>
                      </w:rPr>
                      <w:t>-</w:t>
                    </w:r>
                    <w:r>
                      <w:rPr>
                        <w:rFonts w:ascii="仿宋_GB2312" w:eastAsia="仿宋_GB2312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ascii="仿宋_GB2312" w:eastAsia="仿宋_GB2312"/>
                        <w:sz w:val="28"/>
                        <w:szCs w:val="28"/>
                      </w:rPr>
                      <w:instrText xml:space="preserve"> PAGE   \* MERGEFORMAT </w:instrText>
                    </w:r>
                    <w:r>
                      <w:rPr>
                        <w:rFonts w:ascii="仿宋_GB2312" w:eastAsia="仿宋_GB2312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ascii="仿宋_GB2312" w:eastAsia="仿宋_GB2312"/>
                        <w:sz w:val="28"/>
                        <w:szCs w:val="28"/>
                        <w:lang w:val="zh-CN"/>
                      </w:rPr>
                      <w:t>1</w:t>
                    </w:r>
                    <w:r>
                      <w:rPr>
                        <w:rFonts w:ascii="仿宋_GB2312" w:eastAsia="仿宋_GB2312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rFonts w:ascii="仿宋_GB2312" w:eastAsia="仿宋_GB2312"/>
                        <w:sz w:val="28"/>
                        <w:szCs w:val="28"/>
                      </w:rPr>
                      <w:t>-</w:t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131A568"/>
    <w:multiLevelType w:val="singleLevel"/>
    <w:tmpl w:val="F131A568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zoom w:percent="10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useFELayout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mQyMjE3NWVkY2Q3N2ExODgwODAzMTVmOTM4OTBkYTgifQ=="/>
    <w:docVar w:name="KSO_WPS_MARK_KEY" w:val="0128f554-c627-48d9-8831-6c9994117eef"/>
  </w:docVars>
  <w:rsids>
    <w:rsidRoot w:val="0CCB7736"/>
    <w:rsid w:val="00047FEF"/>
    <w:rsid w:val="000A3906"/>
    <w:rsid w:val="001776F1"/>
    <w:rsid w:val="006F0A16"/>
    <w:rsid w:val="00773328"/>
    <w:rsid w:val="00821883"/>
    <w:rsid w:val="00917857"/>
    <w:rsid w:val="00A755C2"/>
    <w:rsid w:val="016A347B"/>
    <w:rsid w:val="02B50488"/>
    <w:rsid w:val="0338470A"/>
    <w:rsid w:val="034822A9"/>
    <w:rsid w:val="03D86621"/>
    <w:rsid w:val="04EE6171"/>
    <w:rsid w:val="05395EA9"/>
    <w:rsid w:val="05FF2AE3"/>
    <w:rsid w:val="08922F27"/>
    <w:rsid w:val="09E06A6E"/>
    <w:rsid w:val="0ABD557B"/>
    <w:rsid w:val="0BBB5A8D"/>
    <w:rsid w:val="0C104906"/>
    <w:rsid w:val="0CCB7736"/>
    <w:rsid w:val="0D467B96"/>
    <w:rsid w:val="0D9E0E8D"/>
    <w:rsid w:val="0EAB7397"/>
    <w:rsid w:val="0EF755B3"/>
    <w:rsid w:val="0F17035E"/>
    <w:rsid w:val="0F4E168D"/>
    <w:rsid w:val="101750AF"/>
    <w:rsid w:val="11404466"/>
    <w:rsid w:val="11963ADD"/>
    <w:rsid w:val="11EB0F5C"/>
    <w:rsid w:val="11F20483"/>
    <w:rsid w:val="136F31F8"/>
    <w:rsid w:val="138750E0"/>
    <w:rsid w:val="138E1EAB"/>
    <w:rsid w:val="15A620D3"/>
    <w:rsid w:val="16A3369E"/>
    <w:rsid w:val="178536BD"/>
    <w:rsid w:val="188B3F3A"/>
    <w:rsid w:val="19516372"/>
    <w:rsid w:val="19575CC2"/>
    <w:rsid w:val="19A80228"/>
    <w:rsid w:val="1A101464"/>
    <w:rsid w:val="1AA91564"/>
    <w:rsid w:val="1AB74849"/>
    <w:rsid w:val="1AC52FF2"/>
    <w:rsid w:val="1AE6175D"/>
    <w:rsid w:val="1B742AA7"/>
    <w:rsid w:val="1CA34935"/>
    <w:rsid w:val="1CB04BEA"/>
    <w:rsid w:val="1D5A640E"/>
    <w:rsid w:val="1DDE0ED1"/>
    <w:rsid w:val="1F7640EC"/>
    <w:rsid w:val="20D76C5F"/>
    <w:rsid w:val="21057490"/>
    <w:rsid w:val="214A230E"/>
    <w:rsid w:val="21B052C4"/>
    <w:rsid w:val="22683379"/>
    <w:rsid w:val="2271533D"/>
    <w:rsid w:val="22FF5445"/>
    <w:rsid w:val="238D0E57"/>
    <w:rsid w:val="24256710"/>
    <w:rsid w:val="251E7983"/>
    <w:rsid w:val="25847DEE"/>
    <w:rsid w:val="25D951D2"/>
    <w:rsid w:val="260D5D83"/>
    <w:rsid w:val="284A2254"/>
    <w:rsid w:val="292F1467"/>
    <w:rsid w:val="29736F84"/>
    <w:rsid w:val="29786927"/>
    <w:rsid w:val="297B51B4"/>
    <w:rsid w:val="29E40467"/>
    <w:rsid w:val="29F527E2"/>
    <w:rsid w:val="2BF35971"/>
    <w:rsid w:val="2C487650"/>
    <w:rsid w:val="2E4F43C0"/>
    <w:rsid w:val="2EC7368E"/>
    <w:rsid w:val="30FB4B41"/>
    <w:rsid w:val="31621165"/>
    <w:rsid w:val="323C5548"/>
    <w:rsid w:val="32C43EEA"/>
    <w:rsid w:val="34C6009A"/>
    <w:rsid w:val="37450F88"/>
    <w:rsid w:val="37D6106F"/>
    <w:rsid w:val="38F862EB"/>
    <w:rsid w:val="39343807"/>
    <w:rsid w:val="39887BBC"/>
    <w:rsid w:val="3A53023B"/>
    <w:rsid w:val="3A7C3409"/>
    <w:rsid w:val="3AF42D2D"/>
    <w:rsid w:val="3B3A041F"/>
    <w:rsid w:val="3BAE6BF9"/>
    <w:rsid w:val="3CCA47F2"/>
    <w:rsid w:val="3CDE0708"/>
    <w:rsid w:val="3D5877DF"/>
    <w:rsid w:val="3DC55CAA"/>
    <w:rsid w:val="3DD556CA"/>
    <w:rsid w:val="3F450429"/>
    <w:rsid w:val="40226C80"/>
    <w:rsid w:val="40C451A5"/>
    <w:rsid w:val="4156470B"/>
    <w:rsid w:val="41943ACE"/>
    <w:rsid w:val="425D4066"/>
    <w:rsid w:val="43173FD4"/>
    <w:rsid w:val="44143822"/>
    <w:rsid w:val="44205041"/>
    <w:rsid w:val="44654A12"/>
    <w:rsid w:val="44F102ED"/>
    <w:rsid w:val="457C5F26"/>
    <w:rsid w:val="47A621BC"/>
    <w:rsid w:val="481C0D3A"/>
    <w:rsid w:val="49CF255F"/>
    <w:rsid w:val="4B2C5DCD"/>
    <w:rsid w:val="4B4E1540"/>
    <w:rsid w:val="4B7D1173"/>
    <w:rsid w:val="4C150E22"/>
    <w:rsid w:val="4C6A38FC"/>
    <w:rsid w:val="4CE74BC3"/>
    <w:rsid w:val="4CF5000E"/>
    <w:rsid w:val="4DB17672"/>
    <w:rsid w:val="4DBD100C"/>
    <w:rsid w:val="4E48069F"/>
    <w:rsid w:val="509F054C"/>
    <w:rsid w:val="50AC44C4"/>
    <w:rsid w:val="50EA6DB9"/>
    <w:rsid w:val="51CA7471"/>
    <w:rsid w:val="51E613C5"/>
    <w:rsid w:val="521C2FA3"/>
    <w:rsid w:val="522529B2"/>
    <w:rsid w:val="536219A1"/>
    <w:rsid w:val="53910AF4"/>
    <w:rsid w:val="555952B3"/>
    <w:rsid w:val="556B5A36"/>
    <w:rsid w:val="55AF40BB"/>
    <w:rsid w:val="56F72F7C"/>
    <w:rsid w:val="57874EDD"/>
    <w:rsid w:val="586243BF"/>
    <w:rsid w:val="58FD3402"/>
    <w:rsid w:val="5AAF7799"/>
    <w:rsid w:val="5B5C1753"/>
    <w:rsid w:val="5C261A0E"/>
    <w:rsid w:val="5C9E54E5"/>
    <w:rsid w:val="5E134100"/>
    <w:rsid w:val="5EA958DC"/>
    <w:rsid w:val="5F7A1C50"/>
    <w:rsid w:val="601C4AB5"/>
    <w:rsid w:val="60BE691E"/>
    <w:rsid w:val="61444403"/>
    <w:rsid w:val="62265BDF"/>
    <w:rsid w:val="62BB6808"/>
    <w:rsid w:val="62E1699A"/>
    <w:rsid w:val="64147F0D"/>
    <w:rsid w:val="64D66362"/>
    <w:rsid w:val="65860217"/>
    <w:rsid w:val="667E0AA1"/>
    <w:rsid w:val="670E73EE"/>
    <w:rsid w:val="676E560A"/>
    <w:rsid w:val="678371C8"/>
    <w:rsid w:val="67E825F8"/>
    <w:rsid w:val="68FB17C3"/>
    <w:rsid w:val="695F12F9"/>
    <w:rsid w:val="69636C3A"/>
    <w:rsid w:val="69C45FA2"/>
    <w:rsid w:val="69CF7B2C"/>
    <w:rsid w:val="6A0B0004"/>
    <w:rsid w:val="6BA1010E"/>
    <w:rsid w:val="6CDD4E4A"/>
    <w:rsid w:val="6CE47E41"/>
    <w:rsid w:val="6CED5810"/>
    <w:rsid w:val="6CF92413"/>
    <w:rsid w:val="6DFE5E04"/>
    <w:rsid w:val="6E87203D"/>
    <w:rsid w:val="6F9278BB"/>
    <w:rsid w:val="70603021"/>
    <w:rsid w:val="70BA2C02"/>
    <w:rsid w:val="71572F19"/>
    <w:rsid w:val="719B7427"/>
    <w:rsid w:val="724A6793"/>
    <w:rsid w:val="741F26FA"/>
    <w:rsid w:val="74470DF8"/>
    <w:rsid w:val="74B82C14"/>
    <w:rsid w:val="75FD1676"/>
    <w:rsid w:val="799536BA"/>
    <w:rsid w:val="7A252A8D"/>
    <w:rsid w:val="7B170752"/>
    <w:rsid w:val="7B8F681B"/>
    <w:rsid w:val="7D3D633F"/>
    <w:rsid w:val="7D4C6582"/>
    <w:rsid w:val="7DD96C0E"/>
    <w:rsid w:val="7E474F7B"/>
    <w:rsid w:val="7E8F7A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Times New Roman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qFormat/>
    <w:locked/>
    <w:uiPriority w:val="0"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7">
    <w:name w:val="Default Paragraph Font"/>
    <w:semiHidden/>
    <w:qFormat/>
    <w:uiPriority w:val="99"/>
  </w:style>
  <w:style w:type="table" w:default="1" w:styleId="9">
    <w:name w:val="Normal Table"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eastAsia="Times New Roman" w:cs="Times New Roman"/>
      <w:sz w:val="20"/>
      <w:szCs w:val="20"/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note text"/>
    <w:basedOn w:val="1"/>
    <w:next w:val="1"/>
    <w:qFormat/>
    <w:uiPriority w:val="0"/>
    <w:pPr>
      <w:snapToGrid w:val="0"/>
      <w:jc w:val="left"/>
    </w:pPr>
    <w:rPr>
      <w:sz w:val="18"/>
      <w:szCs w:val="18"/>
    </w:rPr>
  </w:style>
  <w:style w:type="paragraph" w:styleId="4">
    <w:name w:val="footer"/>
    <w:basedOn w:val="1"/>
    <w:link w:val="1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2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6">
    <w:name w:val="Normal (Web)"/>
    <w:basedOn w:val="1"/>
    <w:qFormat/>
    <w:uiPriority w:val="0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8">
    <w:name w:val="page number"/>
    <w:basedOn w:val="7"/>
    <w:qFormat/>
    <w:uiPriority w:val="99"/>
    <w:rPr>
      <w:rFonts w:cs="Times New Roman"/>
    </w:rPr>
  </w:style>
  <w:style w:type="table" w:styleId="10">
    <w:name w:val="Table Grid"/>
    <w:basedOn w:val="9"/>
    <w:qFormat/>
    <w:uiPriority w:val="99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1">
    <w:name w:val="Footer Char"/>
    <w:basedOn w:val="7"/>
    <w:link w:val="4"/>
    <w:semiHidden/>
    <w:qFormat/>
    <w:uiPriority w:val="99"/>
    <w:rPr>
      <w:sz w:val="18"/>
      <w:szCs w:val="18"/>
    </w:rPr>
  </w:style>
  <w:style w:type="character" w:customStyle="1" w:styleId="12">
    <w:name w:val="Header Char"/>
    <w:basedOn w:val="7"/>
    <w:link w:val="5"/>
    <w:semiHidden/>
    <w:qFormat/>
    <w:uiPriority w:val="99"/>
    <w:rPr>
      <w:sz w:val="18"/>
      <w:szCs w:val="18"/>
    </w:rPr>
  </w:style>
  <w:style w:type="paragraph" w:styleId="13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Pages>5</Pages>
  <Words>1456</Words>
  <Characters>1597</Characters>
  <Lines>0</Lines>
  <Paragraphs>0</Paragraphs>
  <TotalTime>0</TotalTime>
  <ScaleCrop>false</ScaleCrop>
  <LinksUpToDate>false</LinksUpToDate>
  <CharactersWithSpaces>1609</CharactersWithSpaces>
  <Application>WPS Office_10.1.0.7106_F1E327BC-269C-435d-A152-05C5408002CA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2020-06-04T01:07:00Z</dcterms:created>
  <dc:creator>Administrator</dc:creator>
  <cp:lastModifiedBy>Administrator</cp:lastModifiedBy>
  <cp:lastPrinted>2023-06-29T01:04:00Z</cp:lastPrinted>
  <dcterms:modified xsi:type="dcterms:W3CDTF">2025-05-15T02:09:12Z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2052-10.1.0.7106</vt:lpwstr>
  </property>
  <property fmtid="{D5CDD505-2E9C-101B-9397-08002B2CF9AE}" pid="3" name="KSOSaveFontToCloudKey">
    <vt:lpwstr>386772509_embed</vt:lpwstr>
  </property>
  <property fmtid="{D5CDD505-2E9C-101B-9397-08002B2CF9AE}" pid="4" name="ICV">
    <vt:lpwstr>74093A3AC5444ECFAD26C5221EAB39C5_13</vt:lpwstr>
  </property>
</Properties>
</file>