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844E67">
      <w:pPr>
        <w:spacing w:line="251" w:lineRule="auto"/>
        <w:rPr>
          <w:rFonts w:ascii="Arial"/>
          <w:sz w:val="21"/>
        </w:rPr>
      </w:pPr>
    </w:p>
    <w:p w14:paraId="3110AD07">
      <w:pPr>
        <w:spacing w:line="251" w:lineRule="auto"/>
        <w:rPr>
          <w:rFonts w:ascii="Arial"/>
          <w:sz w:val="21"/>
        </w:rPr>
      </w:pPr>
    </w:p>
    <w:p w14:paraId="302CE02D">
      <w:pPr>
        <w:rPr>
          <w:rFonts w:ascii="Arial"/>
          <w:sz w:val="21"/>
        </w:rPr>
      </w:pPr>
    </w:p>
    <w:p w14:paraId="465BC5D2">
      <w:pPr>
        <w:pStyle w:val="2"/>
      </w:pPr>
    </w:p>
    <w:p w14:paraId="7B5F09C8"/>
    <w:p w14:paraId="6DD17758">
      <w:pPr>
        <w:spacing w:before="223" w:line="218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  <w:lang w:val="en-US" w:eastAsia="zh-CN"/>
        </w:rPr>
        <w:t>华容县二人民医院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</w:rPr>
        <w:t>整体支出</w:t>
      </w:r>
    </w:p>
    <w:p w14:paraId="2705250C">
      <w:pPr>
        <w:spacing w:before="1" w:line="183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-3"/>
          <w:sz w:val="44"/>
          <w:szCs w:val="44"/>
        </w:rPr>
        <w:t>绩效自评报告</w:t>
      </w:r>
    </w:p>
    <w:p w14:paraId="6346AF6C">
      <w:pPr>
        <w:spacing w:line="243" w:lineRule="auto"/>
        <w:rPr>
          <w:rFonts w:ascii="Arial"/>
          <w:sz w:val="21"/>
        </w:rPr>
      </w:pPr>
    </w:p>
    <w:p w14:paraId="231FB850">
      <w:pPr>
        <w:spacing w:line="243" w:lineRule="auto"/>
        <w:rPr>
          <w:rFonts w:ascii="Arial"/>
          <w:sz w:val="21"/>
        </w:rPr>
      </w:pPr>
    </w:p>
    <w:p w14:paraId="7BA6F6B4">
      <w:pPr>
        <w:spacing w:line="243" w:lineRule="auto"/>
        <w:rPr>
          <w:rFonts w:ascii="Arial"/>
          <w:sz w:val="21"/>
        </w:rPr>
      </w:pPr>
    </w:p>
    <w:p w14:paraId="76EBCA57">
      <w:pPr>
        <w:spacing w:line="243" w:lineRule="auto"/>
        <w:rPr>
          <w:rFonts w:ascii="Arial"/>
          <w:sz w:val="21"/>
        </w:rPr>
      </w:pPr>
    </w:p>
    <w:p w14:paraId="66140C0E">
      <w:pPr>
        <w:spacing w:line="243" w:lineRule="auto"/>
        <w:rPr>
          <w:rFonts w:ascii="Arial"/>
          <w:sz w:val="21"/>
        </w:rPr>
      </w:pPr>
    </w:p>
    <w:p w14:paraId="33A1C841">
      <w:pPr>
        <w:spacing w:line="243" w:lineRule="auto"/>
        <w:rPr>
          <w:rFonts w:ascii="Arial"/>
          <w:sz w:val="21"/>
        </w:rPr>
      </w:pPr>
    </w:p>
    <w:p w14:paraId="5AA1E7F1">
      <w:pPr>
        <w:pStyle w:val="2"/>
        <w:rPr>
          <w:rFonts w:ascii="Arial"/>
          <w:sz w:val="21"/>
        </w:rPr>
      </w:pPr>
    </w:p>
    <w:p w14:paraId="64E3B06E">
      <w:pPr>
        <w:spacing w:line="243" w:lineRule="auto"/>
        <w:rPr>
          <w:rFonts w:ascii="Arial"/>
          <w:sz w:val="21"/>
        </w:rPr>
      </w:pPr>
    </w:p>
    <w:p w14:paraId="5D5EBA31">
      <w:pPr>
        <w:spacing w:line="243" w:lineRule="auto"/>
        <w:rPr>
          <w:rFonts w:ascii="Arial"/>
          <w:sz w:val="21"/>
        </w:rPr>
      </w:pPr>
    </w:p>
    <w:p w14:paraId="0D3FBFA9">
      <w:pPr>
        <w:spacing w:line="243" w:lineRule="auto"/>
        <w:rPr>
          <w:rFonts w:ascii="Arial"/>
          <w:sz w:val="21"/>
        </w:rPr>
      </w:pPr>
    </w:p>
    <w:p w14:paraId="5872C255">
      <w:pPr>
        <w:spacing w:line="243" w:lineRule="auto"/>
        <w:rPr>
          <w:rFonts w:ascii="Arial"/>
          <w:sz w:val="21"/>
        </w:rPr>
      </w:pPr>
    </w:p>
    <w:p w14:paraId="1EDFA0A5">
      <w:pPr>
        <w:spacing w:line="243" w:lineRule="auto"/>
        <w:rPr>
          <w:rFonts w:ascii="Arial"/>
          <w:sz w:val="21"/>
        </w:rPr>
      </w:pPr>
    </w:p>
    <w:p w14:paraId="0461E67F">
      <w:pPr>
        <w:spacing w:line="243" w:lineRule="auto"/>
        <w:rPr>
          <w:rFonts w:ascii="Arial"/>
          <w:sz w:val="21"/>
        </w:rPr>
      </w:pPr>
    </w:p>
    <w:p w14:paraId="1B6DB8C0">
      <w:pPr>
        <w:spacing w:line="244" w:lineRule="auto"/>
        <w:rPr>
          <w:rFonts w:ascii="Arial"/>
          <w:sz w:val="21"/>
        </w:rPr>
      </w:pPr>
    </w:p>
    <w:p w14:paraId="22753401">
      <w:pPr>
        <w:spacing w:line="244" w:lineRule="auto"/>
        <w:rPr>
          <w:rFonts w:ascii="Arial"/>
          <w:sz w:val="21"/>
        </w:rPr>
      </w:pPr>
    </w:p>
    <w:p w14:paraId="04C366C2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</w:p>
    <w:p w14:paraId="795CC393">
      <w:pPr>
        <w:spacing w:before="228" w:line="222" w:lineRule="auto"/>
        <w:jc w:val="center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05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  <w:lang w:val="en-US" w:eastAsia="zh-CN"/>
        </w:rPr>
        <w:t>13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 w14:paraId="564CE803"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548851CB"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 w14:paraId="514440EC">
      <w:pPr>
        <w:sectPr>
          <w:footerReference r:id="rId3" w:type="default"/>
          <w:pgSz w:w="11905" w:h="16838"/>
          <w:pgMar w:top="1984" w:right="1701" w:bottom="1984" w:left="1701" w:header="850" w:footer="1587" w:gutter="0"/>
          <w:pgNumType w:fmt="numberInDash" w:start="1"/>
          <w:cols w:space="0" w:num="1"/>
          <w:rtlGutter w:val="0"/>
          <w:docGrid w:type="lines" w:linePitch="314" w:charSpace="0"/>
        </w:sectPr>
      </w:pPr>
    </w:p>
    <w:p w14:paraId="09471B2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年度华容县二人民医院整体支出</w:t>
      </w:r>
    </w:p>
    <w:p w14:paraId="2CC143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绩效自评报告</w:t>
      </w:r>
    </w:p>
    <w:p w14:paraId="07AB99C0">
      <w:pPr>
        <w:spacing w:line="283" w:lineRule="auto"/>
        <w:rPr>
          <w:rFonts w:ascii="Arial"/>
          <w:sz w:val="21"/>
        </w:rPr>
      </w:pPr>
    </w:p>
    <w:p w14:paraId="6DE9729F">
      <w:pPr>
        <w:spacing w:line="284" w:lineRule="auto"/>
        <w:rPr>
          <w:rFonts w:ascii="Arial"/>
          <w:sz w:val="21"/>
        </w:rPr>
      </w:pPr>
    </w:p>
    <w:p w14:paraId="5E34CDCC">
      <w:pPr>
        <w:pStyle w:val="2"/>
      </w:pPr>
    </w:p>
    <w:p w14:paraId="625C8474"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部门（单位）基本情况</w:t>
      </w:r>
    </w:p>
    <w:p w14:paraId="0792681A">
      <w:pPr>
        <w:spacing w:line="600" w:lineRule="exact"/>
        <w:ind w:firstLine="472" w:firstLineChars="147"/>
        <w:jc w:val="left"/>
        <w:rPr>
          <w:rFonts w:hint="eastAsia" w:ascii="仿宋" w:hAnsi="仿宋" w:eastAsia="仿宋" w:cs="仿宋"/>
          <w:b/>
          <w:bCs/>
          <w:color w:val="auto"/>
          <w:sz w:val="32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32"/>
          <w:szCs w:val="28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28"/>
          <w:lang w:val="en-US" w:eastAsia="zh-CN"/>
        </w:rPr>
        <w:t>一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28"/>
          <w:lang w:eastAsia="zh-CN"/>
        </w:rPr>
        <w:t>）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28"/>
        </w:rPr>
        <w:t>部门基本情况</w:t>
      </w:r>
    </w:p>
    <w:p w14:paraId="3A2587B6">
      <w:pPr>
        <w:keepNext w:val="0"/>
        <w:keepLines w:val="0"/>
        <w:pageBreakBefore w:val="0"/>
        <w:shd w:val="solid" w:color="FFFFFF" w:fill="auto"/>
        <w:kinsoku/>
        <w:wordWrap/>
        <w:overflowPunct/>
        <w:topLinePunct w:val="0"/>
        <w:autoSpaceDE/>
        <w:autoSpaceDN w:val="0"/>
        <w:bidi w:val="0"/>
        <w:spacing w:line="60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auto"/>
          <w:sz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</w:rPr>
        <w:t>华容县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二人民医院</w:t>
      </w:r>
      <w:r>
        <w:rPr>
          <w:rFonts w:hint="eastAsia" w:ascii="仿宋" w:hAnsi="仿宋" w:eastAsia="仿宋" w:cs="仿宋"/>
          <w:color w:val="auto"/>
          <w:sz w:val="32"/>
        </w:rPr>
        <w:t>系财政全额预算拨款单位。202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32"/>
        </w:rPr>
        <w:t>年编制部门核实华容县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二人民医院</w:t>
      </w:r>
      <w:r>
        <w:rPr>
          <w:rFonts w:hint="eastAsia" w:ascii="仿宋" w:hAnsi="仿宋" w:eastAsia="仿宋" w:cs="仿宋"/>
          <w:color w:val="auto"/>
          <w:sz w:val="32"/>
          <w:lang w:eastAsia="zh-CN"/>
        </w:rPr>
        <w:t>事业</w:t>
      </w:r>
      <w:r>
        <w:rPr>
          <w:rFonts w:hint="eastAsia" w:ascii="仿宋" w:hAnsi="仿宋" w:eastAsia="仿宋" w:cs="仿宋"/>
          <w:color w:val="auto"/>
          <w:sz w:val="32"/>
        </w:rPr>
        <w:t>编制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76</w:t>
      </w:r>
      <w:r>
        <w:rPr>
          <w:rFonts w:hint="eastAsia" w:ascii="仿宋" w:hAnsi="仿宋" w:eastAsia="仿宋" w:cs="仿宋"/>
          <w:color w:val="auto"/>
          <w:sz w:val="32"/>
        </w:rPr>
        <w:t>名，实有</w:t>
      </w:r>
      <w:r>
        <w:rPr>
          <w:rFonts w:hint="eastAsia" w:ascii="仿宋" w:hAnsi="仿宋" w:eastAsia="仿宋" w:cs="仿宋"/>
          <w:color w:val="auto"/>
          <w:sz w:val="32"/>
          <w:lang w:eastAsia="zh-CN"/>
        </w:rPr>
        <w:t>事业编制</w:t>
      </w:r>
      <w:r>
        <w:rPr>
          <w:rFonts w:hint="eastAsia" w:ascii="仿宋" w:hAnsi="仿宋" w:eastAsia="仿宋" w:cs="仿宋"/>
          <w:color w:val="auto"/>
          <w:sz w:val="32"/>
        </w:rPr>
        <w:t>人员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55</w:t>
      </w:r>
      <w:r>
        <w:rPr>
          <w:rFonts w:hint="eastAsia" w:ascii="仿宋" w:hAnsi="仿宋" w:eastAsia="仿宋" w:cs="仿宋"/>
          <w:color w:val="auto"/>
          <w:sz w:val="32"/>
        </w:rPr>
        <w:t>人</w:t>
      </w:r>
      <w:r>
        <w:rPr>
          <w:rFonts w:hint="eastAsia" w:ascii="仿宋" w:hAnsi="仿宋" w:eastAsia="仿宋" w:cs="仿宋"/>
          <w:color w:val="auto"/>
          <w:sz w:val="32"/>
          <w:lang w:eastAsia="zh-CN"/>
        </w:rPr>
        <w:t>。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华容县二人民医院单位内设机构包括：3个职能科室：医疗组、防保组、行政后勤组。</w:t>
      </w:r>
    </w:p>
    <w:p w14:paraId="58CF6EC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left="0" w:leftChars="0" w:firstLine="421" w:firstLineChars="131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32"/>
          <w:szCs w:val="28"/>
          <w:lang w:val="en-US" w:eastAsia="zh-CN" w:bidi="ar-SA"/>
        </w:rPr>
        <w:t>（二）部门主要职能及支出使用方向和内容</w:t>
      </w:r>
    </w:p>
    <w:p w14:paraId="7E7561FA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贯彻落实国民健康政策、卫生健康和中医药事业发展的法律法规、政策、措施，拟订我院相关政策、措施。负责辖区内的基本医疗卫生工作，负责本乡镇预防保健工作，承担所在乡镇的公共卫生管理。</w:t>
      </w:r>
    </w:p>
    <w:p w14:paraId="18D123C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2024年，在县委、县政府的坚强领导下，华容县二人民医院围绕“健康华容”建设目标，以“12345”的工作思路，着力推进疫情防控、深化医改、业务扩容、项目保质、健康惠民等各项工作，取得了预期成效。</w:t>
      </w:r>
    </w:p>
    <w:p w14:paraId="79E21A51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围绕一条主线，力促健康华容建设。</w:t>
      </w:r>
    </w:p>
    <w:p w14:paraId="52976A47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将全面落实健康岳阳行动作为工作“主线”，全力落实各项健康政策，全方位构建“健康华容”确保群众健康安全。</w:t>
      </w:r>
    </w:p>
    <w:p w14:paraId="3EC31D8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①巩固疫情防控成果。全院上下坚决克服厌战情绪和松劲心态，持续抓好了各项常态化疫情防控工作，有力巩固疫情防控成果。②巩固疾病预防成果。有效落实各类重点传染病防治措施，全乡全年无甲类传染病报告，乙、丙类传染病发病率控制在国家标准以内，无重大传染病暴发流行。</w:t>
      </w:r>
    </w:p>
    <w:p w14:paraId="41B9CC2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落实四大保障，助推民生事业发展。</w:t>
      </w:r>
    </w:p>
    <w:p w14:paraId="35534625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落实基本公共卫生服务。对十四大类55小项基本公共卫生服务项目的目标任务、服务方式、考核标准、奖惩措施等进一步细化、量化，实施服务项目全过程监管和绩点制考核，促进了工作指标、工作质量双提升。落实妇幼保健项目。</w:t>
      </w:r>
    </w:p>
    <w:p w14:paraId="1A3802C2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抓好五项建设，提升健康服务水平。</w:t>
      </w:r>
    </w:p>
    <w:p w14:paraId="4DDA8ACD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24"/>
          <w:lang w:val="en-US" w:eastAsia="zh-CN" w:bidi="ar-SA"/>
        </w:rPr>
        <w:t>抓服务能力建设。卫生院依托远程诊断平台，着力提升诊断水平和医疗质量，整体服务水平不断增强。目前，华容县二人民医院抓人才队伍建设。2024年度定向医学生免费培养签约生4人来本院工作。此外，大力实施基层医疗卫生专业技术人员能力提升，累计年度开展专病专科培训12次。</w:t>
      </w:r>
    </w:p>
    <w:p w14:paraId="599AC62D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left="648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pacing w:val="-2"/>
          <w:sz w:val="32"/>
          <w:szCs w:val="32"/>
        </w:rPr>
        <w:t>二、一般公共预算支出情况</w:t>
      </w:r>
    </w:p>
    <w:p w14:paraId="7FF4CB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（一）基本支出情况</w:t>
      </w:r>
    </w:p>
    <w:p w14:paraId="0FD905F9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firstLine="640" w:firstLineChars="200"/>
        <w:textAlignment w:val="auto"/>
        <w:rPr>
          <w:rFonts w:hint="eastAsia"/>
        </w:rPr>
      </w:pPr>
      <w:r>
        <w:rPr>
          <w:rFonts w:hint="eastAsia" w:ascii="仿宋" w:hAnsi="仿宋" w:eastAsia="仿宋" w:cs="仿宋"/>
          <w:sz w:val="32"/>
          <w:szCs w:val="28"/>
          <w:lang w:val="en-US" w:eastAsia="zh-CN"/>
        </w:rPr>
        <w:t>2024年</w:t>
      </w:r>
      <w:r>
        <w:rPr>
          <w:rFonts w:hint="eastAsia" w:ascii="仿宋" w:hAnsi="仿宋" w:eastAsia="仿宋" w:cs="仿宋"/>
          <w:color w:val="auto"/>
          <w:sz w:val="32"/>
        </w:rPr>
        <w:t>华容县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二人民医院</w:t>
      </w:r>
      <w:r>
        <w:rPr>
          <w:rFonts w:hint="eastAsia" w:ascii="仿宋" w:hAnsi="仿宋" w:eastAsia="仿宋" w:cs="仿宋"/>
          <w:sz w:val="32"/>
          <w:szCs w:val="28"/>
          <w:lang w:val="en-US" w:eastAsia="zh-CN"/>
        </w:rPr>
        <w:t>基本支出合计3312.59万元，主要是用于人员工资、社会保障缴费、临时工工资以及为保障医疗卫生机构正常运转、完成日常工作任务而发生的商品和服务支出。其中：</w:t>
      </w:r>
      <w:r>
        <w:rPr>
          <w:rFonts w:hint="eastAsia" w:ascii="仿宋" w:hAnsi="仿宋" w:eastAsia="仿宋" w:cs="仿宋"/>
          <w:sz w:val="32"/>
          <w:szCs w:val="28"/>
          <w:lang w:eastAsia="zh-CN"/>
        </w:rPr>
        <w:t>工资福利支出</w:t>
      </w:r>
      <w:r>
        <w:rPr>
          <w:rFonts w:hint="eastAsia" w:ascii="仿宋" w:hAnsi="仿宋" w:eastAsia="仿宋" w:cs="仿宋"/>
          <w:sz w:val="32"/>
          <w:szCs w:val="28"/>
          <w:lang w:val="en-US" w:eastAsia="zh-CN"/>
        </w:rPr>
        <w:t>1502.99</w:t>
      </w:r>
      <w:r>
        <w:rPr>
          <w:rFonts w:hint="eastAsia" w:ascii="仿宋" w:hAnsi="仿宋" w:eastAsia="仿宋" w:cs="仿宋"/>
          <w:sz w:val="32"/>
          <w:szCs w:val="28"/>
        </w:rPr>
        <w:t>万元</w:t>
      </w:r>
      <w:r>
        <w:rPr>
          <w:rFonts w:hint="eastAsia" w:ascii="仿宋" w:hAnsi="仿宋" w:eastAsia="仿宋" w:cs="仿宋"/>
          <w:sz w:val="32"/>
          <w:szCs w:val="28"/>
          <w:lang w:eastAsia="zh-CN"/>
        </w:rPr>
        <w:t>。</w:t>
      </w:r>
    </w:p>
    <w:p w14:paraId="64FCABC2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项目支出情况</w:t>
      </w:r>
    </w:p>
    <w:p w14:paraId="4CD24DED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28"/>
          <w:lang w:val="en-US" w:eastAsia="zh-CN"/>
        </w:rPr>
        <w:t>1、项目资金安排落实、总投入等情况</w:t>
      </w:r>
    </w:p>
    <w:p w14:paraId="477A6E5F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color w:val="auto"/>
          <w:sz w:val="32"/>
          <w:szCs w:val="28"/>
          <w:lang w:val="en-US" w:eastAsia="zh-CN"/>
        </w:rPr>
      </w:pPr>
      <w:r>
        <w:rPr>
          <w:rFonts w:hint="eastAsia" w:ascii="仿宋" w:hAnsi="仿宋" w:eastAsia="仿宋" w:cs="仿宋"/>
          <w:sz w:val="32"/>
          <w:szCs w:val="28"/>
          <w:lang w:val="en-US" w:eastAsia="zh-CN"/>
        </w:rPr>
        <w:t>我单位项目资金按照年初预算的安排，按照月度与进度等安排资金落实，2024年</w:t>
      </w:r>
      <w:r>
        <w:rPr>
          <w:rFonts w:hint="eastAsia" w:ascii="仿宋" w:hAnsi="仿宋" w:eastAsia="仿宋" w:cs="仿宋"/>
          <w:color w:val="auto"/>
          <w:sz w:val="32"/>
          <w:lang w:val="en-US" w:eastAsia="zh-CN"/>
        </w:rPr>
        <w:t>华容县二人民医院</w:t>
      </w:r>
      <w:r>
        <w:rPr>
          <w:rFonts w:hint="eastAsia" w:ascii="仿宋" w:hAnsi="仿宋" w:eastAsia="仿宋" w:cs="仿宋"/>
          <w:sz w:val="32"/>
          <w:szCs w:val="28"/>
          <w:lang w:val="en-US" w:eastAsia="zh-CN"/>
        </w:rPr>
        <w:t>整体年初项目资金合计申报270.59万元，主要是用于</w:t>
      </w:r>
      <w:r>
        <w:rPr>
          <w:rFonts w:hint="eastAsia" w:ascii="仿宋" w:hAnsi="仿宋" w:eastAsia="仿宋" w:cs="仿宋"/>
          <w:color w:val="auto"/>
          <w:sz w:val="32"/>
          <w:szCs w:val="28"/>
          <w:lang w:val="en-US" w:eastAsia="zh-CN"/>
        </w:rPr>
        <w:t>基本公共卫生服务、应急物资储备的支出。</w:t>
      </w:r>
    </w:p>
    <w:p w14:paraId="50800C22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2、专项资金管理情况分析</w:t>
      </w:r>
    </w:p>
    <w:p w14:paraId="7F43AC55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firstLine="640" w:firstLineChars="200"/>
        <w:jc w:val="left"/>
        <w:textAlignment w:val="auto"/>
        <w:rPr>
          <w:rFonts w:hint="eastAsia"/>
        </w:rPr>
      </w:pPr>
      <w:r>
        <w:rPr>
          <w:rFonts w:hint="eastAsia" w:ascii="仿宋" w:hAnsi="仿宋" w:eastAsia="仿宋" w:cs="仿宋"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严格按项目资金进行管理，执行相关财务支出管理制度，资金管理制度。加强项目资金专款专用管理，设立专账核算，各项目执行单位财务机构加强项目资金日常使用监督。</w:t>
      </w:r>
    </w:p>
    <w:p w14:paraId="6C57ACBB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bidi w:val="0"/>
        <w:spacing w:line="600" w:lineRule="exact"/>
        <w:ind w:left="648" w:leftChars="0"/>
        <w:textAlignment w:val="auto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val="en-US" w:eastAsia="zh-CN"/>
        </w:rPr>
        <w:t>三、</w:t>
      </w:r>
      <w:r>
        <w:rPr>
          <w:rFonts w:hint="eastAsia" w:ascii="黑体" w:hAnsi="黑体" w:eastAsia="黑体" w:cs="黑体"/>
          <w:spacing w:val="8"/>
          <w:sz w:val="32"/>
          <w:szCs w:val="32"/>
        </w:rPr>
        <w:t>部门整体支出绩效情况</w:t>
      </w:r>
    </w:p>
    <w:p w14:paraId="792BB62D">
      <w:pPr>
        <w:pStyle w:val="1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jc w:val="both"/>
        <w:textAlignment w:val="auto"/>
        <w:rPr>
          <w:rFonts w:hint="eastAsia" w:ascii="仿宋" w:hAnsi="仿宋" w:eastAsia="仿宋" w:cs="仿宋"/>
          <w:color w:val="000000"/>
          <w:sz w:val="32"/>
          <w:szCs w:val="32"/>
          <w:highlight w:val="yellow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202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年规范化居民电子健康档案已完成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29858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份，居民健康档案认领17112份；202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年辖区计划免疫10种生物制品，其中：卡介苗接种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16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剂次;脊灰灭活接种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301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剂次;百白破混合制剂接种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190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剂次;白破疫苗接种1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53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剂次;麻腮风疫苗接种20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剂次;乙肝疫苗接种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217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剂次;甲肝减毒活疫苗接种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88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剂次;流脑A群疫苗接种1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1剂次;流脑A+C疫苗接种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92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剂次;乙脑疫苗接种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201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剂次；0-6岁儿童健康管理人数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1042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人，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管理率99.8%；0-3岁儿童健康管理人数374，管理率100%；新生儿68人，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新生儿家庭访视率100%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eastAsia="zh-CN"/>
        </w:rPr>
        <w:t>；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2024年01月到2024年11月活产78人，产妇77人，建卡77人，产前检查76人，早检76人，产后访视77人，系统管理77人，系统管理率100%；共登记管理65岁及以上老年4332人，并按要求录入居民电子健康档案系统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老年人健康管理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4332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人，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年度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老年人体检3278人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健康管理率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75.7%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eastAsia="zh-CN"/>
        </w:rPr>
        <w:t>；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糖尿病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884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人，规范管理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率84.98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%；高血压管理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2618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人,规范管理率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88.31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 xml:space="preserve">%；严重精神障碍患者健康管理 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139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人，规范管理率100%；卫生院均实行了传染病和突发公共卫生事件预警应急机制，传染病疫情报告率100%，及时报告率100%；卫生计生监督协管信息报告率100%。</w:t>
      </w:r>
    </w:p>
    <w:p w14:paraId="7C1AA875">
      <w:pPr>
        <w:pStyle w:val="1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jc w:val="both"/>
        <w:textAlignment w:val="auto"/>
        <w:rPr>
          <w:rFonts w:hint="eastAsia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全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eastAsia="zh-CN"/>
        </w:rPr>
        <w:t>镇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家庭医生团队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个累计签约人数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  <w:lang w:val="en-US" w:eastAsia="zh-CN"/>
        </w:rPr>
        <w:t>28959</w:t>
      </w:r>
      <w:r>
        <w:rPr>
          <w:rFonts w:hint="eastAsia" w:ascii="仿宋" w:hAnsi="仿宋" w:eastAsia="仿宋" w:cs="仿宋"/>
          <w:color w:val="000000"/>
          <w:sz w:val="32"/>
          <w:szCs w:val="32"/>
          <w:highlight w:val="none"/>
        </w:rPr>
        <w:t>人，通过“卫宁家医平台”实现了应签尽签，签约率100%</w:t>
      </w:r>
    </w:p>
    <w:p w14:paraId="4C7EEE10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bidi w:val="0"/>
        <w:spacing w:line="600" w:lineRule="exact"/>
        <w:ind w:left="648" w:leftChars="0"/>
        <w:textAlignment w:val="auto"/>
        <w:rPr>
          <w:rFonts w:hint="eastAsia" w:ascii="黑体" w:hAnsi="黑体" w:eastAsia="黑体" w:cs="黑体"/>
          <w:spacing w:val="8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val="en-US" w:eastAsia="zh-CN"/>
        </w:rPr>
        <w:t>四、存在的问题及原因分析</w:t>
      </w:r>
      <w:bookmarkStart w:id="0" w:name="_GoBack"/>
      <w:bookmarkEnd w:id="0"/>
    </w:p>
    <w:p w14:paraId="6796B36B">
      <w:pPr>
        <w:keepNext w:val="0"/>
        <w:keepLines w:val="0"/>
        <w:pageBreakBefore w:val="0"/>
        <w:widowControl w:val="0"/>
        <w:tabs>
          <w:tab w:val="center" w:pos="4153"/>
        </w:tabs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  <w:lang w:val="en-US" w:eastAsia="zh-CN"/>
        </w:rPr>
        <w:t>1、</w:t>
      </w:r>
      <w:r>
        <w:rPr>
          <w:rFonts w:hint="eastAsia" w:ascii="仿宋" w:hAnsi="仿宋" w:eastAsia="仿宋" w:cs="仿宋"/>
          <w:bCs/>
          <w:sz w:val="32"/>
          <w:szCs w:val="32"/>
        </w:rPr>
        <w:t>预算编制有待更严格执行。预算编制与实际支出项目有的存在差异。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有些工作未能找到适当的量化方式，对绩效管理量化评价方面略显不足。通过县财政局组织的预算绩效管理培训，逐步找到适合的方法对本单位的工作进行合理的分类量化，以便适应将来的预算绩效管理工作。</w:t>
      </w:r>
    </w:p>
    <w:p w14:paraId="34C1B6C5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firstLine="640" w:firstLineChars="200"/>
        <w:textAlignment w:val="auto"/>
        <w:rPr>
          <w:rFonts w:hint="eastAsia"/>
        </w:rPr>
      </w:pPr>
      <w:r>
        <w:rPr>
          <w:rFonts w:hint="eastAsia" w:ascii="仿宋" w:hAnsi="仿宋" w:eastAsia="仿宋" w:cs="仿宋"/>
          <w:bCs/>
          <w:sz w:val="32"/>
          <w:szCs w:val="32"/>
          <w:lang w:val="en-US" w:eastAsia="zh-CN"/>
        </w:rPr>
        <w:t>2、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加强对</w:t>
      </w:r>
      <w:r>
        <w:rPr>
          <w:rFonts w:hint="eastAsia" w:ascii="仿宋" w:hAnsi="仿宋" w:eastAsia="仿宋" w:cs="仿宋"/>
          <w:sz w:val="32"/>
          <w:szCs w:val="32"/>
        </w:rPr>
        <w:t>卫生院基础设施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及</w:t>
      </w:r>
      <w:r>
        <w:rPr>
          <w:rFonts w:hint="eastAsia" w:ascii="仿宋" w:hAnsi="仿宋" w:eastAsia="仿宋" w:cs="仿宋"/>
          <w:sz w:val="32"/>
          <w:szCs w:val="32"/>
        </w:rPr>
        <w:t>能力建设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抓好医疗质量安全、医疗纠纷第三方调解机制、医疗机构布局、医疗废物集中处置等工作</w:t>
      </w:r>
      <w:r>
        <w:rPr>
          <w:rFonts w:hint="eastAsia" w:ascii="仿宋" w:hAnsi="仿宋" w:eastAsia="仿宋" w:cs="仿宋"/>
          <w:bCs/>
          <w:sz w:val="32"/>
          <w:szCs w:val="32"/>
        </w:rPr>
        <w:t>。</w:t>
      </w:r>
    </w:p>
    <w:p w14:paraId="51259DAC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left="643"/>
        <w:textAlignment w:val="auto"/>
        <w:rPr>
          <w:rFonts w:hint="eastAsia" w:ascii="黑体" w:hAnsi="黑体" w:eastAsia="黑体" w:cs="黑体"/>
          <w:spacing w:val="8"/>
          <w:sz w:val="32"/>
          <w:szCs w:val="32"/>
          <w:lang w:val="en-US" w:eastAsia="zh-CN"/>
        </w:rPr>
      </w:pPr>
    </w:p>
    <w:p w14:paraId="11F7E4D2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left="643"/>
        <w:textAlignment w:val="auto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val="en-US" w:eastAsia="zh-CN"/>
        </w:rPr>
        <w:t>五</w:t>
      </w:r>
      <w:r>
        <w:rPr>
          <w:rFonts w:hint="eastAsia" w:ascii="黑体" w:hAnsi="黑体" w:eastAsia="黑体" w:cs="黑体"/>
          <w:spacing w:val="8"/>
          <w:sz w:val="32"/>
          <w:szCs w:val="32"/>
        </w:rPr>
        <w:t>、下一步改进措施</w:t>
      </w:r>
    </w:p>
    <w:p w14:paraId="0CFA15AA">
      <w:pPr>
        <w:pStyle w:val="7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firstLine="643" w:firstLineChars="200"/>
        <w:textAlignment w:val="auto"/>
        <w:rPr>
          <w:rFonts w:hint="eastAsia" w:ascii="仿宋" w:hAnsi="仿宋" w:eastAsia="仿宋" w:cs="仿宋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32"/>
          <w:szCs w:val="32"/>
          <w:lang w:val="en-US" w:eastAsia="zh-CN" w:bidi="ar-SA"/>
        </w:rPr>
        <w:t>1.强化宣传</w:t>
      </w:r>
      <w:r>
        <w:rPr>
          <w:rFonts w:hint="eastAsia" w:ascii="仿宋" w:hAnsi="仿宋" w:eastAsia="仿宋" w:cs="仿宋"/>
          <w:color w:val="auto"/>
          <w:kern w:val="2"/>
          <w:sz w:val="32"/>
          <w:szCs w:val="32"/>
          <w:lang w:val="en-US" w:eastAsia="zh-CN" w:bidi="ar-SA"/>
        </w:rPr>
        <w:t>。进一步加大宣传力度，让广大城乡居民更全面了解项目的益处，提高群众知晓率，鼓励群众积极参与，自愿配合医疗卫生服务工作的开展。</w:t>
      </w:r>
    </w:p>
    <w:p w14:paraId="2CDA8977">
      <w:pPr>
        <w:keepNext w:val="0"/>
        <w:keepLines w:val="0"/>
        <w:pageBreakBefore w:val="0"/>
        <w:widowControl w:val="0"/>
        <w:tabs>
          <w:tab w:val="center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29"/>
        <w:jc w:val="left"/>
        <w:textAlignment w:val="auto"/>
        <w:rPr>
          <w:rFonts w:hint="eastAsia"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  <w:t>2.严格审核。</w:t>
      </w:r>
      <w:r>
        <w:rPr>
          <w:rFonts w:hint="eastAsia" w:ascii="仿宋" w:hAnsi="仿宋" w:eastAsia="仿宋" w:cs="仿宋"/>
          <w:color w:val="auto"/>
          <w:kern w:val="2"/>
          <w:sz w:val="32"/>
          <w:szCs w:val="32"/>
          <w:lang w:val="en-US" w:eastAsia="zh-CN" w:bidi="ar-SA"/>
        </w:rPr>
        <w:t>按照预算规定的项目和用途严格财务审核，经费支出严格按预算规定项目的财务支出内容进行财务核算，在预算金额内严格控制费用的支出。</w:t>
      </w:r>
    </w:p>
    <w:p w14:paraId="31BA7FC1"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600" w:lineRule="exact"/>
        <w:ind w:firstLine="645"/>
        <w:jc w:val="left"/>
        <w:textAlignment w:val="auto"/>
        <w:rPr>
          <w:rFonts w:hint="eastAsia" w:ascii="仿宋" w:hAnsi="仿宋" w:eastAsia="仿宋" w:cs="仿宋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  <w:t>3.分析常态化。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  <w:lang w:eastAsia="zh-CN"/>
        </w:rPr>
        <w:t>将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预算财务分析常态化，定期做好预算支出财务分析，做好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  <w:lang w:eastAsia="zh-CN"/>
        </w:rPr>
        <w:t>医院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整体支出预算评价工作。</w:t>
      </w:r>
    </w:p>
    <w:p w14:paraId="5DDA8C46"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600" w:lineRule="exact"/>
        <w:ind w:firstLine="645"/>
        <w:jc w:val="left"/>
        <w:textAlignment w:val="auto"/>
        <w:rPr>
          <w:rFonts w:hint="eastAsia"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 w:val="0"/>
          <w:sz w:val="32"/>
          <w:szCs w:val="32"/>
          <w:lang w:val="en-US" w:eastAsia="zh-CN"/>
        </w:rPr>
        <w:t>4.强化信息公开。</w:t>
      </w:r>
      <w:r>
        <w:rPr>
          <w:rFonts w:hint="eastAsia" w:ascii="仿宋" w:hAnsi="仿宋" w:eastAsia="仿宋" w:cs="仿宋"/>
          <w:color w:val="auto"/>
          <w:kern w:val="2"/>
          <w:sz w:val="32"/>
          <w:szCs w:val="32"/>
          <w:lang w:val="en-US" w:eastAsia="zh-CN" w:bidi="ar-SA"/>
        </w:rPr>
        <w:t>积极宣传和引导居民群众对医疗卫生服务的认知度和信任度，激发公众的参与度，从而积极献计献策、监督政府职能部门的各项工作。</w:t>
      </w:r>
      <w:r>
        <w:rPr>
          <w:rFonts w:hint="eastAsia" w:ascii="仿宋" w:hAnsi="仿宋" w:eastAsia="仿宋" w:cs="仿宋"/>
          <w:bCs/>
          <w:spacing w:val="-6"/>
          <w:sz w:val="32"/>
          <w:szCs w:val="32"/>
        </w:rPr>
        <w:t xml:space="preserve"> </w:t>
      </w:r>
    </w:p>
    <w:p w14:paraId="17568144">
      <w:pPr>
        <w:keepNext w:val="0"/>
        <w:keepLines w:val="0"/>
        <w:pageBreakBefore w:val="0"/>
        <w:widowControl w:val="0"/>
        <w:tabs>
          <w:tab w:val="center" w:pos="4153"/>
        </w:tabs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firstLine="643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 w:val="0"/>
          <w:kern w:val="0"/>
          <w:sz w:val="32"/>
          <w:szCs w:val="32"/>
          <w:lang w:val="en-US" w:eastAsia="zh-CN" w:bidi="ar"/>
        </w:rPr>
        <w:t>5.加大人才培养。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由于基层医疗卫生机构医护人员总量不足且青黄不接的问题，希望财政能加大对医疗卫生本土化人才培养的投入，</w:t>
      </w:r>
    </w:p>
    <w:p w14:paraId="2E2EA670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firstLine="643" w:firstLineChars="200"/>
        <w:textAlignment w:val="auto"/>
        <w:rPr>
          <w:rFonts w:hint="eastAsia"/>
        </w:rPr>
      </w:pPr>
      <w:r>
        <w:rPr>
          <w:rFonts w:hint="eastAsia" w:ascii="仿宋" w:hAnsi="仿宋" w:eastAsia="仿宋" w:cs="仿宋"/>
          <w:b/>
          <w:bCs w:val="0"/>
          <w:kern w:val="0"/>
          <w:sz w:val="32"/>
          <w:szCs w:val="32"/>
          <w:lang w:val="en-US" w:eastAsia="zh-CN" w:bidi="ar"/>
        </w:rPr>
        <w:t>6.增强投入。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疾病预防控制中相关经费短缺，预防性健康体检经费，疫情防控经费，建设等项目需要增强投入和建设。</w:t>
      </w:r>
    </w:p>
    <w:p w14:paraId="4A0AFCA8"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left="647"/>
        <w:textAlignment w:val="auto"/>
        <w:rPr>
          <w:rFonts w:hint="eastAsia" w:ascii="黑体" w:hAnsi="黑体" w:eastAsia="黑体" w:cs="黑体"/>
          <w:spacing w:val="-3"/>
          <w:sz w:val="32"/>
          <w:szCs w:val="32"/>
        </w:rPr>
      </w:pPr>
      <w:r>
        <w:rPr>
          <w:rFonts w:hint="eastAsia" w:ascii="黑体" w:hAnsi="黑体" w:eastAsia="黑体" w:cs="黑体"/>
          <w:spacing w:val="-3"/>
          <w:sz w:val="32"/>
          <w:szCs w:val="32"/>
          <w:lang w:val="en-US" w:eastAsia="zh-CN"/>
        </w:rPr>
        <w:t>六</w:t>
      </w:r>
      <w:r>
        <w:rPr>
          <w:rFonts w:hint="eastAsia" w:ascii="黑体" w:hAnsi="黑体" w:eastAsia="黑体" w:cs="黑体"/>
          <w:spacing w:val="-3"/>
          <w:sz w:val="32"/>
          <w:szCs w:val="32"/>
        </w:rPr>
        <w:t>、其他需要说明的情况</w:t>
      </w:r>
    </w:p>
    <w:p w14:paraId="7CD26C7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firstLine="640" w:firstLineChars="200"/>
        <w:textAlignment w:val="auto"/>
        <w:rPr>
          <w:rFonts w:hint="default" w:ascii="Times New Roman" w:hAnsi="Times New Roman" w:eastAsia="方正小标宋_GBK" w:cs="Times New Roman"/>
          <w:sz w:val="52"/>
          <w:szCs w:val="52"/>
        </w:rPr>
        <w:sectPr>
          <w:footerReference r:id="rId4" w:type="default"/>
          <w:pgSz w:w="11905" w:h="16838"/>
          <w:pgMar w:top="1984" w:right="1701" w:bottom="1984" w:left="1701" w:header="850" w:footer="992" w:gutter="0"/>
          <w:pgNumType w:fmt="numberInDash"/>
          <w:cols w:space="0" w:num="1"/>
          <w:rtlGutter w:val="0"/>
          <w:docGrid w:type="lines" w:linePitch="314" w:charSpace="0"/>
        </w:sect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无</w:t>
      </w:r>
    </w:p>
    <w:p w14:paraId="0149D0E6">
      <w:pPr>
        <w:rPr>
          <w:rFonts w:hint="default" w:ascii="黑体" w:hAnsi="黑体" w:eastAsia="黑体" w:cs="黑体"/>
          <w:sz w:val="21"/>
          <w:szCs w:val="21"/>
          <w:lang w:val="en-US" w:eastAsia="zh-CN"/>
        </w:rPr>
      </w:pPr>
    </w:p>
    <w:sectPr>
      <w:footerReference r:id="rId5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9F4358D-1976-4FD7-8125-4663D1FF917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4CD8EC8-0A46-4D0A-8463-5D8090BF99C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846E7286-37DB-4212-A47E-049CA7C9C40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221A7528-5780-48DC-AADF-8CDAFA8F79D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11F99D0-0854-4C11-B21C-73EF0400EB27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B35C4063-C516-4D7A-84C8-D16CEDF9282F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201F00CF-7FE1-4267-B555-2BD2E2C849F2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D78E0FC0-32AA-45CD-9180-F98D08E66313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9" w:fontKey="{7857272B-B6BD-434D-B58E-DD556491CD2A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587104BD-B2A1-4BB5-B1E3-1CC4BB6172FE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1" w:fontKey="{938315FC-01E3-4770-9FED-8310853937FF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2" w:fontKey="{7A1386C2-BD41-409D-81CB-4AA7BFCC8D6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58DB3F">
    <w:pPr>
      <w:pStyle w:val="4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F229194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F229194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BD83B5C">
    <w:pPr>
      <w:pStyle w:val="4"/>
      <w:spacing w:before="1" w:line="174" w:lineRule="auto"/>
      <w:ind w:left="8576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8DD2ABD">
                          <w:pPr>
                            <w:pStyle w:val="5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8DD2ABD">
                    <w:pPr>
                      <w:pStyle w:val="5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10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B2FD3D"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B8A84F7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B8A84F7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131A568"/>
    <w:multiLevelType w:val="singleLevel"/>
    <w:tmpl w:val="F131A56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F6344E20"/>
    <w:multiLevelType w:val="singleLevel"/>
    <w:tmpl w:val="F6344E20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JjODBkYWYzMmUzMmNmODg2ZjUyMzdiNTY5NDMxNjA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21891"/>
    <w:rsid w:val="011D2710"/>
    <w:rsid w:val="016A347B"/>
    <w:rsid w:val="01B42948"/>
    <w:rsid w:val="01BE7323"/>
    <w:rsid w:val="01BF20E7"/>
    <w:rsid w:val="01E4322D"/>
    <w:rsid w:val="021138F7"/>
    <w:rsid w:val="02B50488"/>
    <w:rsid w:val="0338470A"/>
    <w:rsid w:val="034822A9"/>
    <w:rsid w:val="03D86621"/>
    <w:rsid w:val="04003C23"/>
    <w:rsid w:val="04781A0B"/>
    <w:rsid w:val="04EE6171"/>
    <w:rsid w:val="05315F6B"/>
    <w:rsid w:val="05395EA9"/>
    <w:rsid w:val="0616597F"/>
    <w:rsid w:val="06284D83"/>
    <w:rsid w:val="06426ACC"/>
    <w:rsid w:val="065E27B5"/>
    <w:rsid w:val="071E2D3E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5343F1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12540B"/>
    <w:rsid w:val="13345697"/>
    <w:rsid w:val="13441D7E"/>
    <w:rsid w:val="136F31F8"/>
    <w:rsid w:val="1384217A"/>
    <w:rsid w:val="138750E0"/>
    <w:rsid w:val="1396506E"/>
    <w:rsid w:val="13D82A59"/>
    <w:rsid w:val="140E6961"/>
    <w:rsid w:val="151E01E7"/>
    <w:rsid w:val="15604228"/>
    <w:rsid w:val="15A620D3"/>
    <w:rsid w:val="16A3369E"/>
    <w:rsid w:val="17114A8B"/>
    <w:rsid w:val="176B77A7"/>
    <w:rsid w:val="178536BD"/>
    <w:rsid w:val="17C92852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AFC78B5"/>
    <w:rsid w:val="1B742AA7"/>
    <w:rsid w:val="1BD5498B"/>
    <w:rsid w:val="1BF15B4E"/>
    <w:rsid w:val="1C093B64"/>
    <w:rsid w:val="1CA34935"/>
    <w:rsid w:val="1D5A640E"/>
    <w:rsid w:val="1D943902"/>
    <w:rsid w:val="1DF63C75"/>
    <w:rsid w:val="1E0B0E08"/>
    <w:rsid w:val="1E9351E5"/>
    <w:rsid w:val="1F7640EC"/>
    <w:rsid w:val="20176B8B"/>
    <w:rsid w:val="20D30097"/>
    <w:rsid w:val="20D76C5F"/>
    <w:rsid w:val="20E55C2B"/>
    <w:rsid w:val="21057490"/>
    <w:rsid w:val="214A230E"/>
    <w:rsid w:val="217068CB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7E72880"/>
    <w:rsid w:val="28043432"/>
    <w:rsid w:val="284A2254"/>
    <w:rsid w:val="29165294"/>
    <w:rsid w:val="292713F3"/>
    <w:rsid w:val="292F1467"/>
    <w:rsid w:val="29786927"/>
    <w:rsid w:val="297B51B4"/>
    <w:rsid w:val="29E40467"/>
    <w:rsid w:val="29F527E2"/>
    <w:rsid w:val="2A61691A"/>
    <w:rsid w:val="2A9A1E2C"/>
    <w:rsid w:val="2B3A3CA1"/>
    <w:rsid w:val="2BF35971"/>
    <w:rsid w:val="2C487650"/>
    <w:rsid w:val="2C5A7AC4"/>
    <w:rsid w:val="2DAA282F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27D30E9"/>
    <w:rsid w:val="32B828A4"/>
    <w:rsid w:val="33235CE2"/>
    <w:rsid w:val="33C10429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60B75"/>
    <w:rsid w:val="38F862EB"/>
    <w:rsid w:val="39343807"/>
    <w:rsid w:val="396C606A"/>
    <w:rsid w:val="39847EA5"/>
    <w:rsid w:val="39887BBC"/>
    <w:rsid w:val="3A0F7AD4"/>
    <w:rsid w:val="3A53023B"/>
    <w:rsid w:val="3AF42D2D"/>
    <w:rsid w:val="3B062751"/>
    <w:rsid w:val="3B3A041F"/>
    <w:rsid w:val="3B7364AD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4FA379B"/>
    <w:rsid w:val="451C1963"/>
    <w:rsid w:val="45320384"/>
    <w:rsid w:val="457C5F26"/>
    <w:rsid w:val="4716830A"/>
    <w:rsid w:val="479A3013"/>
    <w:rsid w:val="47BF53CA"/>
    <w:rsid w:val="48B126BB"/>
    <w:rsid w:val="49B4660E"/>
    <w:rsid w:val="49CF255F"/>
    <w:rsid w:val="4A3239D7"/>
    <w:rsid w:val="4A873D23"/>
    <w:rsid w:val="4AA541A9"/>
    <w:rsid w:val="4B296B88"/>
    <w:rsid w:val="4B2C5DCD"/>
    <w:rsid w:val="4B46D032"/>
    <w:rsid w:val="4B7D1173"/>
    <w:rsid w:val="4BBDFBDE"/>
    <w:rsid w:val="4BCF5C41"/>
    <w:rsid w:val="4C150E22"/>
    <w:rsid w:val="4C5145E8"/>
    <w:rsid w:val="4C6A38FC"/>
    <w:rsid w:val="4CD520DA"/>
    <w:rsid w:val="4CE74BC3"/>
    <w:rsid w:val="4CEEB85C"/>
    <w:rsid w:val="4CF5000E"/>
    <w:rsid w:val="4D6D6EEB"/>
    <w:rsid w:val="4DB17672"/>
    <w:rsid w:val="4DB27F04"/>
    <w:rsid w:val="4E437F61"/>
    <w:rsid w:val="4F113409"/>
    <w:rsid w:val="4F5D15A2"/>
    <w:rsid w:val="4FCB46B2"/>
    <w:rsid w:val="4FFE57BD"/>
    <w:rsid w:val="50AC44C4"/>
    <w:rsid w:val="50B04973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B23ED5"/>
    <w:rsid w:val="56F72F7C"/>
    <w:rsid w:val="5717642E"/>
    <w:rsid w:val="57946554"/>
    <w:rsid w:val="57D80A00"/>
    <w:rsid w:val="586243BF"/>
    <w:rsid w:val="58FD3402"/>
    <w:rsid w:val="5968027A"/>
    <w:rsid w:val="596D4FAD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7C76DB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94FF5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A33E09"/>
    <w:rsid w:val="6AC56475"/>
    <w:rsid w:val="6AD35263"/>
    <w:rsid w:val="6B8D38AE"/>
    <w:rsid w:val="6BA1010E"/>
    <w:rsid w:val="6BC80F42"/>
    <w:rsid w:val="6C94225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0370F8"/>
    <w:rsid w:val="70EC5DDE"/>
    <w:rsid w:val="71572F19"/>
    <w:rsid w:val="719B7427"/>
    <w:rsid w:val="71E33685"/>
    <w:rsid w:val="71F326B3"/>
    <w:rsid w:val="724A6793"/>
    <w:rsid w:val="72647B59"/>
    <w:rsid w:val="7295497F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3F4EBA"/>
    <w:rsid w:val="776ACBF9"/>
    <w:rsid w:val="77FF7A21"/>
    <w:rsid w:val="7951325E"/>
    <w:rsid w:val="799536BA"/>
    <w:rsid w:val="79C45B4A"/>
    <w:rsid w:val="79E40FD8"/>
    <w:rsid w:val="7B170752"/>
    <w:rsid w:val="7B382425"/>
    <w:rsid w:val="7B8F681B"/>
    <w:rsid w:val="7BB120FE"/>
    <w:rsid w:val="7BC55225"/>
    <w:rsid w:val="7BFF9B5C"/>
    <w:rsid w:val="7C3B673F"/>
    <w:rsid w:val="7CED5089"/>
    <w:rsid w:val="7D284642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10">
    <w:name w:val="Default Paragraph Font"/>
    <w:autoRedefine/>
    <w:semiHidden/>
    <w:qFormat/>
    <w:uiPriority w:val="99"/>
  </w:style>
  <w:style w:type="table" w:default="1" w:styleId="8">
    <w:name w:val="Normal Table"/>
    <w:autoRedefine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autoRedefine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autoRedefine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2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9">
    <w:name w:val="Table Grid"/>
    <w:basedOn w:val="8"/>
    <w:autoRedefine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page number"/>
    <w:basedOn w:val="10"/>
    <w:autoRedefine/>
    <w:qFormat/>
    <w:uiPriority w:val="99"/>
    <w:rPr>
      <w:rFonts w:cs="Times New Roman"/>
    </w:rPr>
  </w:style>
  <w:style w:type="character" w:customStyle="1" w:styleId="12">
    <w:name w:val="Footer Char"/>
    <w:basedOn w:val="10"/>
    <w:link w:val="5"/>
    <w:autoRedefine/>
    <w:semiHidden/>
    <w:qFormat/>
    <w:uiPriority w:val="99"/>
    <w:rPr>
      <w:sz w:val="18"/>
      <w:szCs w:val="18"/>
    </w:rPr>
  </w:style>
  <w:style w:type="character" w:customStyle="1" w:styleId="13">
    <w:name w:val="Header Char"/>
    <w:basedOn w:val="10"/>
    <w:link w:val="6"/>
    <w:autoRedefine/>
    <w:semiHidden/>
    <w:qFormat/>
    <w:uiPriority w:val="99"/>
    <w:rPr>
      <w:sz w:val="18"/>
      <w:szCs w:val="18"/>
    </w:rPr>
  </w:style>
  <w:style w:type="paragraph" w:styleId="14">
    <w:name w:val="List Paragraph"/>
    <w:basedOn w:val="1"/>
    <w:autoRedefine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5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6">
    <w:name w:val="Table Text"/>
    <w:basedOn w:val="1"/>
    <w:autoRedefine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7</Pages>
  <Words>1587</Words>
  <Characters>1753</Characters>
  <Lines>0</Lines>
  <Paragraphs>0</Paragraphs>
  <TotalTime>11</TotalTime>
  <ScaleCrop>false</ScaleCrop>
  <LinksUpToDate>false</LinksUpToDate>
  <CharactersWithSpaces>1761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吴梓阳</cp:lastModifiedBy>
  <cp:lastPrinted>2024-05-20T07:59:00Z</cp:lastPrinted>
  <dcterms:modified xsi:type="dcterms:W3CDTF">2025-05-13T07:37:03Z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SaveFontToCloudKey">
    <vt:lpwstr>386772509_embed</vt:lpwstr>
  </property>
  <property fmtid="{D5CDD505-2E9C-101B-9397-08002B2CF9AE}" pid="4" name="ICV">
    <vt:lpwstr>8184AB332441430995C307C5739FB151_13</vt:lpwstr>
  </property>
  <property fmtid="{D5CDD505-2E9C-101B-9397-08002B2CF9AE}" pid="5" name="KSOTemplateDocerSaveRecord">
    <vt:lpwstr>eyJoZGlkIjoiNjJjODBkYWYzMmUzMmNmODg2ZjUyMzdiNTY5NDMxNjAiLCJ1c2VySWQiOiI2MzUyMzM5MDUifQ==</vt:lpwstr>
  </property>
</Properties>
</file>