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黑体" w:hAnsi="黑体" w:eastAsia="黑体" w:cs="黑体"/>
          <w:sz w:val="44"/>
          <w:szCs w:val="44"/>
          <w:lang w:eastAsia="zh-CN"/>
        </w:rPr>
      </w:pPr>
      <w:r>
        <w:rPr>
          <w:rFonts w:hint="eastAsia" w:ascii="黑体" w:hAnsi="黑体" w:eastAsia="黑体" w:cs="黑体"/>
          <w:sz w:val="44"/>
          <w:szCs w:val="44"/>
        </w:rPr>
        <w:t>202</w:t>
      </w:r>
      <w:r>
        <w:rPr>
          <w:rFonts w:hint="eastAsia" w:ascii="黑体" w:hAnsi="黑体" w:eastAsia="黑体" w:cs="黑体"/>
          <w:sz w:val="44"/>
          <w:szCs w:val="44"/>
          <w:lang w:val="en-US" w:eastAsia="zh-CN"/>
        </w:rPr>
        <w:t>4</w:t>
      </w:r>
      <w:r>
        <w:rPr>
          <w:rFonts w:hint="eastAsia" w:ascii="黑体" w:hAnsi="黑体" w:eastAsia="黑体" w:cs="黑体"/>
          <w:sz w:val="44"/>
          <w:szCs w:val="44"/>
        </w:rPr>
        <w:t>年度</w:t>
      </w:r>
      <w:r>
        <w:rPr>
          <w:rFonts w:hint="eastAsia" w:ascii="黑体" w:hAnsi="黑体" w:eastAsia="黑体" w:cs="黑体"/>
          <w:sz w:val="44"/>
          <w:szCs w:val="44"/>
          <w:lang w:eastAsia="zh-CN"/>
        </w:rPr>
        <w:t>华容县交通运输局</w:t>
      </w:r>
    </w:p>
    <w:p>
      <w:pPr>
        <w:jc w:val="center"/>
        <w:rPr>
          <w:rFonts w:hint="eastAsia" w:ascii="黑体" w:hAnsi="黑体" w:eastAsia="黑体" w:cs="黑体"/>
          <w:sz w:val="44"/>
          <w:szCs w:val="44"/>
        </w:rPr>
      </w:pPr>
      <w:r>
        <w:rPr>
          <w:rFonts w:hint="eastAsia" w:ascii="黑体" w:hAnsi="黑体" w:eastAsia="黑体" w:cs="黑体"/>
          <w:sz w:val="44"/>
          <w:szCs w:val="44"/>
          <w:lang w:eastAsia="zh-CN"/>
        </w:rPr>
        <w:t>其他解决历史遗留问题及改革成本</w:t>
      </w:r>
      <w:r>
        <w:rPr>
          <w:rFonts w:hint="eastAsia" w:ascii="黑体" w:hAnsi="黑体" w:eastAsia="黑体" w:cs="黑体"/>
          <w:sz w:val="44"/>
          <w:szCs w:val="44"/>
        </w:rPr>
        <w:t>支出绩效自评报告</w:t>
      </w:r>
    </w:p>
    <w:p>
      <w:pPr>
        <w:jc w:val="center"/>
        <w:rPr>
          <w:rFonts w:hint="default" w:ascii="Times New Roman" w:hAnsi="Times New Roman" w:eastAsia="方正小标宋_GBK" w:cs="Times New Roman"/>
          <w:b/>
          <w:sz w:val="52"/>
          <w:szCs w:val="52"/>
        </w:rPr>
      </w:pPr>
    </w:p>
    <w:p>
      <w:pPr>
        <w:jc w:val="center"/>
        <w:rPr>
          <w:rFonts w:hint="default" w:ascii="Times New Roman" w:hAnsi="Times New Roman" w:eastAsia="黑体" w:cs="Times New Roman"/>
          <w:sz w:val="32"/>
          <w:szCs w:val="32"/>
        </w:rPr>
      </w:pPr>
    </w:p>
    <w:p>
      <w:pPr>
        <w:pStyle w:val="7"/>
        <w:rPr>
          <w:rFonts w:hint="default"/>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both"/>
        <w:rPr>
          <w:rFonts w:hint="default" w:ascii="Times New Roman" w:hAnsi="Times New Roman" w:eastAsia="黑体" w:cs="Times New Roman"/>
          <w:sz w:val="32"/>
          <w:szCs w:val="32"/>
        </w:rPr>
      </w:pPr>
    </w:p>
    <w:p>
      <w:pPr>
        <w:pStyle w:val="4"/>
        <w:keepNext w:val="0"/>
        <w:keepLines w:val="0"/>
        <w:pageBreakBefore w:val="0"/>
        <w:widowControl w:val="0"/>
        <w:kinsoku/>
        <w:wordWrap/>
        <w:overflowPunct/>
        <w:topLinePunct w:val="0"/>
        <w:autoSpaceDE/>
        <w:autoSpaceDN/>
        <w:bidi w:val="0"/>
        <w:adjustRightInd/>
        <w:snapToGrid/>
        <w:spacing w:before="100" w:line="221" w:lineRule="auto"/>
        <w:ind w:firstLine="60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rPr>
        <w:t>部门（单位）名称</w:t>
      </w:r>
      <w:r>
        <w:rPr>
          <w:rFonts w:hint="eastAsia" w:ascii="仿宋_GB2312" w:hAnsi="仿宋_GB2312" w:eastAsia="仿宋_GB2312" w:cs="仿宋_GB2312"/>
          <w:spacing w:val="4"/>
          <w:sz w:val="32"/>
          <w:szCs w:val="32"/>
        </w:rPr>
        <w:t>：</w:t>
      </w:r>
      <w:r>
        <w:rPr>
          <w:rFonts w:hint="eastAsia" w:ascii="仿宋_GB2312" w:hAnsi="仿宋_GB2312" w:eastAsia="仿宋_GB2312" w:cs="仿宋_GB2312"/>
          <w:spacing w:val="4"/>
          <w:sz w:val="32"/>
          <w:szCs w:val="32"/>
          <w:u w:val="single" w:color="auto"/>
          <w:lang w:val="en-US" w:eastAsia="zh-CN"/>
        </w:rPr>
        <w:t>华容县交通运输局</w:t>
      </w:r>
    </w:p>
    <w:p>
      <w:pPr>
        <w:spacing w:before="228" w:line="222"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lang w:val="en-US" w:eastAsia="zh-CN"/>
        </w:rPr>
        <w:t>2025</w:t>
      </w:r>
      <w:r>
        <w:rPr>
          <w:rFonts w:hint="eastAsia" w:ascii="仿宋_GB2312" w:hAnsi="仿宋_GB2312" w:eastAsia="仿宋_GB2312" w:cs="仿宋_GB2312"/>
          <w:spacing w:val="-8"/>
          <w:sz w:val="32"/>
          <w:szCs w:val="32"/>
        </w:rPr>
        <w:t>年</w:t>
      </w:r>
      <w:r>
        <w:rPr>
          <w:rFonts w:hint="eastAsia" w:ascii="仿宋_GB2312" w:hAnsi="仿宋_GB2312" w:eastAsia="仿宋_GB2312" w:cs="仿宋_GB2312"/>
          <w:spacing w:val="21"/>
          <w:sz w:val="32"/>
          <w:szCs w:val="32"/>
          <w:lang w:val="en-US" w:eastAsia="zh-CN"/>
        </w:rPr>
        <w:t>5</w:t>
      </w:r>
      <w:r>
        <w:rPr>
          <w:rFonts w:hint="eastAsia" w:ascii="仿宋_GB2312" w:hAnsi="仿宋_GB2312" w:eastAsia="仿宋_GB2312" w:cs="仿宋_GB2312"/>
          <w:spacing w:val="-8"/>
          <w:sz w:val="32"/>
          <w:szCs w:val="32"/>
        </w:rPr>
        <w:t>月</w:t>
      </w:r>
      <w:r>
        <w:rPr>
          <w:rFonts w:hint="eastAsia" w:ascii="仿宋_GB2312" w:hAnsi="仿宋_GB2312" w:eastAsia="仿宋_GB2312" w:cs="仿宋_GB2312"/>
          <w:spacing w:val="43"/>
          <w:sz w:val="32"/>
          <w:szCs w:val="32"/>
          <w:lang w:val="en-US" w:eastAsia="zh-CN"/>
        </w:rPr>
        <w:t>22</w:t>
      </w:r>
      <w:r>
        <w:rPr>
          <w:rFonts w:hint="eastAsia" w:ascii="仿宋_GB2312" w:hAnsi="仿宋_GB2312" w:eastAsia="仿宋_GB2312" w:cs="仿宋_GB2312"/>
          <w:spacing w:val="-8"/>
          <w:sz w:val="32"/>
          <w:szCs w:val="32"/>
        </w:rPr>
        <w:t>日</w:t>
      </w:r>
    </w:p>
    <w:p>
      <w:pPr>
        <w:spacing w:line="335" w:lineRule="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rPr>
        <w:t>202</w:t>
      </w:r>
      <w:r>
        <w:rPr>
          <w:rFonts w:hint="eastAsia" w:ascii="黑体" w:hAnsi="黑体" w:eastAsia="黑体" w:cs="黑体"/>
          <w:sz w:val="44"/>
          <w:szCs w:val="44"/>
          <w:lang w:val="en-US" w:eastAsia="zh-CN"/>
        </w:rPr>
        <w:t>4</w:t>
      </w:r>
      <w:r>
        <w:rPr>
          <w:rFonts w:hint="eastAsia" w:ascii="黑体" w:hAnsi="黑体" w:eastAsia="黑体" w:cs="黑体"/>
          <w:sz w:val="44"/>
          <w:szCs w:val="44"/>
        </w:rPr>
        <w:t>年度</w:t>
      </w:r>
      <w:r>
        <w:rPr>
          <w:rFonts w:hint="eastAsia" w:ascii="黑体" w:hAnsi="黑体" w:eastAsia="黑体" w:cs="黑体"/>
          <w:sz w:val="44"/>
          <w:szCs w:val="44"/>
          <w:lang w:eastAsia="zh-CN"/>
        </w:rPr>
        <w:t>华容县交通运输局</w:t>
      </w: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黑体" w:hAnsi="黑体" w:eastAsia="黑体" w:cs="黑体"/>
          <w:sz w:val="44"/>
          <w:szCs w:val="44"/>
        </w:rPr>
      </w:pPr>
      <w:r>
        <w:rPr>
          <w:rFonts w:hint="eastAsia" w:ascii="黑体" w:hAnsi="黑体" w:eastAsia="黑体" w:cs="黑体"/>
          <w:sz w:val="44"/>
          <w:szCs w:val="44"/>
          <w:lang w:eastAsia="zh-CN"/>
        </w:rPr>
        <w:t>其他解决历史遗留问题及改革成本</w:t>
      </w:r>
      <w:r>
        <w:rPr>
          <w:rFonts w:hint="eastAsia" w:ascii="黑体" w:hAnsi="黑体" w:eastAsia="黑体" w:cs="黑体"/>
          <w:sz w:val="44"/>
          <w:szCs w:val="44"/>
        </w:rPr>
        <w:t>支出绩效自评报告</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黑体" w:hAnsi="黑体" w:eastAsia="黑体" w:cs="黑体"/>
          <w:sz w:val="30"/>
          <w:szCs w:val="30"/>
        </w:rPr>
      </w:pP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default" w:eastAsia="仿宋_GB2312"/>
          <w:sz w:val="32"/>
          <w:szCs w:val="32"/>
          <w:lang w:val="en-US" w:eastAsia="zh-CN"/>
        </w:rPr>
      </w:pPr>
      <w:r>
        <w:rPr>
          <w:rFonts w:hint="eastAsia" w:eastAsia="仿宋_GB2312"/>
          <w:sz w:val="32"/>
          <w:szCs w:val="32"/>
          <w:lang w:eastAsia="zh-CN"/>
        </w:rPr>
        <w:t>（</w:t>
      </w:r>
      <w:r>
        <w:rPr>
          <w:rFonts w:hint="eastAsia" w:eastAsia="仿宋_GB2312"/>
          <w:sz w:val="32"/>
          <w:szCs w:val="32"/>
        </w:rPr>
        <w:t>一</w:t>
      </w:r>
      <w:r>
        <w:rPr>
          <w:rFonts w:hint="eastAsia" w:eastAsia="仿宋_GB2312"/>
          <w:sz w:val="32"/>
          <w:szCs w:val="32"/>
          <w:lang w:eastAsia="zh-CN"/>
        </w:rPr>
        <w:t>）</w:t>
      </w:r>
      <w:r>
        <w:rPr>
          <w:rFonts w:hint="eastAsia" w:eastAsia="仿宋_GB2312"/>
          <w:sz w:val="32"/>
          <w:szCs w:val="32"/>
        </w:rPr>
        <w:t>项目概况。</w:t>
      </w:r>
      <w:r>
        <w:rPr>
          <w:rFonts w:hint="eastAsia" w:eastAsia="仿宋_GB2312"/>
          <w:sz w:val="32"/>
          <w:szCs w:val="32"/>
          <w:lang w:val="en-US" w:eastAsia="zh-CN"/>
        </w:rPr>
        <w:t>2024年度，</w:t>
      </w:r>
      <w:r>
        <w:rPr>
          <w:rFonts w:hint="eastAsia" w:eastAsia="仿宋_GB2312"/>
          <w:sz w:val="32"/>
          <w:szCs w:val="32"/>
          <w:lang w:eastAsia="zh-CN"/>
        </w:rPr>
        <w:t>其他解决历史遗留问题及改革成本</w:t>
      </w:r>
      <w:r>
        <w:rPr>
          <w:rFonts w:hint="eastAsia" w:eastAsia="仿宋_GB2312"/>
          <w:sz w:val="32"/>
          <w:szCs w:val="32"/>
          <w:lang w:val="en-US" w:eastAsia="zh-CN"/>
        </w:rPr>
        <w:t>支出项目补助资金260.13万元，主要用属下二级单位县旗杆咀船闸公司运行维护经费及退休人员养老金补缴经费。</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lang w:eastAsia="zh-CN"/>
        </w:rPr>
      </w:pPr>
      <w:r>
        <w:rPr>
          <w:rFonts w:hint="eastAsia" w:eastAsia="仿宋_GB2312"/>
          <w:sz w:val="32"/>
          <w:szCs w:val="32"/>
          <w:lang w:eastAsia="zh-CN"/>
        </w:rPr>
        <w:t>（</w:t>
      </w:r>
      <w:r>
        <w:rPr>
          <w:rFonts w:hint="eastAsia" w:eastAsia="仿宋_GB2312"/>
          <w:sz w:val="32"/>
          <w:szCs w:val="32"/>
        </w:rPr>
        <w:t>二</w:t>
      </w:r>
      <w:r>
        <w:rPr>
          <w:rFonts w:hint="eastAsia" w:eastAsia="仿宋_GB2312"/>
          <w:sz w:val="32"/>
          <w:szCs w:val="32"/>
          <w:lang w:eastAsia="zh-CN"/>
        </w:rPr>
        <w:t>）</w:t>
      </w:r>
      <w:r>
        <w:rPr>
          <w:rFonts w:hint="eastAsia" w:eastAsia="仿宋_GB2312"/>
          <w:sz w:val="32"/>
          <w:szCs w:val="32"/>
        </w:rPr>
        <w:t>项目绩效目标。</w:t>
      </w:r>
      <w:r>
        <w:rPr>
          <w:rFonts w:hint="eastAsia" w:eastAsia="仿宋_GB2312"/>
          <w:sz w:val="32"/>
          <w:szCs w:val="32"/>
          <w:lang w:eastAsia="zh-CN"/>
        </w:rPr>
        <w:t>及时完成资金拨付，保障正常运转，确保人员稳定</w:t>
      </w:r>
      <w:r>
        <w:rPr>
          <w:rFonts w:hint="eastAsia" w:eastAsia="仿宋_GB2312"/>
          <w:sz w:val="32"/>
          <w:szCs w:val="32"/>
          <w:lang w:val="en-US" w:eastAsia="zh-CN"/>
        </w:rPr>
        <w:t>。</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一</w:t>
      </w:r>
      <w:r>
        <w:rPr>
          <w:rFonts w:hint="eastAsia" w:eastAsia="仿宋_GB2312"/>
          <w:sz w:val="32"/>
          <w:szCs w:val="32"/>
          <w:lang w:eastAsia="zh-CN"/>
        </w:rPr>
        <w:t>）</w:t>
      </w:r>
      <w:r>
        <w:rPr>
          <w:rFonts w:hint="eastAsia" w:eastAsia="仿宋_GB2312"/>
          <w:sz w:val="32"/>
          <w:szCs w:val="32"/>
        </w:rPr>
        <w:t>绩效评价目的、对象和范围。</w:t>
      </w:r>
      <w:r>
        <w:rPr>
          <w:rFonts w:hint="eastAsia" w:ascii="仿宋_GB2312" w:hAnsi="仿宋_GB2312" w:eastAsia="仿宋_GB2312" w:cs="仿宋_GB2312"/>
          <w:sz w:val="32"/>
          <w:szCs w:val="32"/>
        </w:rPr>
        <w:t>为加强交通运输行业服务水平，提高资金使用效益，发挥主管部门绩效工作监督和指导职能。</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pPr>
      <w:r>
        <w:rPr>
          <w:rFonts w:hint="eastAsia" w:eastAsia="仿宋_GB2312"/>
          <w:sz w:val="32"/>
          <w:szCs w:val="32"/>
          <w:lang w:eastAsia="zh-CN"/>
        </w:rPr>
        <w:t>（</w:t>
      </w:r>
      <w:r>
        <w:rPr>
          <w:rFonts w:hint="eastAsia" w:eastAsia="仿宋_GB2312"/>
          <w:sz w:val="32"/>
          <w:szCs w:val="32"/>
        </w:rPr>
        <w:t>二</w:t>
      </w:r>
      <w:r>
        <w:rPr>
          <w:rFonts w:hint="eastAsia" w:eastAsia="仿宋_GB2312"/>
          <w:sz w:val="32"/>
          <w:szCs w:val="32"/>
          <w:lang w:eastAsia="zh-CN"/>
        </w:rPr>
        <w:t>）</w:t>
      </w:r>
      <w:r>
        <w:rPr>
          <w:rFonts w:hint="eastAsia" w:eastAsia="仿宋_GB2312"/>
          <w:sz w:val="32"/>
          <w:szCs w:val="32"/>
        </w:rPr>
        <w:t>绩效评价原则、评价指标体系</w:t>
      </w:r>
      <w:r>
        <w:rPr>
          <w:rFonts w:hint="eastAsia" w:eastAsia="仿宋_GB2312"/>
          <w:sz w:val="32"/>
          <w:szCs w:val="32"/>
          <w:lang w:eastAsia="zh-CN"/>
        </w:rPr>
        <w:t>（</w:t>
      </w:r>
      <w:r>
        <w:rPr>
          <w:rFonts w:hint="eastAsia" w:eastAsia="仿宋_GB2312"/>
          <w:sz w:val="32"/>
          <w:szCs w:val="32"/>
        </w:rPr>
        <w:t>附表说明</w:t>
      </w:r>
      <w:r>
        <w:rPr>
          <w:rFonts w:hint="eastAsia" w:eastAsia="仿宋_GB2312"/>
          <w:sz w:val="32"/>
          <w:szCs w:val="32"/>
          <w:lang w:eastAsia="zh-CN"/>
        </w:rPr>
        <w:t>）</w:t>
      </w:r>
      <w:r>
        <w:rPr>
          <w:rFonts w:hint="eastAsia" w:eastAsia="仿宋_GB2312"/>
          <w:sz w:val="32"/>
          <w:szCs w:val="32"/>
        </w:rPr>
        <w:t>、评价方法、评价标准等。</w:t>
      </w:r>
      <w:r>
        <w:rPr>
          <w:rFonts w:hint="eastAsia" w:ascii="仿宋_GB2312" w:hAnsi="仿宋_GB2312" w:eastAsia="仿宋_GB2312" w:cs="仿宋_GB2312"/>
          <w:sz w:val="32"/>
          <w:szCs w:val="32"/>
        </w:rPr>
        <w:t>我局绩效自评遵循以下原则：客观、公正、科学、严谨、独立的基础上开展工作。</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项目支出自评体系，设定基本情况、产出、效益、满意度等一级指标四个，下各设定了若干个二级指标和三级指标及其分值，总分设置为100分，等级划分为四档：90（含）-100分为优、80（含）-90分为良、60（含）-80分为中、60分以下为差。</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ascii="仿宋_GB2312" w:hAnsi="仿宋_GB2312" w:eastAsia="仿宋_GB2312" w:cs="仿宋_GB2312"/>
          <w:sz w:val="32"/>
          <w:szCs w:val="32"/>
        </w:rPr>
        <w:t>绩效评价方法主要采取成本效益分析法、比较法、公众评判法等。手段主要包括：收集资料，实地勘察和民意采集等。</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三</w:t>
      </w:r>
      <w:r>
        <w:rPr>
          <w:rFonts w:hint="eastAsia" w:eastAsia="仿宋_GB2312"/>
          <w:sz w:val="32"/>
          <w:szCs w:val="32"/>
          <w:lang w:eastAsia="zh-CN"/>
        </w:rPr>
        <w:t>）</w:t>
      </w:r>
      <w:r>
        <w:rPr>
          <w:rFonts w:hint="eastAsia" w:eastAsia="仿宋_GB2312"/>
          <w:sz w:val="32"/>
          <w:szCs w:val="32"/>
        </w:rPr>
        <w:t>绩效评价工作过程。</w:t>
      </w:r>
      <w:r>
        <w:rPr>
          <w:rFonts w:hint="eastAsia" w:ascii="仿宋_GB2312" w:hAnsi="仿宋_GB2312" w:eastAsia="仿宋_GB2312" w:cs="仿宋_GB2312"/>
          <w:sz w:val="32"/>
          <w:szCs w:val="32"/>
        </w:rPr>
        <w:t>我局成立了202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年度财政资金绩效自评工作小组，为了保障自评质量，我局抽调精干人员，从专业角度开展了局本级及被评价责任单位，202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年整体支出和项目支出绩效自评工作。此项目支出情况在评价范围内，通过查阅资料、现场勘察，完成了自评工作。</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三、综合评价情况及评价结论 </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rPr>
      </w:pPr>
      <w:r>
        <w:rPr>
          <w:rFonts w:hint="eastAsia" w:ascii="仿宋_GB2312" w:hAnsi="仿宋_GB2312" w:eastAsia="仿宋_GB2312" w:cs="仿宋_GB2312"/>
          <w:sz w:val="32"/>
          <w:szCs w:val="32"/>
          <w:lang w:eastAsia="zh-CN"/>
        </w:rPr>
        <w:t>综合评价以上项目均已完成，</w:t>
      </w:r>
      <w:r>
        <w:rPr>
          <w:rFonts w:hint="eastAsia" w:ascii="仿宋_GB2312" w:hAnsi="仿宋_GB2312" w:eastAsia="仿宋_GB2312" w:cs="仿宋_GB2312"/>
          <w:color w:val="auto"/>
          <w:sz w:val="32"/>
          <w:szCs w:val="32"/>
          <w:lang w:eastAsia="zh-CN"/>
        </w:rPr>
        <w:t>完成了</w:t>
      </w:r>
      <w:r>
        <w:rPr>
          <w:rFonts w:hint="eastAsia" w:ascii="仿宋_GB2312" w:hAnsi="仿宋_GB2312" w:eastAsia="仿宋_GB2312" w:cs="仿宋_GB2312"/>
          <w:color w:val="auto"/>
          <w:sz w:val="32"/>
          <w:szCs w:val="32"/>
          <w:lang w:val="en-US" w:eastAsia="zh-CN"/>
        </w:rPr>
        <w:t>资金拨付，保障了全年正常运转及人员稳定，</w:t>
      </w:r>
      <w:r>
        <w:rPr>
          <w:rFonts w:hint="eastAsia" w:ascii="仿宋_GB2312" w:hAnsi="仿宋_GB2312" w:eastAsia="仿宋_GB2312" w:cs="仿宋_GB2312"/>
          <w:sz w:val="32"/>
          <w:szCs w:val="32"/>
          <w:lang w:eastAsia="zh-CN"/>
        </w:rPr>
        <w:t>经评价考核，以上项目符合行业标准，未见异常。项目支出自评得分</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eastAsia="zh-CN"/>
        </w:rPr>
        <w:t>分。</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四、绩效评价指标分析</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一</w:t>
      </w:r>
      <w:r>
        <w:rPr>
          <w:rFonts w:hint="eastAsia" w:eastAsia="仿宋_GB2312"/>
          <w:sz w:val="32"/>
          <w:szCs w:val="32"/>
          <w:lang w:eastAsia="zh-CN"/>
        </w:rPr>
        <w:t>）</w:t>
      </w:r>
      <w:r>
        <w:rPr>
          <w:rFonts w:hint="eastAsia" w:eastAsia="仿宋_GB2312"/>
          <w:sz w:val="32"/>
          <w:szCs w:val="32"/>
        </w:rPr>
        <w:t>项目决策情况。</w:t>
      </w:r>
      <w:r>
        <w:rPr>
          <w:rFonts w:hint="eastAsia" w:ascii="仿宋_GB2312" w:hAnsi="仿宋_GB2312" w:eastAsia="仿宋_GB2312" w:cs="仿宋_GB2312"/>
          <w:sz w:val="32"/>
          <w:szCs w:val="32"/>
        </w:rPr>
        <w:t>以上项目实施单位，局机关、</w:t>
      </w:r>
      <w:r>
        <w:rPr>
          <w:rFonts w:hint="eastAsia" w:ascii="仿宋_GB2312" w:hAnsi="仿宋_GB2312" w:eastAsia="仿宋_GB2312" w:cs="仿宋_GB2312"/>
          <w:sz w:val="32"/>
          <w:szCs w:val="32"/>
          <w:lang w:eastAsia="zh-CN"/>
        </w:rPr>
        <w:t>船闸</w:t>
      </w:r>
      <w:r>
        <w:rPr>
          <w:rFonts w:hint="eastAsia" w:ascii="仿宋_GB2312" w:hAnsi="仿宋_GB2312" w:eastAsia="仿宋_GB2312" w:cs="仿宋_GB2312"/>
          <w:sz w:val="32"/>
          <w:szCs w:val="32"/>
        </w:rPr>
        <w:t>公司，根据政府要求，按年初计划确定具体项目，按程序推进落实。</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二</w:t>
      </w:r>
      <w:r>
        <w:rPr>
          <w:rFonts w:hint="eastAsia" w:eastAsia="仿宋_GB2312"/>
          <w:sz w:val="32"/>
          <w:szCs w:val="32"/>
          <w:lang w:eastAsia="zh-CN"/>
        </w:rPr>
        <w:t>）</w:t>
      </w:r>
      <w:r>
        <w:rPr>
          <w:rFonts w:hint="eastAsia" w:eastAsia="仿宋_GB2312"/>
          <w:sz w:val="32"/>
          <w:szCs w:val="32"/>
        </w:rPr>
        <w:t>项目过程情况。</w:t>
      </w:r>
      <w:r>
        <w:rPr>
          <w:rFonts w:hint="eastAsia" w:ascii="仿宋_GB2312" w:hAnsi="仿宋_GB2312" w:eastAsia="仿宋_GB2312" w:cs="仿宋_GB2312"/>
          <w:sz w:val="32"/>
          <w:szCs w:val="32"/>
        </w:rPr>
        <w:t>按属地原则，我局将</w:t>
      </w:r>
      <w:r>
        <w:rPr>
          <w:rFonts w:hint="eastAsia" w:ascii="仿宋_GB2312" w:hAnsi="仿宋_GB2312" w:eastAsia="仿宋_GB2312" w:cs="仿宋_GB2312"/>
          <w:sz w:val="32"/>
          <w:szCs w:val="32"/>
          <w:lang w:eastAsia="zh-CN"/>
        </w:rPr>
        <w:t>补助资金</w:t>
      </w:r>
      <w:r>
        <w:rPr>
          <w:rFonts w:hint="eastAsia" w:ascii="仿宋_GB2312" w:hAnsi="仿宋_GB2312" w:eastAsia="仿宋_GB2312" w:cs="仿宋_GB2312"/>
          <w:sz w:val="32"/>
          <w:szCs w:val="32"/>
        </w:rPr>
        <w:t>下达给</w:t>
      </w:r>
      <w:r>
        <w:rPr>
          <w:rFonts w:hint="eastAsia" w:ascii="仿宋_GB2312" w:hAnsi="仿宋_GB2312" w:eastAsia="仿宋_GB2312" w:cs="仿宋_GB2312"/>
          <w:sz w:val="32"/>
          <w:szCs w:val="32"/>
          <w:lang w:eastAsia="zh-CN"/>
        </w:rPr>
        <w:t>船闸公司</w:t>
      </w:r>
      <w:r>
        <w:rPr>
          <w:rFonts w:hint="eastAsia" w:ascii="仿宋_GB2312" w:hAnsi="仿宋_GB2312" w:eastAsia="仿宋_GB2312" w:cs="仿宋_GB2312"/>
          <w:sz w:val="32"/>
          <w:szCs w:val="32"/>
        </w:rPr>
        <w:t>，由</w:t>
      </w:r>
      <w:r>
        <w:rPr>
          <w:rFonts w:hint="eastAsia" w:ascii="仿宋_GB2312" w:hAnsi="仿宋_GB2312" w:eastAsia="仿宋_GB2312" w:cs="仿宋_GB2312"/>
          <w:sz w:val="32"/>
          <w:szCs w:val="32"/>
          <w:lang w:eastAsia="zh-CN"/>
        </w:rPr>
        <w:t>船闸公司执行，确保公司运转正常有序，人员工资正常发放</w:t>
      </w:r>
      <w:r>
        <w:rPr>
          <w:rFonts w:hint="eastAsia" w:ascii="仿宋_GB2312" w:hAnsi="仿宋_GB2312" w:eastAsia="仿宋_GB2312" w:cs="仿宋_GB2312"/>
          <w:sz w:val="32"/>
          <w:szCs w:val="32"/>
        </w:rPr>
        <w:t>。项目实施过程中，机构健全、分工明确，管理制度合法、合规、完整。</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三</w:t>
      </w:r>
      <w:r>
        <w:rPr>
          <w:rFonts w:hint="eastAsia" w:eastAsia="仿宋_GB2312"/>
          <w:sz w:val="32"/>
          <w:szCs w:val="32"/>
          <w:lang w:eastAsia="zh-CN"/>
        </w:rPr>
        <w:t>）</w:t>
      </w:r>
      <w:r>
        <w:rPr>
          <w:rFonts w:hint="eastAsia" w:eastAsia="仿宋_GB2312"/>
          <w:sz w:val="32"/>
          <w:szCs w:val="32"/>
        </w:rPr>
        <w:t>项目产出情况。</w:t>
      </w:r>
      <w:r>
        <w:rPr>
          <w:rFonts w:hint="eastAsia" w:ascii="仿宋_GB2312" w:hAnsi="仿宋_GB2312" w:eastAsia="仿宋_GB2312" w:cs="仿宋_GB2312"/>
          <w:sz w:val="32"/>
          <w:szCs w:val="32"/>
        </w:rPr>
        <w:t>项目交工验收后，将初审计量数据报县局复核，制订拨款申请表，按流程报县分管副县长审批同意后，再由县局报县财政资金分配计划拨款。</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eastAsia="仿宋_GB2312"/>
          <w:sz w:val="32"/>
          <w:szCs w:val="32"/>
        </w:rPr>
      </w:pPr>
      <w:r>
        <w:rPr>
          <w:rFonts w:hint="eastAsia" w:eastAsia="仿宋_GB2312"/>
          <w:sz w:val="32"/>
          <w:szCs w:val="32"/>
          <w:lang w:eastAsia="zh-CN"/>
        </w:rPr>
        <w:t>（</w:t>
      </w:r>
      <w:r>
        <w:rPr>
          <w:rFonts w:hint="eastAsia" w:eastAsia="仿宋_GB2312"/>
          <w:sz w:val="32"/>
          <w:szCs w:val="32"/>
        </w:rPr>
        <w:t>四</w:t>
      </w:r>
      <w:r>
        <w:rPr>
          <w:rFonts w:hint="eastAsia" w:eastAsia="仿宋_GB2312"/>
          <w:sz w:val="32"/>
          <w:szCs w:val="32"/>
          <w:lang w:eastAsia="zh-CN"/>
        </w:rPr>
        <w:t>）</w:t>
      </w:r>
      <w:r>
        <w:rPr>
          <w:rFonts w:hint="eastAsia" w:eastAsia="仿宋_GB2312"/>
          <w:sz w:val="32"/>
          <w:szCs w:val="32"/>
        </w:rPr>
        <w:t>项目效益情况。</w:t>
      </w:r>
      <w:r>
        <w:rPr>
          <w:rFonts w:hint="eastAsia" w:ascii="仿宋_GB2312" w:hAnsi="仿宋_GB2312" w:eastAsia="仿宋_GB2312" w:cs="仿宋_GB2312"/>
          <w:sz w:val="32"/>
          <w:szCs w:val="32"/>
          <w:lang w:eastAsia="zh-CN"/>
        </w:rPr>
        <w:t>解决</w:t>
      </w:r>
      <w:r>
        <w:rPr>
          <w:rFonts w:hint="eastAsia" w:ascii="仿宋_GB2312" w:hAnsi="仿宋_GB2312" w:eastAsia="仿宋_GB2312" w:cs="仿宋_GB2312"/>
          <w:sz w:val="32"/>
          <w:szCs w:val="32"/>
        </w:rPr>
        <w:t>了</w:t>
      </w:r>
      <w:r>
        <w:rPr>
          <w:rFonts w:hint="eastAsia" w:ascii="仿宋_GB2312" w:hAnsi="仿宋_GB2312" w:eastAsia="仿宋_GB2312" w:cs="仿宋_GB2312"/>
          <w:sz w:val="32"/>
          <w:szCs w:val="32"/>
          <w:lang w:eastAsia="zh-CN"/>
        </w:rPr>
        <w:t>下属无营收单位经费问题，</w:t>
      </w:r>
      <w:r>
        <w:rPr>
          <w:rFonts w:hint="eastAsia" w:ascii="仿宋_GB2312" w:hAnsi="仿宋_GB2312" w:eastAsia="仿宋_GB2312" w:cs="仿宋_GB2312"/>
          <w:sz w:val="32"/>
          <w:szCs w:val="32"/>
        </w:rPr>
        <w:t>保障</w:t>
      </w:r>
      <w:r>
        <w:rPr>
          <w:rFonts w:hint="eastAsia" w:ascii="仿宋_GB2312" w:hAnsi="仿宋_GB2312" w:eastAsia="仿宋_GB2312" w:cs="仿宋_GB2312"/>
          <w:sz w:val="32"/>
          <w:szCs w:val="32"/>
          <w:lang w:eastAsia="zh-CN"/>
        </w:rPr>
        <w:t>了公司正常运转</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做法：我局在上级部门指导下，健全和完善了交通运输领域的绩效指标体系和管理制度，加强了绩效管理人员业务培训。规范了绩效目标编审、绩效运行监控、绩效评价实施和绩效结果应用等绩效管理全过程，积极与县财政对接，及时掌握国省补助资金到位情况，根据资金筹措及安排，及时落实年度建设任务。</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存在问题分析：通过回头看，我局在202</w:t>
      </w:r>
      <w:r>
        <w:rPr>
          <w:rFonts w:hint="eastAsia" w:ascii="仿宋_GB2312" w:hAnsi="仿宋_GB2312" w:eastAsia="仿宋_GB2312" w:cs="仿宋_GB2312"/>
          <w:sz w:val="32"/>
          <w:szCs w:val="32"/>
          <w:lang w:val="en-US" w:eastAsia="zh-CN"/>
        </w:rPr>
        <w:t>4</w:t>
      </w:r>
      <w:bookmarkStart w:id="0" w:name="_GoBack"/>
      <w:bookmarkEnd w:id="0"/>
      <w:r>
        <w:rPr>
          <w:rFonts w:hint="eastAsia" w:ascii="仿宋_GB2312" w:hAnsi="仿宋_GB2312" w:eastAsia="仿宋_GB2312" w:cs="仿宋_GB2312"/>
          <w:sz w:val="32"/>
          <w:szCs w:val="32"/>
        </w:rPr>
        <w:t>年国省补助财政预算执行还存在一些问题：</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是绩效管理人员缺乏专业知识，也缺少培训机会，容易在绩效管理工作中管理不到位，对现行的预算绩效管理不适应；</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是部门整体预算编制的科学化、精细化、精准化还有待提高。</w:t>
      </w:r>
    </w:p>
    <w:p>
      <w:pPr>
        <w:keepNext w:val="0"/>
        <w:keepLines w:val="0"/>
        <w:pageBreakBefore w:val="0"/>
        <w:widowControl w:val="0"/>
        <w:kinsoku/>
        <w:wordWrap/>
        <w:overflowPunct/>
        <w:topLinePunct w:val="0"/>
        <w:autoSpaceDE/>
        <w:autoSpaceDN/>
        <w:bidi w:val="0"/>
        <w:adjustRightInd/>
        <w:snapToGrid/>
        <w:spacing w:after="158" w:afterLines="50" w:line="580" w:lineRule="exact"/>
        <w:ind w:left="0"/>
        <w:jc w:val="both"/>
        <w:textAlignment w:val="auto"/>
        <w:rPr>
          <w:rFonts w:hint="eastAsia" w:ascii="方正小标宋简体" w:hAnsi="方正小标宋简体" w:eastAsia="方正小标宋简体" w:cs="方正小标宋简体"/>
          <w:spacing w:val="7"/>
          <w:sz w:val="44"/>
          <w:szCs w:val="44"/>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AD038EB-A660-42DC-A0EA-388A06DE22F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E50E134-4B24-4D94-A046-0203A0729DA4}"/>
  </w:font>
  <w:font w:name="方正粗黑宋简体">
    <w:altName w:val="宋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embedRegular r:id="rId3" w:fontKey="{C7BDC467-ACCE-4C92-9D8F-DBC465622C3D}"/>
  </w:font>
  <w:font w:name="方正小标宋_GBK">
    <w:panose1 w:val="02000000000000000000"/>
    <w:charset w:val="86"/>
    <w:family w:val="script"/>
    <w:pitch w:val="default"/>
    <w:sig w:usb0="A00002BF" w:usb1="38CF7CFA" w:usb2="00082016" w:usb3="00000000" w:csb0="00040001" w:csb1="00000000"/>
    <w:embedRegular r:id="rId4" w:fontKey="{7B019772-77EB-4E61-AAB5-31979794C048}"/>
  </w:font>
  <w:font w:name="仿宋_GB2312">
    <w:panose1 w:val="02010609030101010101"/>
    <w:charset w:val="86"/>
    <w:family w:val="auto"/>
    <w:pitch w:val="default"/>
    <w:sig w:usb0="00000001" w:usb1="080E0000" w:usb2="00000000" w:usb3="00000000" w:csb0="00040000" w:csb1="00000000"/>
    <w:embedRegular r:id="rId5" w:fontKey="{87064DAE-2C1F-490A-97F9-9C86CDB3527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 w:line="174" w:lineRule="auto"/>
      <w:ind w:left="574"/>
      <w:rPr>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zZDg3MGQ2YmE5ZTI3MGI2YjE3YWE4MDY2MzA0NTMifQ=="/>
    <w:docVar w:name="KSO_WPS_MARK_KEY" w:val="2867cb4a-b85f-4214-ab45-6aa5a55831a0"/>
  </w:docVars>
  <w:rsids>
    <w:rsidRoot w:val="00000000"/>
    <w:rsid w:val="0FB71393"/>
    <w:rsid w:val="1C3129C5"/>
    <w:rsid w:val="1CD94BA9"/>
    <w:rsid w:val="2E2270BF"/>
    <w:rsid w:val="444A2456"/>
    <w:rsid w:val="574E63CD"/>
    <w:rsid w:val="64DC1515"/>
    <w:rsid w:val="65AE2832"/>
    <w:rsid w:val="683369DB"/>
    <w:rsid w:val="781A1483"/>
    <w:rsid w:val="7E724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00" w:beforeLines="100" w:beforeAutospacing="0" w:after="100" w:afterLines="100" w:afterAutospacing="0" w:line="680" w:lineRule="exact"/>
      <w:outlineLvl w:val="0"/>
    </w:pPr>
    <w:rPr>
      <w:rFonts w:ascii="方正粗黑宋简体" w:hAnsi="方正粗黑宋简体" w:eastAsiaTheme="majorEastAsia"/>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semiHidden/>
    <w:qFormat/>
    <w:uiPriority w:val="0"/>
    <w:rPr>
      <w:rFonts w:ascii="仿宋" w:hAnsi="仿宋" w:eastAsia="仿宋" w:cs="仿宋"/>
      <w:sz w:val="31"/>
      <w:szCs w:val="31"/>
      <w:lang w:val="en-US" w:eastAsia="en-US" w:bidi="ar-SA"/>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next w:val="1"/>
    <w:qFormat/>
    <w:uiPriority w:val="0"/>
    <w:pPr>
      <w:snapToGrid w:val="0"/>
      <w:jc w:val="left"/>
    </w:pPr>
    <w:rPr>
      <w:sz w:val="18"/>
      <w:szCs w:val="18"/>
    </w:rPr>
  </w:style>
  <w:style w:type="paragraph" w:customStyle="1" w:styleId="10">
    <w:name w:val="样式2"/>
    <w:basedOn w:val="1"/>
    <w:qFormat/>
    <w:uiPriority w:val="0"/>
    <w:pPr>
      <w:spacing w:before="560" w:line="580" w:lineRule="exact"/>
      <w:ind w:firstLine="600"/>
      <w:jc w:val="center"/>
    </w:pPr>
    <w:rPr>
      <w:rFonts w:hint="eastAsia" w:ascii="方正小标宋简体" w:hAnsi="方正小标宋简体" w:eastAsia="方正小标宋简体" w:cs="方正小标宋简体"/>
      <w:b/>
      <w:color w:val="000000"/>
      <w:sz w:val="44"/>
      <w:szCs w:val="44"/>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1329</Words>
  <Characters>1375</Characters>
  <Lines>0</Lines>
  <Paragraphs>0</Paragraphs>
  <TotalTime>14</TotalTime>
  <ScaleCrop>false</ScaleCrop>
  <LinksUpToDate>false</LinksUpToDate>
  <CharactersWithSpaces>1376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Administrator</cp:lastModifiedBy>
  <dcterms:modified xsi:type="dcterms:W3CDTF">2025-05-22T02:07:16Z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E821EC1392E24F28B4F795474E21D92C</vt:lpwstr>
  </property>
</Properties>
</file>