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4</w:t>
      </w:r>
      <w:r>
        <w:rPr>
          <w:rFonts w:hint="eastAsia" w:ascii="黑体" w:hAnsi="黑体" w:eastAsia="黑体" w:cs="黑体"/>
          <w:sz w:val="44"/>
          <w:szCs w:val="44"/>
        </w:rPr>
        <w:t>年度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华容县交通运输局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其他地方自行试点项目收益专项债券收入安排的经费</w:t>
      </w:r>
      <w:r>
        <w:rPr>
          <w:rFonts w:hint="eastAsia" w:ascii="黑体" w:hAnsi="黑体" w:eastAsia="黑体" w:cs="黑体"/>
          <w:sz w:val="44"/>
          <w:szCs w:val="44"/>
        </w:rPr>
        <w:t>支出绩效自评报告</w:t>
      </w:r>
    </w:p>
    <w:p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7"/>
        <w:rPr>
          <w:rFonts w:hint="default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221" w:lineRule="auto"/>
        <w:ind w:firstLine="60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部门（单位）名称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 w:color="auto"/>
          <w:lang w:val="en-US" w:eastAsia="zh-CN"/>
        </w:rPr>
        <w:t>华容县交通运输局</w:t>
      </w:r>
    </w:p>
    <w:p>
      <w:pPr>
        <w:spacing w:before="228" w:line="222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43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日</w:t>
      </w:r>
    </w:p>
    <w:p>
      <w:pPr>
        <w:spacing w:line="335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4</w:t>
      </w:r>
      <w:r>
        <w:rPr>
          <w:rFonts w:hint="eastAsia" w:ascii="黑体" w:hAnsi="黑体" w:eastAsia="黑体" w:cs="黑体"/>
          <w:sz w:val="44"/>
          <w:szCs w:val="44"/>
        </w:rPr>
        <w:t>年度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华容县交通运输局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其他地方自行试点项目收益专项债券收入安排的经费</w:t>
      </w:r>
      <w:r>
        <w:rPr>
          <w:rFonts w:hint="eastAsia" w:ascii="黑体" w:hAnsi="黑体" w:eastAsia="黑体" w:cs="黑体"/>
          <w:sz w:val="44"/>
          <w:szCs w:val="44"/>
        </w:rPr>
        <w:t>支出绩效自评报告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一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项目概况。</w:t>
      </w:r>
      <w:r>
        <w:rPr>
          <w:rFonts w:hint="eastAsia" w:eastAsia="仿宋_GB2312"/>
          <w:sz w:val="32"/>
          <w:szCs w:val="32"/>
          <w:lang w:val="en-US" w:eastAsia="zh-CN"/>
        </w:rPr>
        <w:t>2024年度，其他地方自行试点项目收益专项债券收入安排的经费支出项目资金7000万元，主要用城乡客运一体化项目建设。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项目绩效目标。</w:t>
      </w:r>
      <w:r>
        <w:rPr>
          <w:rFonts w:hint="eastAsia" w:eastAsia="仿宋_GB2312"/>
          <w:sz w:val="32"/>
          <w:szCs w:val="32"/>
          <w:lang w:eastAsia="zh-CN"/>
        </w:rPr>
        <w:t>及时完成资金拨付，完成</w:t>
      </w:r>
      <w:r>
        <w:rPr>
          <w:rFonts w:hint="eastAsia" w:eastAsia="仿宋_GB2312"/>
          <w:sz w:val="32"/>
          <w:szCs w:val="32"/>
          <w:lang w:val="en-US" w:eastAsia="zh-CN"/>
        </w:rPr>
        <w:t>县城乡客运一体化项目建设。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一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绩效评价目的、对象和范围。</w:t>
      </w:r>
      <w:r>
        <w:rPr>
          <w:rFonts w:hint="eastAsia" w:ascii="仿宋_GB2312" w:hAnsi="仿宋_GB2312" w:eastAsia="仿宋_GB2312" w:cs="仿宋_GB2312"/>
          <w:sz w:val="32"/>
          <w:szCs w:val="32"/>
        </w:rPr>
        <w:t>为加强交通运输行业服务水平，提高资金使用效益，发挥主管部门绩效工作监督和指导职能。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绩效评价原则、评价指标体系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附表说明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、评价方法、评价标准等。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我局绩效自评遵循以下原则：客观、公正、科学、严谨、独立的基础上开展工作。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部门项目支出自评体系，设定基本情况、产出、效益、满意度等一级指标四个，下各设定了若干个二级指标和三级指标及其分值，总分设置为100分，等级划分为四档：90（含）-100分为优、80（含）-90分为良、60（含）-80分为中、60分以下为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绩效评价方法主要采取成本效益分析法、比较法、公众评判法等。手段主要包括：收集资料，实地勘察和民意采集等。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三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绩效评价工作过程。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我局成立了202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年度财政资金绩效自评工作小组，为了保障自评质量，我局抽调精干人员，从专业角度开展了局本级及被评价责任单位，202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</w:t>
      </w:r>
      <w:r>
        <w:rPr>
          <w:rFonts w:hint="eastAsia" w:ascii="仿宋_GB2312" w:hAnsi="仿宋_GB2312" w:eastAsia="仿宋_GB2312" w:cs="仿宋_GB2312"/>
          <w:sz w:val="32"/>
          <w:szCs w:val="32"/>
        </w:rPr>
        <w:t>年整体支出和项目支出绩效自评工作。此项目支出情况在评价范围内，通过查阅资料、现场勘察，完成了自评工作。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三、综合评价情况及评价结论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综合评价以上项目均已完成，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完成了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资金拨付，完成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城乡客运一体化项目建设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经评价考核，以上项目符合行业标准，未见异常。项目支出自评得分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一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项目决策情况。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以上项目实施单位，局机关、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惠华城投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公司，根据政府要求，按年初计划确定具体项目，按程序推进落实。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项目过程情况。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按属地原则，我局将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城乡客运一体化项目建设资金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下达给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惠华城投公司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，由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惠华</w:t>
      </w:r>
      <w:r>
        <w:rPr>
          <w:rFonts w:hint="eastAsia" w:ascii="仿宋_GB2312" w:hAnsi="仿宋_GB2312" w:eastAsia="仿宋_GB2312" w:cs="仿宋_GB2312"/>
          <w:sz w:val="32"/>
          <w:szCs w:val="32"/>
        </w:rPr>
        <w:t>担任项目业主。项目实施过程中，机构健全、分工明确，管理制度合法、合规、完整。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三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项目产出情况。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根据流程要求，惠华公司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将初审计量数据报县局复核，制订拨款申请表，按流程报县分管副县长审批同意后，再由县局报县财政资金分配计划拨款。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四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项目效益情况。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改善了我县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客运环境</w:t>
      </w:r>
      <w:r>
        <w:rPr>
          <w:rFonts w:hint="eastAsia" w:ascii="仿宋_GB2312" w:hAnsi="仿宋_GB2312" w:eastAsia="仿宋_GB2312" w:cs="仿宋_GB2312"/>
          <w:sz w:val="32"/>
          <w:szCs w:val="32"/>
        </w:rPr>
        <w:t>，营造了良好的道路交通环境。全面提升人民群众获得感、幸福感和安全感，满意度100%。沿线群众生产生活条件，公路沿线产业发展成效显著。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五、主要经验及做法、存在的问题及原因分析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做法：我局在上级部门指导下，健全和完善了交通运输领域的绩效指标体系和管理制度，加强了绩效管理人员业务培训。规范了绩效目标编审、绩效运行监控、绩效评价实施和绩效结果应用等绩效管理全过程，积极与县财政对接，及时掌握国省补助资金到位情况，根据资金筹措及安排，及时落实年度建设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存在问题分析：通过回头看，我局在202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年国省补助财政预算执行还存在一些问题：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是绩效管理人员缺乏专业知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识，也缺少培训机会，容易在绩效管理工作中管理不到位，对现行的预算绩效管理不适应；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是部门整体预算编制的科学化、精细化、精准化还有待提高。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8" w:afterLines="50" w:line="580" w:lineRule="exact"/>
        <w:ind w:left="0"/>
        <w:jc w:val="both"/>
        <w:textAlignment w:val="auto"/>
        <w:rPr>
          <w:rFonts w:hint="eastAsia" w:ascii="方正小标宋简体" w:hAnsi="方正小标宋简体" w:eastAsia="方正小标宋简体" w:cs="方正小标宋简体"/>
          <w:spacing w:val="7"/>
          <w:sz w:val="44"/>
          <w:szCs w:val="44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90CBE8B-CBAF-4E27-9629-0DF186688AE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705F79C3-F0D2-42CC-BC55-32C67690BF57}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CCC383C6-8486-4A54-9F3D-BAB2706EB47E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61BB8766-F2BC-45E7-84CA-920CA545CD8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E1039506-7882-42BB-B439-3FF290068C4F}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" w:line="174" w:lineRule="auto"/>
      <w:ind w:left="574"/>
      <w:rPr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ZDg3MGQ2YmE5ZTI3MGI2YjE3YWE4MDY2MzA0NTMifQ=="/>
    <w:docVar w:name="KSO_WPS_MARK_KEY" w:val="2867cb4a-b85f-4214-ab45-6aa5a55831a0"/>
  </w:docVars>
  <w:rsids>
    <w:rsidRoot w:val="00000000"/>
    <w:rsid w:val="0FB71393"/>
    <w:rsid w:val="1C3129C5"/>
    <w:rsid w:val="1CD94BA9"/>
    <w:rsid w:val="20BD1E29"/>
    <w:rsid w:val="2E2270BF"/>
    <w:rsid w:val="444A2456"/>
    <w:rsid w:val="574E63CD"/>
    <w:rsid w:val="64DC1515"/>
    <w:rsid w:val="683369DB"/>
    <w:rsid w:val="781A1483"/>
    <w:rsid w:val="7E72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00" w:beforeLines="100" w:beforeAutospacing="0" w:after="100" w:afterLines="100" w:afterAutospacing="0" w:line="680" w:lineRule="exact"/>
      <w:outlineLvl w:val="0"/>
    </w:pPr>
    <w:rPr>
      <w:rFonts w:ascii="方正粗黑宋简体" w:hAnsi="方正粗黑宋简体" w:eastAsiaTheme="majorEastAsia"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customStyle="1" w:styleId="10">
    <w:name w:val="样式2"/>
    <w:basedOn w:val="1"/>
    <w:qFormat/>
    <w:uiPriority w:val="0"/>
    <w:pPr>
      <w:spacing w:before="560" w:line="580" w:lineRule="exact"/>
      <w:ind w:firstLine="600"/>
      <w:jc w:val="center"/>
    </w:pPr>
    <w:rPr>
      <w:rFonts w:hint="eastAsia" w:ascii="方正小标宋简体" w:hAnsi="方正小标宋简体" w:eastAsia="方正小标宋简体" w:cs="方正小标宋简体"/>
      <w:b/>
      <w:color w:val="000000"/>
      <w:sz w:val="44"/>
      <w:szCs w:val="44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1310</Words>
  <Characters>1354</Characters>
  <Lines>0</Lines>
  <Paragraphs>0</Paragraphs>
  <TotalTime>9</TotalTime>
  <ScaleCrop>false</ScaleCrop>
  <LinksUpToDate>false</LinksUpToDate>
  <CharactersWithSpaces>1355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Administrator</cp:lastModifiedBy>
  <dcterms:modified xsi:type="dcterms:W3CDTF">2025-05-22T01:35:15Z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E821EC1392E24F28B4F795474E21D92C</vt:lpwstr>
  </property>
</Properties>
</file>