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黑体" w:hAnsi="黑体" w:eastAsia="黑体" w:cs="黑体"/>
          <w:sz w:val="44"/>
          <w:szCs w:val="44"/>
          <w:lang w:eastAsia="zh-CN"/>
        </w:rPr>
      </w:pP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w:t>
      </w:r>
      <w:r>
        <w:rPr>
          <w:rFonts w:hint="eastAsia" w:ascii="黑体" w:hAnsi="黑体" w:eastAsia="黑体" w:cs="黑体"/>
          <w:sz w:val="44"/>
          <w:szCs w:val="44"/>
          <w:lang w:eastAsia="zh-CN"/>
        </w:rPr>
        <w:t>华容县交通运输局</w:t>
      </w:r>
    </w:p>
    <w:p>
      <w:pPr>
        <w:jc w:val="center"/>
        <w:rPr>
          <w:rFonts w:hint="eastAsia" w:ascii="黑体" w:hAnsi="黑体" w:eastAsia="黑体" w:cs="黑体"/>
          <w:sz w:val="44"/>
          <w:szCs w:val="44"/>
        </w:rPr>
      </w:pPr>
      <w:r>
        <w:rPr>
          <w:rFonts w:hint="eastAsia" w:ascii="黑体" w:hAnsi="黑体" w:eastAsia="黑体" w:cs="黑体"/>
          <w:sz w:val="44"/>
          <w:szCs w:val="44"/>
          <w:lang w:eastAsia="zh-CN"/>
        </w:rPr>
        <w:t>其他国有土地使用权出让收入安排的经费</w:t>
      </w:r>
      <w:r>
        <w:rPr>
          <w:rFonts w:hint="eastAsia" w:ascii="黑体" w:hAnsi="黑体" w:eastAsia="黑体" w:cs="黑体"/>
          <w:sz w:val="44"/>
          <w:szCs w:val="44"/>
        </w:rPr>
        <w:t>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黑体" w:cs="Times New Roman"/>
          <w:sz w:val="32"/>
          <w:szCs w:val="32"/>
        </w:rPr>
      </w:pPr>
    </w:p>
    <w:p>
      <w:pPr>
        <w:pStyle w:val="7"/>
        <w:rPr>
          <w:rFonts w:hint="default"/>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pStyle w:val="4"/>
        <w:keepNext w:val="0"/>
        <w:keepLines w:val="0"/>
        <w:pageBreakBefore w:val="0"/>
        <w:widowControl w:val="0"/>
        <w:kinsoku/>
        <w:wordWrap/>
        <w:overflowPunct/>
        <w:topLinePunct w:val="0"/>
        <w:autoSpaceDE/>
        <w:autoSpaceDN/>
        <w:bidi w:val="0"/>
        <w:adjustRightInd/>
        <w:snapToGrid/>
        <w:spacing w:before="100" w:line="221" w:lineRule="auto"/>
        <w:ind w:firstLine="60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u w:val="single" w:color="auto"/>
          <w:lang w:val="en-US" w:eastAsia="zh-CN"/>
        </w:rPr>
        <w:t>华容县交通运输局</w:t>
      </w:r>
    </w:p>
    <w:p>
      <w:pPr>
        <w:spacing w:before="228" w:line="22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2025</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21"/>
          <w:sz w:val="32"/>
          <w:szCs w:val="32"/>
          <w:lang w:val="en-US" w:eastAsia="zh-CN"/>
        </w:rPr>
        <w:t>5</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43"/>
          <w:sz w:val="32"/>
          <w:szCs w:val="32"/>
          <w:lang w:val="en-US" w:eastAsia="zh-CN"/>
        </w:rPr>
        <w:t>22</w:t>
      </w:r>
      <w:r>
        <w:rPr>
          <w:rFonts w:hint="eastAsia" w:ascii="仿宋_GB2312" w:hAnsi="仿宋_GB2312" w:eastAsia="仿宋_GB2312" w:cs="仿宋_GB2312"/>
          <w:spacing w:val="-8"/>
          <w:sz w:val="32"/>
          <w:szCs w:val="32"/>
        </w:rPr>
        <w:t>日</w:t>
      </w:r>
    </w:p>
    <w:p>
      <w:pPr>
        <w:spacing w:line="335" w:lineRule="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w:t>
      </w:r>
      <w:r>
        <w:rPr>
          <w:rFonts w:hint="eastAsia" w:ascii="黑体" w:hAnsi="黑体" w:eastAsia="黑体" w:cs="黑体"/>
          <w:sz w:val="44"/>
          <w:szCs w:val="44"/>
          <w:lang w:eastAsia="zh-CN"/>
        </w:rPr>
        <w:t>华容县交通运输局</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黑体" w:hAnsi="黑体" w:eastAsia="黑体" w:cs="黑体"/>
          <w:sz w:val="44"/>
          <w:szCs w:val="44"/>
        </w:rPr>
      </w:pPr>
      <w:r>
        <w:rPr>
          <w:rFonts w:hint="eastAsia" w:ascii="黑体" w:hAnsi="黑体" w:eastAsia="黑体" w:cs="黑体"/>
          <w:sz w:val="44"/>
          <w:szCs w:val="44"/>
          <w:lang w:eastAsia="zh-CN"/>
        </w:rPr>
        <w:t>其他国有土地使用权出让收入安排的经费</w:t>
      </w:r>
      <w:r>
        <w:rPr>
          <w:rFonts w:hint="eastAsia" w:ascii="黑体" w:hAnsi="黑体" w:eastAsia="黑体" w:cs="黑体"/>
          <w:sz w:val="44"/>
          <w:szCs w:val="44"/>
        </w:rPr>
        <w:t>支出绩效自评报告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default" w:eastAsia="仿宋_GB2312"/>
          <w:sz w:val="32"/>
          <w:szCs w:val="32"/>
          <w:lang w:val="en-US" w:eastAsia="zh-CN"/>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项目概况。</w:t>
      </w:r>
      <w:r>
        <w:rPr>
          <w:rFonts w:hint="eastAsia" w:eastAsia="仿宋_GB2312"/>
          <w:sz w:val="32"/>
          <w:szCs w:val="32"/>
          <w:lang w:val="en-US" w:eastAsia="zh-CN"/>
        </w:rPr>
        <w:t>2024年度，其他国有土地使用权出让收入安排的经费支出项目使用车购税补助农村公路建设资金539.505万元、S218花注公路前期工作经费200万元，主要用于农村公路建设及花注公路前期工作经费。</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lang w:eastAsia="zh-CN"/>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项目绩效目标。</w:t>
      </w:r>
      <w:r>
        <w:rPr>
          <w:rFonts w:hint="eastAsia" w:eastAsia="仿宋_GB2312"/>
          <w:sz w:val="32"/>
          <w:szCs w:val="32"/>
          <w:lang w:eastAsia="zh-CN"/>
        </w:rPr>
        <w:t>及时完成资金拨付，完成农村公路建设及前期经费拨付</w:t>
      </w:r>
      <w:r>
        <w:rPr>
          <w:rFonts w:hint="eastAsia" w:eastAsia="仿宋_GB2312"/>
          <w:sz w:val="32"/>
          <w:szCs w:val="32"/>
          <w:lang w:val="en-US" w:eastAsia="zh-CN"/>
        </w:rPr>
        <w:t>。</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绩效评价目的、对象和范围。</w:t>
      </w:r>
      <w:r>
        <w:rPr>
          <w:rFonts w:hint="eastAsia" w:ascii="仿宋_GB2312" w:hAnsi="仿宋_GB2312" w:eastAsia="仿宋_GB2312" w:cs="仿宋_GB2312"/>
          <w:sz w:val="32"/>
          <w:szCs w:val="32"/>
        </w:rPr>
        <w:t>为加强交通运输行业服务水平，提高资金使用效益，发挥主管部门绩效工作监督和指导职能。</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绩效评价原则、评价指标体系</w:t>
      </w:r>
      <w:r>
        <w:rPr>
          <w:rFonts w:hint="eastAsia" w:eastAsia="仿宋_GB2312"/>
          <w:sz w:val="32"/>
          <w:szCs w:val="32"/>
          <w:lang w:eastAsia="zh-CN"/>
        </w:rPr>
        <w:t>（</w:t>
      </w:r>
      <w:r>
        <w:rPr>
          <w:rFonts w:hint="eastAsia" w:eastAsia="仿宋_GB2312"/>
          <w:sz w:val="32"/>
          <w:szCs w:val="32"/>
        </w:rPr>
        <w:t>附表说明</w:t>
      </w:r>
      <w:r>
        <w:rPr>
          <w:rFonts w:hint="eastAsia" w:eastAsia="仿宋_GB2312"/>
          <w:sz w:val="32"/>
          <w:szCs w:val="32"/>
          <w:lang w:eastAsia="zh-CN"/>
        </w:rPr>
        <w:t>）</w:t>
      </w:r>
      <w:r>
        <w:rPr>
          <w:rFonts w:hint="eastAsia" w:eastAsia="仿宋_GB2312"/>
          <w:sz w:val="32"/>
          <w:szCs w:val="32"/>
        </w:rPr>
        <w:t>、评价方法、评价标准等。</w:t>
      </w:r>
      <w:r>
        <w:rPr>
          <w:rFonts w:hint="eastAsia" w:ascii="仿宋_GB2312" w:hAnsi="仿宋_GB2312" w:eastAsia="仿宋_GB2312" w:cs="仿宋_GB2312"/>
          <w:sz w:val="32"/>
          <w:szCs w:val="32"/>
        </w:rPr>
        <w:t>我局绩效自评遵循以下原则：客观、公正、科学、严谨、独立的基础上开展工作。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项目支出自评体系，设定基本情况、产出、效益、满意度等一级指标四个，下各设定了若干个二级指标和三级指标及其分值，总分设置为100分，等级划分为四档：90（含）-100分为优、80（含）-90分为良、60（含）-80分为中、60分以下为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ascii="仿宋_GB2312" w:hAnsi="仿宋_GB2312" w:eastAsia="仿宋_GB2312" w:cs="仿宋_GB2312"/>
          <w:sz w:val="32"/>
          <w:szCs w:val="32"/>
        </w:rPr>
        <w:t>绩效评价方法主要采取成本效益分析法、比较法、公众评判法等。手段主要包括：收集资料，实地勘察和民意采集等。</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绩效评价工作过程。</w:t>
      </w:r>
      <w:r>
        <w:rPr>
          <w:rFonts w:hint="eastAsia" w:ascii="仿宋_GB2312" w:hAnsi="仿宋_GB2312" w:eastAsia="仿宋_GB2312" w:cs="仿宋_GB2312"/>
          <w:sz w:val="32"/>
          <w:szCs w:val="32"/>
        </w:rPr>
        <w:t>我局成立了202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年度财政资金绩效自评工作小组，为了保障自评质量，我局抽调精干人员，从专业角度开展了局本级及被评价责任单位，202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年整体支出和项目支出绩效自评工作。此项目支出情况在评价范围内，通过查阅资料、现场勘察，完成了自评工作。</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三、综合评价情况及评价结论 </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rPr>
      </w:pPr>
      <w:r>
        <w:rPr>
          <w:rFonts w:hint="eastAsia" w:ascii="仿宋_GB2312" w:hAnsi="仿宋_GB2312" w:eastAsia="仿宋_GB2312" w:cs="仿宋_GB2312"/>
          <w:sz w:val="32"/>
          <w:szCs w:val="32"/>
          <w:lang w:eastAsia="zh-CN"/>
        </w:rPr>
        <w:t>综合评价以上项目均已完成，</w:t>
      </w:r>
      <w:r>
        <w:rPr>
          <w:rFonts w:hint="eastAsia" w:ascii="仿宋_GB2312" w:hAnsi="仿宋_GB2312" w:eastAsia="仿宋_GB2312" w:cs="仿宋_GB2312"/>
          <w:color w:val="auto"/>
          <w:sz w:val="32"/>
          <w:szCs w:val="32"/>
          <w:lang w:eastAsia="zh-CN"/>
        </w:rPr>
        <w:t>完成了</w:t>
      </w:r>
      <w:r>
        <w:rPr>
          <w:rFonts w:hint="eastAsia" w:ascii="仿宋_GB2312" w:hAnsi="仿宋_GB2312" w:eastAsia="仿宋_GB2312" w:cs="仿宋_GB2312"/>
          <w:color w:val="auto"/>
          <w:sz w:val="32"/>
          <w:szCs w:val="32"/>
          <w:lang w:val="en-US" w:eastAsia="zh-CN"/>
        </w:rPr>
        <w:t>资金拨付，</w:t>
      </w:r>
      <w:r>
        <w:rPr>
          <w:rFonts w:hint="eastAsia" w:ascii="仿宋_GB2312" w:hAnsi="仿宋_GB2312" w:eastAsia="仿宋_GB2312" w:cs="仿宋_GB2312"/>
          <w:sz w:val="32"/>
          <w:szCs w:val="32"/>
          <w:lang w:eastAsia="zh-CN"/>
        </w:rPr>
        <w:t>经评价考核，以上项目符合行业标准，未见异常。项目支出自评得分</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项目决策情况。</w:t>
      </w:r>
      <w:r>
        <w:rPr>
          <w:rFonts w:hint="eastAsia" w:ascii="仿宋_GB2312" w:hAnsi="仿宋_GB2312" w:eastAsia="仿宋_GB2312" w:cs="仿宋_GB2312"/>
          <w:sz w:val="32"/>
          <w:szCs w:val="32"/>
        </w:rPr>
        <w:t>以上项目实施单位，局机关、县交通项目有限责任公司，根据政府要求，按年初计划确定具体项目，按程序推进落实。</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项目过程情况。</w:t>
      </w:r>
      <w:r>
        <w:rPr>
          <w:rFonts w:hint="eastAsia" w:ascii="仿宋_GB2312" w:hAnsi="仿宋_GB2312" w:eastAsia="仿宋_GB2312" w:cs="仿宋_GB2312"/>
          <w:sz w:val="32"/>
          <w:szCs w:val="32"/>
        </w:rPr>
        <w:t>按属地原则，我局将农村公路</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sz w:val="32"/>
          <w:szCs w:val="32"/>
        </w:rPr>
        <w:t>建设计划下达给乡镇，由乡镇担任项目业主，乡镇按项目计划大小，经公开招标、非招采购、村“三公三议”等程序确定施工单位，每个项目都是按计划里程，计划轨迹实施，没有调整。项目实施过程中，机构健全、分工明确，管理制度合法、合规、完整。</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项目产出情况。</w:t>
      </w:r>
      <w:r>
        <w:rPr>
          <w:rFonts w:hint="eastAsia" w:ascii="仿宋_GB2312" w:hAnsi="仿宋_GB2312" w:eastAsia="仿宋_GB2312" w:cs="仿宋_GB2312"/>
          <w:sz w:val="32"/>
          <w:szCs w:val="32"/>
        </w:rPr>
        <w:t>项目交工验收后，将初审计量数据报县局复核，制订拨款申请表，按流程报县分管副县长审批同意后，再由县局报县财政资金分配计划拨款。</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四</w:t>
      </w:r>
      <w:r>
        <w:rPr>
          <w:rFonts w:hint="eastAsia" w:eastAsia="仿宋_GB2312"/>
          <w:sz w:val="32"/>
          <w:szCs w:val="32"/>
          <w:lang w:eastAsia="zh-CN"/>
        </w:rPr>
        <w:t>）</w:t>
      </w:r>
      <w:r>
        <w:rPr>
          <w:rFonts w:hint="eastAsia" w:eastAsia="仿宋_GB2312"/>
          <w:sz w:val="32"/>
          <w:szCs w:val="32"/>
        </w:rPr>
        <w:t>项目效益情况。</w:t>
      </w:r>
      <w:r>
        <w:rPr>
          <w:rFonts w:hint="eastAsia" w:ascii="仿宋_GB2312" w:hAnsi="仿宋_GB2312" w:eastAsia="仿宋_GB2312" w:cs="仿宋_GB2312"/>
          <w:sz w:val="32"/>
          <w:szCs w:val="32"/>
        </w:rPr>
        <w:t>改善了我县农村公路的路容、路况，营造了良好的道路交通环境。全面提升农村公路路网安全保障能力，提升人民群众获得感、幸福感和安全感，满意度100%。沿线群众生产生活条件，公路沿线产业发展成效显著。</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做法：我局在上级部门指导下，健全和完善了交通运输领域的绩效指标体系和管理制度，加强了绩效管理人员业务培训。规范了绩效目标编审、绩效运行监控、绩效评价实施和绩效结果应用等绩效管理全过程，积极与县财政对接，及时掌握国省补助资金到位情况，根据资金筹措及安排，及时落实年度建设任务。</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存在问题分析：通过回头看，我局在202</w:t>
      </w:r>
      <w:r>
        <w:rPr>
          <w:rFonts w:hint="eastAsia" w:ascii="仿宋_GB2312" w:hAnsi="仿宋_GB2312" w:eastAsia="仿宋_GB2312" w:cs="仿宋_GB2312"/>
          <w:sz w:val="32"/>
          <w:szCs w:val="32"/>
          <w:lang w:val="en-US" w:eastAsia="zh-CN"/>
        </w:rPr>
        <w:t>4</w:t>
      </w:r>
      <w:bookmarkStart w:id="0" w:name="_GoBack"/>
      <w:bookmarkEnd w:id="0"/>
      <w:r>
        <w:rPr>
          <w:rFonts w:hint="eastAsia" w:ascii="仿宋_GB2312" w:hAnsi="仿宋_GB2312" w:eastAsia="仿宋_GB2312" w:cs="仿宋_GB2312"/>
          <w:sz w:val="32"/>
          <w:szCs w:val="32"/>
        </w:rPr>
        <w:t>年国省补助财政预算执行还存在一些问题：</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是绩效管理人员缺乏专业知识，也缺少培训机会，容易在绩效管理工作中管理不到位，对现行的预算绩效管理不适应；</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是部门整体预算编制的科学化、精细化、精准化还有待提高。</w:t>
      </w:r>
    </w:p>
    <w:p>
      <w:pPr>
        <w:keepNext w:val="0"/>
        <w:keepLines w:val="0"/>
        <w:pageBreakBefore w:val="0"/>
        <w:widowControl w:val="0"/>
        <w:kinsoku/>
        <w:wordWrap/>
        <w:overflowPunct/>
        <w:topLinePunct w:val="0"/>
        <w:autoSpaceDE/>
        <w:autoSpaceDN/>
        <w:bidi w:val="0"/>
        <w:adjustRightInd/>
        <w:snapToGrid/>
        <w:spacing w:after="158" w:afterLines="50" w:line="580" w:lineRule="exact"/>
        <w:ind w:left="0"/>
        <w:jc w:val="both"/>
        <w:textAlignment w:val="auto"/>
        <w:rPr>
          <w:rFonts w:hint="eastAsia" w:ascii="方正小标宋简体" w:hAnsi="方正小标宋简体" w:eastAsia="方正小标宋简体" w:cs="方正小标宋简体"/>
          <w:spacing w:val="7"/>
          <w:sz w:val="44"/>
          <w:szCs w:val="44"/>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208F09-5F42-4CEA-AD9D-9D0A261D697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E0B658B-B66C-423E-B9FF-C7B168ED883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3" w:fontKey="{AC269ADF-7269-4516-A4CA-2B9A01C953DA}"/>
  </w:font>
  <w:font w:name="方正小标宋_GBK">
    <w:panose1 w:val="02000000000000000000"/>
    <w:charset w:val="86"/>
    <w:family w:val="script"/>
    <w:pitch w:val="default"/>
    <w:sig w:usb0="A00002BF" w:usb1="38CF7CFA" w:usb2="00082016" w:usb3="00000000" w:csb0="00040001" w:csb1="00000000"/>
    <w:embedRegular r:id="rId4" w:fontKey="{A0CFD51E-E84D-48CA-BC4B-77052DBEF527}"/>
  </w:font>
  <w:font w:name="仿宋_GB2312">
    <w:panose1 w:val="02010609030101010101"/>
    <w:charset w:val="86"/>
    <w:family w:val="auto"/>
    <w:pitch w:val="default"/>
    <w:sig w:usb0="00000001" w:usb1="080E0000" w:usb2="00000000" w:usb3="00000000" w:csb0="00040000" w:csb1="00000000"/>
    <w:embedRegular r:id="rId5" w:fontKey="{F80F0C97-8CA4-4BDA-9C10-78614A8FC3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 w:line="174" w:lineRule="auto"/>
      <w:ind w:left="574"/>
      <w:rPr>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ZDM5N2MyYTk4NWFlNTlkNWQyZWNkZWJmMjVmNzgifQ=="/>
    <w:docVar w:name="KSO_WPS_MARK_KEY" w:val="2867cb4a-b85f-4214-ab45-6aa5a55831a0"/>
  </w:docVars>
  <w:rsids>
    <w:rsidRoot w:val="00000000"/>
    <w:rsid w:val="0FB71393"/>
    <w:rsid w:val="1C3129C5"/>
    <w:rsid w:val="1CD94BA9"/>
    <w:rsid w:val="2E2270BF"/>
    <w:rsid w:val="444A2456"/>
    <w:rsid w:val="574E63CD"/>
    <w:rsid w:val="64DC1515"/>
    <w:rsid w:val="683369DB"/>
    <w:rsid w:val="781A1483"/>
    <w:rsid w:val="7E724833"/>
    <w:rsid w:val="7EB031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beforeLines="100" w:beforeAutospacing="0" w:after="100" w:afterLines="100" w:afterAutospacing="0" w:line="680" w:lineRule="exact"/>
      <w:outlineLvl w:val="0"/>
    </w:pPr>
    <w:rPr>
      <w:rFonts w:ascii="方正粗黑宋简体" w:hAnsi="方正粗黑宋简体" w:eastAsiaTheme="majorEastAsia"/>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next w:val="1"/>
    <w:qFormat/>
    <w:uiPriority w:val="0"/>
    <w:pPr>
      <w:snapToGrid w:val="0"/>
      <w:jc w:val="left"/>
    </w:pPr>
    <w:rPr>
      <w:sz w:val="18"/>
      <w:szCs w:val="18"/>
    </w:rPr>
  </w:style>
  <w:style w:type="paragraph" w:customStyle="1" w:styleId="10">
    <w:name w:val="样式2"/>
    <w:basedOn w:val="1"/>
    <w:qFormat/>
    <w:uiPriority w:val="0"/>
    <w:pPr>
      <w:spacing w:before="560" w:line="580" w:lineRule="exact"/>
      <w:ind w:firstLine="600"/>
      <w:jc w:val="center"/>
    </w:pPr>
    <w:rPr>
      <w:rFonts w:hint="eastAsia" w:ascii="方正小标宋简体" w:hAnsi="方正小标宋简体" w:eastAsia="方正小标宋简体" w:cs="方正小标宋简体"/>
      <w:b/>
      <w:color w:val="000000"/>
      <w:sz w:val="44"/>
      <w:szCs w:val="44"/>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1329</Words>
  <Characters>1373</Characters>
  <Lines>0</Lines>
  <Paragraphs>0</Paragraphs>
  <TotalTime>6</TotalTime>
  <ScaleCrop>false</ScaleCrop>
  <LinksUpToDate>false</LinksUpToDate>
  <CharactersWithSpaces>1374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Administrator</cp:lastModifiedBy>
  <dcterms:modified xsi:type="dcterms:W3CDTF">2025-05-22T02:53:41Z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E821EC1392E24F28B4F795474E21D92C</vt:lpwstr>
  </property>
</Properties>
</file>