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3" w:line="218" w:lineRule="auto"/>
        <w:jc w:val="center"/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</w:pPr>
    </w:p>
    <w:p>
      <w:pPr>
        <w:spacing w:before="223" w:line="218" w:lineRule="auto"/>
        <w:jc w:val="center"/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</w:pPr>
    </w:p>
    <w:p>
      <w:pPr>
        <w:spacing w:before="223" w:line="218" w:lineRule="auto"/>
        <w:jc w:val="center"/>
        <w:rPr>
          <w:rFonts w:hint="eastAsia" w:ascii="方正小标宋简体" w:hAnsi="方正小标宋简体" w:eastAsia="方正小标宋简体" w:cs="方正小标宋简体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  <w:t>年度</w:t>
      </w: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  <w:lang w:eastAsia="zh-CN"/>
        </w:rPr>
        <w:t>华容县交通运输局（本级）部门</w:t>
      </w: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  <w:t>整体支出</w:t>
      </w:r>
      <w:r>
        <w:rPr>
          <w:rFonts w:hint="eastAsia" w:ascii="方正小标宋简体" w:hAnsi="方正小标宋简体" w:eastAsia="方正小标宋简体" w:cs="方正小标宋简体"/>
          <w:spacing w:val="-3"/>
          <w:sz w:val="56"/>
          <w:szCs w:val="56"/>
        </w:rPr>
        <w:t>绩效自评报告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pStyle w:val="6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  <w:lang w:eastAsia="zh-CN"/>
        </w:rPr>
        <w:t>华容县交通运输局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ectPr>
          <w:footerReference r:id="rId3" w:type="default"/>
          <w:pgSz w:w="11905" w:h="16838"/>
          <w:pgMar w:top="1984" w:right="1701" w:bottom="1984" w:left="1701" w:header="850" w:footer="1587" w:gutter="0"/>
          <w:pgNumType w:fmt="numberInDash" w:start="7"/>
          <w:cols w:space="0" w:num="1"/>
          <w:rtlGutter w:val="0"/>
          <w:docGrid w:type="lines" w:linePitch="314" w:charSpace="0"/>
        </w:sectPr>
      </w:pPr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both"/>
        <w:textAlignment w:val="auto"/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</w:pPr>
    </w:p>
    <w:p>
      <w:pPr>
        <w:pStyle w:val="6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eastAsia="zh-CN"/>
        </w:rPr>
        <w:t>华容县交通运输局（本级）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eastAsia="zh-CN"/>
        </w:rPr>
        <w:t>部门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整体支出</w:t>
      </w: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绩效自评报告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pStyle w:val="6"/>
      </w:pPr>
    </w:p>
    <w:p>
      <w:pPr>
        <w:numPr>
          <w:ilvl w:val="0"/>
          <w:numId w:val="1"/>
        </w:numPr>
        <w:spacing w:before="101" w:line="228" w:lineRule="auto"/>
        <w:ind w:left="648"/>
        <w:rPr>
          <w:rFonts w:hint="eastAsia" w:ascii="黑体" w:hAnsi="黑体" w:eastAsia="黑体" w:cs="黑体"/>
          <w:spacing w:val="5"/>
          <w:sz w:val="32"/>
          <w:szCs w:val="32"/>
        </w:rPr>
      </w:pPr>
      <w:r>
        <w:rPr>
          <w:rFonts w:hint="eastAsia" w:ascii="黑体" w:hAnsi="黑体" w:eastAsia="黑体" w:cs="黑体"/>
          <w:spacing w:val="5"/>
          <w:sz w:val="32"/>
          <w:szCs w:val="32"/>
        </w:rPr>
        <w:t>部门基本情况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2" w:firstLineChars="200"/>
        <w:jc w:val="both"/>
        <w:textAlignment w:val="baseline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单位基本情况：</w:t>
      </w:r>
      <w:r>
        <w:rPr>
          <w:rFonts w:hint="eastAsia" w:ascii="仿宋" w:hAnsi="仿宋" w:eastAsia="仿宋"/>
          <w:sz w:val="28"/>
          <w:szCs w:val="28"/>
        </w:rPr>
        <w:t>华容县交通运输局系县财政全额预算拨款单位。202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年编制部门核实交通局人员编制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17</w:t>
      </w:r>
      <w:r>
        <w:rPr>
          <w:rFonts w:hint="eastAsia" w:ascii="仿宋" w:hAnsi="仿宋" w:eastAsia="仿宋"/>
          <w:sz w:val="28"/>
          <w:szCs w:val="28"/>
        </w:rPr>
        <w:t>人，实有人数为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</w:t>
      </w:r>
      <w:r>
        <w:rPr>
          <w:rFonts w:hint="eastAsia" w:ascii="仿宋" w:hAnsi="仿宋" w:eastAsia="仿宋"/>
          <w:sz w:val="28"/>
          <w:szCs w:val="28"/>
        </w:rPr>
        <w:t>人。该局本级内设机构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sz w:val="28"/>
          <w:szCs w:val="28"/>
        </w:rPr>
        <w:t>个：办公室、人事股、</w:t>
      </w:r>
      <w:r>
        <w:rPr>
          <w:rFonts w:hint="eastAsia" w:ascii="仿宋" w:hAnsi="仿宋" w:eastAsia="仿宋"/>
          <w:sz w:val="28"/>
          <w:szCs w:val="28"/>
          <w:lang w:eastAsia="zh-CN"/>
        </w:rPr>
        <w:t>机关纪委、</w:t>
      </w:r>
      <w:r>
        <w:rPr>
          <w:rFonts w:hint="eastAsia" w:ascii="仿宋" w:hAnsi="仿宋" w:eastAsia="仿宋"/>
          <w:sz w:val="28"/>
          <w:szCs w:val="28"/>
        </w:rPr>
        <w:t>财务审计股、规划建养</w:t>
      </w:r>
      <w:r>
        <w:rPr>
          <w:rFonts w:ascii="仿宋" w:hAnsi="仿宋" w:eastAsia="仿宋"/>
          <w:sz w:val="28"/>
          <w:szCs w:val="28"/>
        </w:rPr>
        <w:t>股</w:t>
      </w:r>
      <w:r>
        <w:rPr>
          <w:rFonts w:hint="eastAsia" w:ascii="仿宋" w:hAnsi="仿宋" w:eastAsia="仿宋"/>
          <w:sz w:val="28"/>
          <w:szCs w:val="28"/>
        </w:rPr>
        <w:t>、法制</w:t>
      </w:r>
      <w:r>
        <w:rPr>
          <w:rFonts w:ascii="仿宋" w:hAnsi="仿宋" w:eastAsia="仿宋"/>
          <w:sz w:val="28"/>
          <w:szCs w:val="28"/>
        </w:rPr>
        <w:t>股</w:t>
      </w:r>
      <w:r>
        <w:rPr>
          <w:rFonts w:hint="eastAsia" w:ascii="仿宋" w:hAnsi="仿宋" w:eastAsia="仿宋"/>
          <w:sz w:val="28"/>
          <w:szCs w:val="28"/>
        </w:rPr>
        <w:t>、安全监督股、运输管理股、行政审批股。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部门主要职能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/>
          <w:sz w:val="28"/>
          <w:szCs w:val="28"/>
        </w:rPr>
        <w:t>执行落实交通运输行业各项法规政策；组织拟订或参与拟订交通</w:t>
      </w:r>
      <w:r>
        <w:rPr>
          <w:rFonts w:hint="eastAsia" w:ascii="仿宋" w:hAnsi="仿宋" w:eastAsia="仿宋"/>
          <w:spacing w:val="-6"/>
          <w:sz w:val="28"/>
          <w:szCs w:val="28"/>
        </w:rPr>
        <w:t>运输规划、</w:t>
      </w:r>
      <w:r>
        <w:rPr>
          <w:rFonts w:hint="eastAsia" w:ascii="仿宋" w:hAnsi="仿宋" w:eastAsia="仿宋"/>
          <w:spacing w:val="-11"/>
          <w:sz w:val="28"/>
          <w:szCs w:val="28"/>
        </w:rPr>
        <w:t>计划并监督实施；负责交通基础设施项目建设、管理维护和行业监管协调；负责交通运输行业监管工作交通运输行业管理、农村公路管、建、养、运输市场</w:t>
      </w:r>
      <w:r>
        <w:rPr>
          <w:rFonts w:hint="eastAsia" w:ascii="仿宋" w:hAnsi="仿宋" w:eastAsia="仿宋"/>
          <w:spacing w:val="-6"/>
          <w:sz w:val="28"/>
          <w:szCs w:val="28"/>
        </w:rPr>
        <w:t>管理、交通建设</w:t>
      </w:r>
      <w:r>
        <w:rPr>
          <w:rFonts w:hint="eastAsia" w:ascii="仿宋" w:hAnsi="仿宋" w:eastAsia="仿宋"/>
          <w:sz w:val="28"/>
          <w:szCs w:val="28"/>
        </w:rPr>
        <w:t>管理。</w:t>
      </w:r>
    </w:p>
    <w:p>
      <w:pPr>
        <w:spacing w:before="216" w:line="226" w:lineRule="auto"/>
        <w:ind w:left="648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2"/>
          <w:sz w:val="32"/>
          <w:szCs w:val="32"/>
        </w:rPr>
        <w:t>二、一般公共预算支出情况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（一）基本支出情况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2024年华容县交通运输局全年基本支出346.70万元，其中：工资福利支出248.3万元，商品和服务支出73.01万元，对个人和家庭的补助支出25.39万元。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2024年“三公”经费实际支出1.41万元，比2023年“三公”经费支出2.46万元减少1.05万元，下降42.68%，主要是严格三公经费使用，执行节俭控制经费支出。其中公务接待费1.41万元，无公务用车运维费。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项目支出情况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2024年华容县交通运输局全年项目支出12166.67万元，其中：其他发展与改革事务经费0.3万元，其他一般公共服务经费710.73万元，其他国有土地使用权出让收入安排的经费739.5万元，防汛经费45万元，公路建设经费890万元，其他公路水路运输经费1969万元，其他交通运输经费547万元，其他解决历史遗留问题及改革成本经费260.13万元，其他应急管理经费5万元，其他地方自行试点项目收益专项债券收入安排的经费7000万元。比2023年增加3199.74</w:t>
      </w:r>
      <w:bookmarkStart w:id="0" w:name="_GoBack"/>
      <w:bookmarkEnd w:id="0"/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万元，增长35.68%。</w:t>
      </w:r>
    </w:p>
    <w:p>
      <w:pPr>
        <w:spacing w:before="219" w:line="226" w:lineRule="auto"/>
        <w:ind w:left="653"/>
        <w:rPr>
          <w:rFonts w:hint="eastAsia" w:ascii="黑体" w:hAnsi="黑体" w:eastAsia="黑体" w:cs="黑体"/>
          <w:spacing w:val="8"/>
          <w:sz w:val="32"/>
          <w:szCs w:val="32"/>
        </w:rPr>
      </w:pPr>
      <w:r>
        <w:rPr>
          <w:rFonts w:hint="eastAsia" w:ascii="黑体" w:hAnsi="黑体" w:eastAsia="黑体" w:cs="黑体"/>
          <w:spacing w:val="8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pacing w:val="8"/>
          <w:sz w:val="32"/>
          <w:szCs w:val="32"/>
        </w:rPr>
        <w:t>、部门整体支出绩效情况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2" w:firstLineChars="200"/>
        <w:jc w:val="both"/>
        <w:textAlignment w:val="baseline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（一）严格预算支出管理。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在支出预算编制上，人员经费按照配置定额，逐人核定编制，公用经费分类分档，按定额编制；根据“总量控制、计划管理”的要求从严控制行政经费，压缩公务费开支，严格控制“三公”经费，资产的配置严格政府采购，按照预算科目和项目资金的规定使用财政资金，保障部门整体支出的规范化、制度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2" w:firstLineChars="200"/>
        <w:jc w:val="both"/>
        <w:textAlignment w:val="baseline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（二）财务管理上，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按照国家相关法律法规，制定了机关财务、公物购置使用、接待、会务、因公出国、车辆使用等管理制度，并严格按照制度管理和执行，防范风险，保证财政资金的安全和高效运行。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2" w:firstLineChars="200"/>
        <w:jc w:val="both"/>
        <w:textAlignment w:val="baseline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（三）整体支出绩效情况分析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2024年，根据该局年初工作规划和重点工作，围绕县委、县政府的工作部署，积极履行职责，强化管理，较好地完成了年度工作目标，同时加强预算收支的管理，建立健全内部管理制度，严格内部管理流程，部门整体支出管理得到了提升。2024年度部门整体支出绩效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1、预算执行方面，该单位预算资金按规定管理使用。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2、预算管理方面，制定了切实有效的内部财务、资产内部管理制度，执行总体较为有效。</w:t>
      </w:r>
    </w:p>
    <w:p>
      <w:pPr>
        <w:keepNext w:val="0"/>
        <w:keepLines w:val="0"/>
        <w:pageBreakBefore w:val="0"/>
        <w:widowControl w:val="0"/>
        <w:tabs>
          <w:tab w:val="left" w:pos="752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560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  <w:t>3、重大项目建设推进有力。</w:t>
      </w:r>
    </w:p>
    <w:p>
      <w:pPr>
        <w:keepNext w:val="0"/>
        <w:keepLines w:val="0"/>
        <w:pageBreakBefore w:val="0"/>
        <w:widowControl w:val="0"/>
        <w:tabs>
          <w:tab w:val="left" w:pos="752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560" w:firstLineChars="200"/>
        <w:jc w:val="both"/>
        <w:textAlignment w:val="baseline"/>
        <w:rPr>
          <w:rFonts w:hint="default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  <w:t>一是完成农村公路建设任务，二是完成县道X029项目建设，三是启动了S218花注公路建设，四是持续推进塔市驿码头后方物流园建设。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before="220" w:line="600" w:lineRule="exact"/>
        <w:ind w:firstLine="676" w:firstLineChars="200"/>
        <w:rPr>
          <w:rFonts w:hint="eastAsia" w:ascii="黑体" w:hAnsi="黑体" w:eastAsia="黑体" w:cs="黑体"/>
          <w:spacing w:val="9"/>
          <w:position w:val="21"/>
          <w:sz w:val="32"/>
          <w:szCs w:val="32"/>
        </w:rPr>
      </w:pPr>
      <w:r>
        <w:rPr>
          <w:rFonts w:hint="eastAsia" w:ascii="黑体" w:hAnsi="黑体" w:eastAsia="黑体" w:cs="黑体"/>
          <w:spacing w:val="9"/>
          <w:position w:val="21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pacing w:val="9"/>
          <w:position w:val="21"/>
          <w:sz w:val="32"/>
          <w:szCs w:val="32"/>
        </w:rPr>
        <w:t>存在的问题及原因分析</w:t>
      </w:r>
    </w:p>
    <w:p>
      <w:pPr>
        <w:keepNext w:val="0"/>
        <w:keepLines w:val="0"/>
        <w:pageBreakBefore w:val="0"/>
        <w:widowControl w:val="0"/>
        <w:tabs>
          <w:tab w:val="left" w:pos="752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560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  <w:t>预算编制有待更严格执行，预算编制与实际支出项目有的存在差异。</w:t>
      </w:r>
    </w:p>
    <w:p>
      <w:pPr>
        <w:pStyle w:val="2"/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spacing w:line="227" w:lineRule="auto"/>
        <w:ind w:left="641" w:leftChars="0"/>
        <w:rPr>
          <w:rFonts w:hint="eastAsia" w:ascii="黑体" w:hAnsi="黑体" w:eastAsia="黑体" w:cs="黑体"/>
          <w:spacing w:val="8"/>
          <w:sz w:val="32"/>
          <w:szCs w:val="32"/>
        </w:rPr>
      </w:pPr>
      <w:r>
        <w:rPr>
          <w:rFonts w:hint="eastAsia" w:ascii="黑体" w:hAnsi="黑体" w:eastAsia="黑体" w:cs="黑体"/>
          <w:spacing w:val="8"/>
          <w:sz w:val="32"/>
          <w:szCs w:val="32"/>
          <w:lang w:eastAsia="zh-CN"/>
        </w:rPr>
        <w:t>五、</w:t>
      </w:r>
      <w:r>
        <w:rPr>
          <w:rFonts w:hint="eastAsia" w:ascii="黑体" w:hAnsi="黑体" w:eastAsia="黑体" w:cs="黑体"/>
          <w:spacing w:val="8"/>
          <w:sz w:val="32"/>
          <w:szCs w:val="32"/>
        </w:rPr>
        <w:t>下一步改进措施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  <w:t>一是按照预算规定的项目和用途严格财务审核，经费支出严格按预算规定项目的财务支出内容进行财务核算，在预算金额内严格控制费用的支出。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  <w:t>二是严格控制“三公”经费支出，杜绝挪用和挤占其他预算资金；进一步细化“三公”经费管理，压缩“三公”经费支出。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Arial"/>
          <w:snapToGrid w:val="0"/>
          <w:color w:val="000000"/>
          <w:kern w:val="0"/>
          <w:sz w:val="28"/>
          <w:szCs w:val="28"/>
          <w:lang w:val="en-US" w:eastAsia="zh-CN"/>
        </w:rPr>
        <w:t>三是预算财务分析常态化，定期做好预算支出财务分析，做好部门整体支出预算评价工作。</w:t>
      </w:r>
    </w:p>
    <w:p>
      <w:pPr>
        <w:pStyle w:val="2"/>
        <w:numPr>
          <w:ilvl w:val="0"/>
          <w:numId w:val="0"/>
        </w:numPr>
        <w:ind w:left="641" w:leftChars="0"/>
        <w:rPr>
          <w:rFonts w:hint="eastAsia"/>
        </w:rPr>
      </w:pPr>
    </w:p>
    <w:p>
      <w:pPr>
        <w:ind w:firstLine="420" w:firstLineChars="200"/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jc w:val="center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ind w:left="525" w:leftChars="250" w:right="525" w:rightChars="250"/>
                            <w:textAlignment w:val="auto"/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t>7</w:t>
                          </w:r>
                          <w:r>
                            <w:rPr>
                              <w:rFonts w:hint="default" w:ascii="Times New Roman" w:hAnsi="Times New Roman" w:eastAsia="华文仿宋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ind w:left="525" w:leftChars="250" w:right="525" w:rightChars="250"/>
                      <w:textAlignment w:val="auto"/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</w:pP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t>7</w:t>
                    </w:r>
                    <w:r>
                      <w:rPr>
                        <w:rFonts w:hint="default" w:ascii="Times New Roman" w:hAnsi="Times New Roman" w:eastAsia="华文仿宋" w:cs="Times New Roman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8576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hint="eastAsia" w:ascii="华文仿宋" w:hAnsi="华文仿宋" w:eastAsia="华文仿宋" w:cs="华文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</w:pP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t>10</w:t>
                    </w:r>
                    <w:r>
                      <w:rPr>
                        <w:rFonts w:hint="eastAsia" w:ascii="华文仿宋" w:hAnsi="华文仿宋" w:eastAsia="华文仿宋" w:cs="华文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5090ED"/>
    <w:multiLevelType w:val="singleLevel"/>
    <w:tmpl w:val="B95090E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AD88973"/>
    <w:multiLevelType w:val="singleLevel"/>
    <w:tmpl w:val="2AD8897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A9A14EA"/>
    <w:multiLevelType w:val="singleLevel"/>
    <w:tmpl w:val="6A9A14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Dg3MGQ2YmE5ZTI3MGI2YjE3YWE4MDY2MzA0NTMifQ=="/>
    <w:docVar w:name="KSO_WPS_MARK_KEY" w:val="dd296ea0-83d0-401a-8f64-1cedd8ef2ebb"/>
  </w:docVars>
  <w:rsids>
    <w:rsidRoot w:val="00000000"/>
    <w:rsid w:val="011E77FB"/>
    <w:rsid w:val="0FB71393"/>
    <w:rsid w:val="18A62B4E"/>
    <w:rsid w:val="2E2270BF"/>
    <w:rsid w:val="5A5E01BD"/>
    <w:rsid w:val="6A3940C3"/>
    <w:rsid w:val="767D64B9"/>
    <w:rsid w:val="781A1483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customStyle="1" w:styleId="9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1237</Words>
  <Characters>1336</Characters>
  <Lines>0</Lines>
  <Paragraphs>0</Paragraphs>
  <TotalTime>15</TotalTime>
  <ScaleCrop>false</ScaleCrop>
  <LinksUpToDate>false</LinksUpToDate>
  <CharactersWithSpaces>1338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dcterms:modified xsi:type="dcterms:W3CDTF">2025-05-21T02:33:21Z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E821EC1392E24F28B4F795474E21D92C</vt:lpwstr>
  </property>
</Properties>
</file>