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51" w:lineRule="auto"/>
        <w:rPr>
          <w:rFonts w:ascii="Arial"/>
          <w:sz w:val="21"/>
        </w:rPr>
      </w:pPr>
      <w:bookmarkStart w:id="0" w:name="_GoBack"/>
      <w:bookmarkEnd w:id="0"/>
    </w:p>
    <w:p>
      <w:pPr>
        <w:spacing w:line="251" w:lineRule="auto"/>
        <w:rPr>
          <w:rFonts w:ascii="Arial"/>
          <w:sz w:val="21"/>
        </w:rPr>
      </w:pPr>
    </w:p>
    <w:p>
      <w:pPr>
        <w:spacing w:before="223" w:line="218" w:lineRule="auto"/>
        <w:jc w:val="center"/>
        <w:rPr>
          <w:rFonts w:hint="eastAsia" w:ascii="方正小标宋简体" w:hAnsi="方正小标宋简体" w:eastAsia="方正小标宋简体" w:cs="方正小标宋简体"/>
          <w:b/>
          <w:bCs/>
          <w:sz w:val="48"/>
          <w:szCs w:val="48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36"/>
          <w:szCs w:val="36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36"/>
          <w:szCs w:val="36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36"/>
          <w:szCs w:val="36"/>
        </w:rPr>
        <w:t>年度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36"/>
          <w:szCs w:val="36"/>
          <w:lang w:eastAsia="zh-CN"/>
        </w:rPr>
        <w:t>华容县团洲乡团洲中学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36"/>
          <w:szCs w:val="36"/>
        </w:rPr>
        <w:t>部门整体支出</w:t>
      </w:r>
    </w:p>
    <w:p>
      <w:pPr>
        <w:spacing w:before="1" w:line="183" w:lineRule="auto"/>
        <w:ind w:left="2789"/>
        <w:rPr>
          <w:rFonts w:hint="eastAsia" w:ascii="方正小标宋简体" w:hAnsi="方正小标宋简体" w:eastAsia="方正小标宋简体" w:cs="方正小标宋简体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spacing w:val="-3"/>
          <w:sz w:val="52"/>
          <w:szCs w:val="52"/>
        </w:rPr>
        <w:t>绩效自评报告</w:t>
      </w: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pStyle w:val="2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jc w:val="center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  <w:lang w:val="en-US" w:eastAsia="zh-CN"/>
        </w:rPr>
        <w:t>15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>
      <w:pPr>
        <w:sectPr>
          <w:headerReference r:id="rId3" w:type="default"/>
          <w:footerReference r:id="rId4" w:type="default"/>
          <w:pgSz w:w="11905" w:h="16838"/>
          <w:pgMar w:top="1984" w:right="1701" w:bottom="1984" w:left="1701" w:header="850" w:footer="1587" w:gutter="0"/>
          <w:pgNumType w:fmt="numberInDash" w:start="7"/>
          <w:cols w:space="0" w:num="1"/>
          <w:rtlGutter w:val="0"/>
          <w:docGrid w:type="lines" w:linePitch="314" w:charSpace="0"/>
        </w:sectPr>
      </w:pPr>
      <w: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val="en-US" w:eastAsia="zh-CN"/>
        </w:rPr>
        <w:t>华容县团洲乡团洲中学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部门整体支出</w:t>
      </w: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绩效自评报告</w:t>
      </w:r>
    </w:p>
    <w:p>
      <w:pPr>
        <w:spacing w:line="283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pStyle w:val="2"/>
      </w:pPr>
    </w:p>
    <w:p>
      <w:pPr>
        <w:spacing w:before="101" w:line="228" w:lineRule="auto"/>
        <w:ind w:left="648"/>
        <w:rPr>
          <w:rFonts w:hint="eastAsia" w:ascii="黑体" w:hAnsi="黑体" w:eastAsia="黑体" w:cs="黑体"/>
          <w:spacing w:val="5"/>
          <w:sz w:val="32"/>
          <w:szCs w:val="32"/>
        </w:rPr>
      </w:pPr>
      <w:r>
        <w:rPr>
          <w:rFonts w:hint="eastAsia" w:ascii="黑体" w:hAnsi="黑体" w:eastAsia="黑体" w:cs="黑体"/>
          <w:spacing w:val="5"/>
          <w:sz w:val="32"/>
          <w:szCs w:val="32"/>
        </w:rPr>
        <w:t>一、部门基本情况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1.宣传贯彻执行党和国家的教育方针、教育政策、教育法律和法规，贯彻执行上级教育行政部门的各项规章制度。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2.在政府和上级教育主管部门的领导下，争取资金改善办学条件，为师生的学习和工作提供优美和谐的环境。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3.根据县级人民政府制定的教育事业发展规划，结合实际制定并组织实施本校的教育事业发展规划。按照干部和教师的职数、编制和管理权限，负责对本校的干部和教师进行管理，制定切实可行的学校工作规章制度，提高教育教学质量为目的，对干部职工的工作开展客观、公正的评价和考核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4.按照九年义务教育课程计划，开齐课程，开足课时，认真实施中小学的教育教学管理，全面推进素质教育，全面提高教育教学质量。</w:t>
      </w:r>
    </w:p>
    <w:p>
      <w:pPr>
        <w:spacing w:before="216" w:line="226" w:lineRule="auto"/>
        <w:ind w:left="648"/>
        <w:rPr>
          <w:rFonts w:hint="eastAsia" w:ascii="黑体" w:hAnsi="黑体" w:eastAsia="黑体" w:cs="黑体"/>
          <w:spacing w:val="-2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（一）基本支出情况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  <w:t>2024年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度财政拨款基本支出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1086.77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万元，其中：人员经费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951.88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万元，主要包括：（基本工资、津贴补贴、奖金、社会保障缴费、伙食补助费、其他工资福利支出、离休费、退休费、生活补助、医疗费、住房公积金、其他对个人和家庭的补助支出等）；公用经费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134.89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主要包括：（办公费、印刷费、咨询费、电费、邮电费、差旅费、因公出国（境）费、维修（护）费、租赁费、会议费、培训费、公务接待费、劳务费、其他交通费用、其他商品和服务支出、办公设备购置、其他支出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“三公”经费支出情况：严格按照财政局下发文件标准执行，严格控制支出，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  <w:t>2024年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，“三公”经费支出为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万元，比上年减少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万元，下降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%，增减变化的主要原因是：厉行节约，严格管控。公务用车购置及运行维护费完成0元，与上年无变化，原因是公车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无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（二）项目支出情况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1、专项资金安排落实、总投入等情况分析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2024年度项目支出143.6万元，主要包括：团洲学校提质改造维修143.6万元，以上经费全部落实到位，保证了相关专项工作实施。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2、专项资金实际使用情况分析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按照财务管理及专项使用有关规定，相关专项资金按照专项的使用范围，做到了不挪项、不挪用、不超预算使用专项经费，并按照“量入为出、量体裁衣、节约使用”的原则，做到有计划地使用专项资金。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3、专项资金管理情况分析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我校财政专项资金逐年增加，为规避财政风险，提高财政专项资金使用效益，确保财政专项资金安全运行，对财政专项资金管理做法如下：一是做到“四个坚持”即:坚持专项资金实行开票、经办、审核、审批、记账等职责严格分离；坚持支出先报批、后经办，经严格审核后，再审批付款，最后交会计人员制单、记账；坚持专项资金凭用款计划、项目进度及专户存款情况，审核拨付资金；坚持把好票据签章关，严格票据销号，对已开完的票据及时销号，防止票据丢失、挪用公款，严禁一人保管支付款项所需要的全部印章。二是专项资金实行使用公示制，资金使用明细全部上网公开，提高了财政专项资金使用的透明度，有力保证了专款专用。三是规范了财政专项资金会计基础工作，提高了会计信息质量，为政府决策提供了参考依据。</w:t>
      </w:r>
    </w:p>
    <w:p>
      <w:pPr>
        <w:spacing w:before="224" w:line="227" w:lineRule="auto"/>
        <w:ind w:left="649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三、政府性基金预算支出情况</w:t>
      </w:r>
    </w:p>
    <w:p>
      <w:pPr>
        <w:pStyle w:val="2"/>
        <w:ind w:firstLine="560" w:firstLineChars="200"/>
        <w:rPr>
          <w:rFonts w:hint="default" w:eastAsia="新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政府性基金拨款</w:t>
      </w:r>
      <w:r>
        <w:rPr>
          <w:rFonts w:hint="eastAsia"/>
          <w:sz w:val="28"/>
          <w:szCs w:val="28"/>
          <w:lang w:val="en-US" w:eastAsia="zh-CN"/>
        </w:rPr>
        <w:t>0万元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。</w:t>
      </w:r>
    </w:p>
    <w:p>
      <w:pPr>
        <w:spacing w:before="219" w:line="600" w:lineRule="exact"/>
        <w:ind w:left="662"/>
        <w:rPr>
          <w:rFonts w:hint="eastAsia" w:ascii="黑体" w:hAnsi="黑体" w:eastAsia="黑体" w:cs="黑体"/>
          <w:spacing w:val="7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7"/>
          <w:position w:val="21"/>
          <w:sz w:val="32"/>
          <w:szCs w:val="32"/>
        </w:rPr>
        <w:t>四、国有资本经营预算支出情况</w:t>
      </w:r>
    </w:p>
    <w:p>
      <w:pPr>
        <w:pStyle w:val="2"/>
        <w:ind w:firstLine="560" w:firstLineChars="200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国有资本经营预算支出</w:t>
      </w:r>
      <w:r>
        <w:rPr>
          <w:rFonts w:hint="eastAsia"/>
          <w:sz w:val="28"/>
          <w:szCs w:val="28"/>
          <w:lang w:val="en-US" w:eastAsia="zh-CN"/>
        </w:rPr>
        <w:t>0万元。</w:t>
      </w:r>
    </w:p>
    <w:p>
      <w:pPr>
        <w:spacing w:line="227" w:lineRule="auto"/>
        <w:ind w:left="651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五、社会保险基金预算支出情况</w:t>
      </w:r>
    </w:p>
    <w:p>
      <w:pPr>
        <w:pStyle w:val="2"/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社会保险基金预算支出</w:t>
      </w:r>
      <w:r>
        <w:rPr>
          <w:rFonts w:hint="eastAsia"/>
          <w:sz w:val="28"/>
          <w:szCs w:val="28"/>
          <w:lang w:val="en-US" w:eastAsia="zh-CN"/>
        </w:rPr>
        <w:t>0万元。</w:t>
      </w:r>
    </w:p>
    <w:p>
      <w:pPr>
        <w:pStyle w:val="2"/>
        <w:ind w:firstLine="672" w:firstLineChars="20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六、部门整体支出绩效情况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  <w:t>2024年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我校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在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县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教体局的正确指导下，坚持安全和质量“两条主线”，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我校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教育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教学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各项工作持续、稳步发展。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我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坚决执行经费预算管理，确保预算不增长，支出不超预算。在厉行节约、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反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对铺张浪费等方面，采取了有力措施，并取得了明显成效。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校长室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成员率先垂范、高度重视下，全体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教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职工积极配合，三公经费得到了很好的控制。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我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严格执行经费年初预算，按照上级的要求，强化制度建设，完善预算分配机制，进一步加强经费预算的执行管理，不断提高支出的经济性、效率性、有效性和可持续性。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根据定量分析及定性分析，综合考评得分为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99.96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分，评价等次确定为优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  <w:t>。</w:t>
      </w:r>
    </w:p>
    <w:p>
      <w:pPr>
        <w:spacing w:before="220" w:line="600" w:lineRule="exact"/>
        <w:ind w:left="641"/>
        <w:rPr>
          <w:rFonts w:hint="eastAsia" w:ascii="黑体" w:hAnsi="黑体" w:eastAsia="黑体" w:cs="黑体"/>
          <w:spacing w:val="9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七、存在的问题及原因分析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  <w:t>对项目资金开支分类需要进一步科学化、规范化，费用开支和绩效产出测得结果不够准确，需要进一步量化。预算管理、绩效管理、资金管理需要加强。</w:t>
      </w:r>
    </w:p>
    <w:p>
      <w:pPr>
        <w:spacing w:line="227" w:lineRule="auto"/>
        <w:ind w:left="643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八、下一步改进措施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color w:val="auto"/>
          <w:sz w:val="28"/>
          <w:szCs w:val="28"/>
          <w:lang w:val="en-US" w:eastAsia="zh-CN"/>
        </w:rPr>
        <w:t>加强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  <w:t>预算管理、绩效管理、资金管理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val="en-US" w:eastAsia="zh-CN"/>
        </w:rPr>
        <w:t>等的制度建设与执行措施的改进，确保我单位绩效评价工作顺利进行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  <w:t>。</w:t>
      </w:r>
    </w:p>
    <w:p>
      <w:pPr>
        <w:spacing w:before="219" w:line="600" w:lineRule="exact"/>
        <w:ind w:left="650"/>
        <w:rPr>
          <w:rFonts w:hint="eastAsia" w:ascii="黑体" w:hAnsi="黑体" w:eastAsia="黑体" w:cs="黑体"/>
          <w:spacing w:val="8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九、部门整体支出绩效自评结果拟应用和公开</w:t>
      </w:r>
      <w:r>
        <w:rPr>
          <w:rFonts w:hint="eastAsia" w:ascii="黑体" w:hAnsi="黑体" w:eastAsia="黑体" w:cs="黑体"/>
          <w:spacing w:val="8"/>
          <w:position w:val="21"/>
          <w:sz w:val="32"/>
          <w:szCs w:val="32"/>
        </w:rPr>
        <w:t>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560" w:firstLineChars="200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1.通过对部门整体支出绩效自评结果的分析和应用，了解部门工作完成情况，针对发现的问题和瓶颈，适时地调整工作方向，提高整个部门的绩效水平。另外，借助绩效自评结果，进行绩效考核和激励，创造更好的工作氛围和激励机制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560" w:firstLineChars="200"/>
        <w:textAlignment w:val="auto"/>
        <w:rPr>
          <w:rFonts w:hint="default"/>
          <w:lang w:val="en-US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2.适时公开部门整体支出绩效自评结果，让教职工了解我部门的绩效评价标准和结果，有利于建立公平公正的绩效考核制度，激发教职工的工作热情和积极性，提高整体绩效水平。</w:t>
      </w:r>
    </w:p>
    <w:p>
      <w:pPr>
        <w:spacing w:line="226" w:lineRule="auto"/>
        <w:ind w:left="647"/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</w:rPr>
        <w:t>十、其他需要说明的情况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方正小标宋_GBK" w:cs="Times New Roman"/>
          <w:sz w:val="52"/>
          <w:szCs w:val="52"/>
        </w:rPr>
        <w:sectPr>
          <w:footerReference r:id="rId5" w:type="default"/>
          <w:pgSz w:w="11905" w:h="16838"/>
          <w:pgMar w:top="1984" w:right="1701" w:bottom="1984" w:left="1701" w:header="850" w:footer="992" w:gutter="0"/>
          <w:pgNumType w:fmt="numberInDash"/>
          <w:cols w:space="0" w:num="1"/>
          <w:rtlGutter w:val="0"/>
          <w:docGrid w:type="lines" w:linePitch="314" w:charSpace="0"/>
        </w:sectPr>
      </w:pPr>
      <w:r>
        <w:rPr>
          <w:rFonts w:hint="eastAsia" w:ascii="新宋体" w:hAnsi="新宋体" w:eastAsia="新宋体" w:cs="新宋体"/>
          <w:color w:val="auto"/>
          <w:sz w:val="28"/>
          <w:szCs w:val="28"/>
        </w:rPr>
        <w:t>其他需要说明的情况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val="en-US" w:eastAsia="zh-CN"/>
        </w:rPr>
        <w:t>无</w:t>
      </w:r>
    </w:p>
    <w:p>
      <w:pPr>
        <w:rPr>
          <w:rFonts w:hint="eastAsia"/>
          <w:sz w:val="22"/>
          <w:szCs w:val="22"/>
          <w:lang w:val="en-US" w:eastAsia="zh-CN"/>
        </w:rPr>
      </w:pPr>
    </w:p>
    <w:sectPr>
      <w:footerReference r:id="rId6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11BAF88-D72A-4C3E-8E91-0DBF7D863189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360253C-3D31-4A8A-9135-039A3478BDA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856400A-E8EC-447F-9F5F-E8F5479610A7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F04846A9-32F1-4803-9090-7AF4C984459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F25B0B81-2B63-4521-A490-395B0AD8E14E}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  <w:embedRegular r:id="rId6" w:fontKey="{162D9BEA-1738-411B-B6E8-2DB3DA2E3FC0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7" w:fontKey="{22DB9B5B-7A28-4B0A-B589-594913131EF3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8" w:fontKey="{64686651-8C29-41E8-A792-5893671C84CD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923438F2-26EC-4783-8164-76D2D4A84A18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10" w:fontKey="{BE57E9AF-2D58-43B0-9507-643418D50F84}"/>
  </w:font>
  <w:font w:name="楷体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11" w:fontKey="{63F3A537-D14D-4ED2-8C42-B9B8AB217647}"/>
  </w:font>
  <w:font w:name="方正小标宋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12" w:fontKey="{89F57DAD-356E-442B-9F9C-FD5322C0AA5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I3F45U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9tdHoSAgAAFQ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M9tdHoSAgAAFQ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Q0NmU4ODg5NWMxZmRlODk5ZDFhOTFjNjBjZmU3ODAifQ=="/>
  </w:docVars>
  <w:rsids>
    <w:rsidRoot w:val="0CCB7736"/>
    <w:rsid w:val="00047FEF"/>
    <w:rsid w:val="000A3906"/>
    <w:rsid w:val="001776F1"/>
    <w:rsid w:val="005E2A1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31DD0"/>
    <w:rsid w:val="0338470A"/>
    <w:rsid w:val="034822A9"/>
    <w:rsid w:val="03D86621"/>
    <w:rsid w:val="04E85283"/>
    <w:rsid w:val="04EE6171"/>
    <w:rsid w:val="05315F6B"/>
    <w:rsid w:val="05395EA9"/>
    <w:rsid w:val="0616597F"/>
    <w:rsid w:val="06426ACC"/>
    <w:rsid w:val="06C2792F"/>
    <w:rsid w:val="07A62D33"/>
    <w:rsid w:val="085C4AC5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524A5A"/>
    <w:rsid w:val="0E6B257C"/>
    <w:rsid w:val="0E76624F"/>
    <w:rsid w:val="0E992415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6C2770"/>
    <w:rsid w:val="11837AA9"/>
    <w:rsid w:val="11963ADD"/>
    <w:rsid w:val="11EB0F5C"/>
    <w:rsid w:val="11F20483"/>
    <w:rsid w:val="12123C76"/>
    <w:rsid w:val="124D6E82"/>
    <w:rsid w:val="12831010"/>
    <w:rsid w:val="128B3251"/>
    <w:rsid w:val="129038DB"/>
    <w:rsid w:val="13285633"/>
    <w:rsid w:val="13441D7E"/>
    <w:rsid w:val="136F31F8"/>
    <w:rsid w:val="138750E0"/>
    <w:rsid w:val="1396506E"/>
    <w:rsid w:val="13D82A59"/>
    <w:rsid w:val="13E675EB"/>
    <w:rsid w:val="140E6961"/>
    <w:rsid w:val="141D6D3A"/>
    <w:rsid w:val="145F795E"/>
    <w:rsid w:val="14DE3663"/>
    <w:rsid w:val="15604228"/>
    <w:rsid w:val="15695ACC"/>
    <w:rsid w:val="15A620D3"/>
    <w:rsid w:val="15C66D44"/>
    <w:rsid w:val="16801E3F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34578A"/>
    <w:rsid w:val="1CA34935"/>
    <w:rsid w:val="1CC311E2"/>
    <w:rsid w:val="1D4B5AB7"/>
    <w:rsid w:val="1D5A640E"/>
    <w:rsid w:val="1E9351E5"/>
    <w:rsid w:val="1F391B38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85FA2"/>
    <w:rsid w:val="22CA430C"/>
    <w:rsid w:val="22DF2F05"/>
    <w:rsid w:val="22FF5445"/>
    <w:rsid w:val="23201E3D"/>
    <w:rsid w:val="2342170A"/>
    <w:rsid w:val="238D0E57"/>
    <w:rsid w:val="24256710"/>
    <w:rsid w:val="251E7983"/>
    <w:rsid w:val="255A6F08"/>
    <w:rsid w:val="25FE2B31"/>
    <w:rsid w:val="260D5D83"/>
    <w:rsid w:val="260E1D77"/>
    <w:rsid w:val="27041A3D"/>
    <w:rsid w:val="277A77CA"/>
    <w:rsid w:val="27D31FAF"/>
    <w:rsid w:val="28043432"/>
    <w:rsid w:val="284A2254"/>
    <w:rsid w:val="28D948BF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061CB6"/>
    <w:rsid w:val="2E4F43C0"/>
    <w:rsid w:val="2EC7368E"/>
    <w:rsid w:val="2EDC05D9"/>
    <w:rsid w:val="2F240CAA"/>
    <w:rsid w:val="2F5137B6"/>
    <w:rsid w:val="2FF62815"/>
    <w:rsid w:val="304D5781"/>
    <w:rsid w:val="30FB4B41"/>
    <w:rsid w:val="310556EF"/>
    <w:rsid w:val="31621165"/>
    <w:rsid w:val="319D35B5"/>
    <w:rsid w:val="31E5469A"/>
    <w:rsid w:val="322E1E8E"/>
    <w:rsid w:val="323C5548"/>
    <w:rsid w:val="32A13DCA"/>
    <w:rsid w:val="33235CE2"/>
    <w:rsid w:val="33F22F3B"/>
    <w:rsid w:val="35406C23"/>
    <w:rsid w:val="359F2200"/>
    <w:rsid w:val="35A42962"/>
    <w:rsid w:val="35B80496"/>
    <w:rsid w:val="36106E83"/>
    <w:rsid w:val="36AD0EA9"/>
    <w:rsid w:val="36FF783F"/>
    <w:rsid w:val="37450F88"/>
    <w:rsid w:val="375F1A7E"/>
    <w:rsid w:val="378219F7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EF0C7A"/>
    <w:rsid w:val="3AF42D2D"/>
    <w:rsid w:val="3B062751"/>
    <w:rsid w:val="3B3A041F"/>
    <w:rsid w:val="3BAE6BF9"/>
    <w:rsid w:val="3BEE0229"/>
    <w:rsid w:val="3C3568D7"/>
    <w:rsid w:val="3CB65A21"/>
    <w:rsid w:val="3CCA47F2"/>
    <w:rsid w:val="3CDE0708"/>
    <w:rsid w:val="3D33006A"/>
    <w:rsid w:val="3D3954D4"/>
    <w:rsid w:val="3D545E58"/>
    <w:rsid w:val="3D5877DF"/>
    <w:rsid w:val="3DAE53BC"/>
    <w:rsid w:val="3DC55CAA"/>
    <w:rsid w:val="3DD556CA"/>
    <w:rsid w:val="3DFE271A"/>
    <w:rsid w:val="3E5F4AE1"/>
    <w:rsid w:val="3E8E0DB5"/>
    <w:rsid w:val="3F450429"/>
    <w:rsid w:val="3FB6105E"/>
    <w:rsid w:val="3FBF3F86"/>
    <w:rsid w:val="3FF70715"/>
    <w:rsid w:val="3FFD550C"/>
    <w:rsid w:val="4021030A"/>
    <w:rsid w:val="40226C80"/>
    <w:rsid w:val="409741F1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3DC7B84"/>
    <w:rsid w:val="44143822"/>
    <w:rsid w:val="44654A12"/>
    <w:rsid w:val="44E421C9"/>
    <w:rsid w:val="45320384"/>
    <w:rsid w:val="457C5F26"/>
    <w:rsid w:val="46963997"/>
    <w:rsid w:val="4716830A"/>
    <w:rsid w:val="47BF53CA"/>
    <w:rsid w:val="48B126BB"/>
    <w:rsid w:val="49CF255F"/>
    <w:rsid w:val="4A3239D7"/>
    <w:rsid w:val="4B2C5DCD"/>
    <w:rsid w:val="4B46D032"/>
    <w:rsid w:val="4B7D1173"/>
    <w:rsid w:val="4B917335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7403A"/>
    <w:rsid w:val="4DB17672"/>
    <w:rsid w:val="4DB27F04"/>
    <w:rsid w:val="4E992277"/>
    <w:rsid w:val="4F5D15A2"/>
    <w:rsid w:val="4FCB46B2"/>
    <w:rsid w:val="4FFE57BD"/>
    <w:rsid w:val="50605A69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283BC9"/>
    <w:rsid w:val="536E566D"/>
    <w:rsid w:val="5387476B"/>
    <w:rsid w:val="53910AF4"/>
    <w:rsid w:val="53DB2E1F"/>
    <w:rsid w:val="53FBDA3F"/>
    <w:rsid w:val="54101315"/>
    <w:rsid w:val="54152739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6435EF"/>
    <w:rsid w:val="56F72F7C"/>
    <w:rsid w:val="5717642E"/>
    <w:rsid w:val="57946554"/>
    <w:rsid w:val="57D80A00"/>
    <w:rsid w:val="586243BF"/>
    <w:rsid w:val="58FD3402"/>
    <w:rsid w:val="5968027A"/>
    <w:rsid w:val="5A3E05B5"/>
    <w:rsid w:val="5AAF7799"/>
    <w:rsid w:val="5AB04BD0"/>
    <w:rsid w:val="5B5C1753"/>
    <w:rsid w:val="5BE211F7"/>
    <w:rsid w:val="5BF510BE"/>
    <w:rsid w:val="5C6C4B26"/>
    <w:rsid w:val="5D03DFF6"/>
    <w:rsid w:val="5D9C3D56"/>
    <w:rsid w:val="5DB122D4"/>
    <w:rsid w:val="5DD775C7"/>
    <w:rsid w:val="5E134100"/>
    <w:rsid w:val="5ED14285"/>
    <w:rsid w:val="5F7A1C50"/>
    <w:rsid w:val="5FC69000"/>
    <w:rsid w:val="601C4AB5"/>
    <w:rsid w:val="604F2F3E"/>
    <w:rsid w:val="60BE5A58"/>
    <w:rsid w:val="60BE691E"/>
    <w:rsid w:val="60E24467"/>
    <w:rsid w:val="60F838FC"/>
    <w:rsid w:val="61444403"/>
    <w:rsid w:val="62265BDF"/>
    <w:rsid w:val="62BD30CC"/>
    <w:rsid w:val="62E1699A"/>
    <w:rsid w:val="62FBC294"/>
    <w:rsid w:val="63123C13"/>
    <w:rsid w:val="637D5875"/>
    <w:rsid w:val="64147F0D"/>
    <w:rsid w:val="64B713E7"/>
    <w:rsid w:val="64D66362"/>
    <w:rsid w:val="65860217"/>
    <w:rsid w:val="65931E5B"/>
    <w:rsid w:val="659D5052"/>
    <w:rsid w:val="659F0492"/>
    <w:rsid w:val="65F4116A"/>
    <w:rsid w:val="66415276"/>
    <w:rsid w:val="667E0AA1"/>
    <w:rsid w:val="66AE5CE5"/>
    <w:rsid w:val="66D4191C"/>
    <w:rsid w:val="66D47E98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4E7016"/>
    <w:rsid w:val="6B8D38AE"/>
    <w:rsid w:val="6BA1010E"/>
    <w:rsid w:val="6BC80F42"/>
    <w:rsid w:val="6CB744E6"/>
    <w:rsid w:val="6CE47E41"/>
    <w:rsid w:val="6CED5810"/>
    <w:rsid w:val="6CF92413"/>
    <w:rsid w:val="6DFE5E04"/>
    <w:rsid w:val="6E0D1F7B"/>
    <w:rsid w:val="6E4E6782"/>
    <w:rsid w:val="6E796921"/>
    <w:rsid w:val="6E87203D"/>
    <w:rsid w:val="6F4E6C46"/>
    <w:rsid w:val="6F9278BB"/>
    <w:rsid w:val="6FB7D4E3"/>
    <w:rsid w:val="6FBE0EF0"/>
    <w:rsid w:val="6FFF1C22"/>
    <w:rsid w:val="70696811"/>
    <w:rsid w:val="70EC5DDE"/>
    <w:rsid w:val="71572F19"/>
    <w:rsid w:val="719B7427"/>
    <w:rsid w:val="71E33685"/>
    <w:rsid w:val="71F326B3"/>
    <w:rsid w:val="724A6793"/>
    <w:rsid w:val="72647B59"/>
    <w:rsid w:val="7372FC32"/>
    <w:rsid w:val="739A288B"/>
    <w:rsid w:val="73A56E44"/>
    <w:rsid w:val="73B12A87"/>
    <w:rsid w:val="73EF00BF"/>
    <w:rsid w:val="741F26FA"/>
    <w:rsid w:val="74470DF8"/>
    <w:rsid w:val="744E1D52"/>
    <w:rsid w:val="74B86703"/>
    <w:rsid w:val="74BD60BB"/>
    <w:rsid w:val="74CF0052"/>
    <w:rsid w:val="74D56CA4"/>
    <w:rsid w:val="74FA3C0D"/>
    <w:rsid w:val="751D6EAE"/>
    <w:rsid w:val="75FD1676"/>
    <w:rsid w:val="7687113B"/>
    <w:rsid w:val="76C3247D"/>
    <w:rsid w:val="76EFC8B0"/>
    <w:rsid w:val="776ACBF9"/>
    <w:rsid w:val="77A01238"/>
    <w:rsid w:val="77B8776B"/>
    <w:rsid w:val="77FF7A21"/>
    <w:rsid w:val="7951325E"/>
    <w:rsid w:val="799536BA"/>
    <w:rsid w:val="7AC34054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1A215C"/>
    <w:rsid w:val="7E352599"/>
    <w:rsid w:val="7E474F7B"/>
    <w:rsid w:val="7E7F4A49"/>
    <w:rsid w:val="7E8F7AC1"/>
    <w:rsid w:val="7F0A2F09"/>
    <w:rsid w:val="7F2BE2DA"/>
    <w:rsid w:val="7F363D1E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7">
    <w:name w:val="Default Paragraph Font"/>
    <w:semiHidden/>
    <w:qFormat/>
    <w:uiPriority w:val="99"/>
  </w:style>
  <w:style w:type="table" w:default="1" w:styleId="9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8">
    <w:name w:val="page number"/>
    <w:basedOn w:val="7"/>
    <w:qFormat/>
    <w:uiPriority w:val="99"/>
    <w:rPr>
      <w:rFonts w:cs="Times New Roman"/>
    </w:rPr>
  </w:style>
  <w:style w:type="table" w:styleId="10">
    <w:name w:val="Table Grid"/>
    <w:basedOn w:val="9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Footer Char"/>
    <w:basedOn w:val="7"/>
    <w:link w:val="5"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7"/>
    <w:link w:val="6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17</Pages>
  <Words>4354</Words>
  <Characters>4599</Characters>
  <Lines>0</Lines>
  <Paragraphs>0</Paragraphs>
  <TotalTime>3</TotalTime>
  <ScaleCrop>false</ScaleCrop>
  <LinksUpToDate>false</LinksUpToDate>
  <CharactersWithSpaces>4995</CharactersWithSpaces>
  <Application>WPS Office_11.8.2.8053_F1E327BC-269C-435d-A152-05C5408002CA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2024-05-20T07:59:00Z</cp:lastPrinted>
  <dcterms:modified xsi:type="dcterms:W3CDTF">2025-05-15T00:53:59Z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