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both"/>
        <w:rPr>
          <w:rFonts w:hAnsi="黑体"/>
          <w:sz w:val="36"/>
          <w:szCs w:val="36"/>
        </w:rPr>
      </w:pPr>
      <w:r>
        <w:rPr>
          <w:rFonts w:hint="eastAsia" w:hAnsi="黑体"/>
          <w:sz w:val="36"/>
          <w:szCs w:val="36"/>
        </w:rPr>
        <w:t>附件1</w:t>
      </w:r>
    </w:p>
    <w:p>
      <w:pPr>
        <w:pStyle w:val="13"/>
        <w:jc w:val="center"/>
        <w:rPr>
          <w:rFonts w:ascii="Times New Roman" w:hAnsi="Times New Roman" w:cs="Times New Roman"/>
          <w:sz w:val="56"/>
          <w:szCs w:val="56"/>
        </w:rPr>
      </w:pPr>
    </w:p>
    <w:p>
      <w:pPr>
        <w:pStyle w:val="13"/>
        <w:jc w:val="center"/>
        <w:rPr>
          <w:rFonts w:ascii="Times New Roman" w:hAnsi="Times New Roman" w:cs="Times New Roman"/>
          <w:sz w:val="84"/>
          <w:szCs w:val="84"/>
        </w:rPr>
      </w:pPr>
    </w:p>
    <w:p>
      <w:pPr>
        <w:pStyle w:val="13"/>
        <w:jc w:val="center"/>
        <w:rPr>
          <w:rFonts w:ascii="Times New Roman" w:hAnsi="Times New Roman" w:cs="Times New Roman"/>
          <w:sz w:val="84"/>
          <w:szCs w:val="84"/>
        </w:rPr>
      </w:pPr>
    </w:p>
    <w:p>
      <w:pPr>
        <w:pStyle w:val="13"/>
        <w:jc w:val="center"/>
        <w:rPr>
          <w:rFonts w:ascii="Times New Roman" w:hAnsi="Times New Roman" w:eastAsia="方正小标宋简体" w:cs="Times New Roman"/>
          <w:sz w:val="72"/>
          <w:szCs w:val="72"/>
        </w:rPr>
      </w:pPr>
      <w:r>
        <w:rPr>
          <w:rFonts w:ascii="Times New Roman" w:hAnsi="Times New Roman" w:eastAsia="方正小标宋简体" w:cs="Times New Roman"/>
          <w:sz w:val="72"/>
          <w:szCs w:val="72"/>
        </w:rPr>
        <w:t>2024年度</w:t>
      </w:r>
    </w:p>
    <w:p>
      <w:pPr>
        <w:pStyle w:val="13"/>
        <w:jc w:val="center"/>
        <w:rPr>
          <w:rFonts w:ascii="Times New Roman" w:hAnsi="Times New Roman" w:eastAsia="方正小标宋简体" w:cs="Times New Roman"/>
          <w:sz w:val="72"/>
          <w:szCs w:val="72"/>
        </w:rPr>
      </w:pPr>
      <w:r>
        <w:rPr>
          <w:rFonts w:hint="eastAsia" w:ascii="Times New Roman" w:hAnsi="Times New Roman" w:eastAsia="方正小标宋简体" w:cs="Times New Roman"/>
          <w:sz w:val="72"/>
          <w:szCs w:val="72"/>
          <w:lang w:eastAsia="zh-CN"/>
        </w:rPr>
        <w:t>城关中心小学</w:t>
      </w:r>
      <w:r>
        <w:rPr>
          <w:rFonts w:ascii="Times New Roman" w:hAnsi="Times New Roman" w:eastAsia="方正小标宋简体" w:cs="Times New Roman"/>
          <w:sz w:val="72"/>
          <w:szCs w:val="72"/>
        </w:rPr>
        <w:t>部门决算</w:t>
      </w:r>
      <w:r>
        <w:commentReference w:id="0"/>
      </w:r>
    </w:p>
    <w:p>
      <w:pPr>
        <w:pStyle w:val="13"/>
        <w:jc w:val="center"/>
        <w:rPr>
          <w:rFonts w:ascii="Times New Roman" w:hAnsi="Times New Roman" w:eastAsia="方正小标宋_GBK" w:cs="Times New Roman"/>
          <w:sz w:val="56"/>
          <w:szCs w:val="56"/>
        </w:rPr>
      </w:pPr>
    </w:p>
    <w:p>
      <w:pPr>
        <w:pStyle w:val="13"/>
        <w:jc w:val="center"/>
        <w:rPr>
          <w:rFonts w:ascii="Times New Roman" w:hAnsi="Times New Roman" w:cs="Times New Roman"/>
          <w:sz w:val="56"/>
          <w:szCs w:val="56"/>
        </w:rPr>
      </w:pPr>
    </w:p>
    <w:p>
      <w:pPr>
        <w:pStyle w:val="13"/>
        <w:rPr>
          <w:rFonts w:ascii="Times New Roman" w:hAnsi="Times New Roman" w:cs="Times New Roman"/>
          <w:sz w:val="56"/>
          <w:szCs w:val="56"/>
        </w:rPr>
      </w:pPr>
    </w:p>
    <w:p>
      <w:pPr>
        <w:pStyle w:val="13"/>
        <w:jc w:val="center"/>
        <w:rPr>
          <w:rFonts w:ascii="Times New Roman" w:hAnsi="Times New Roman" w:cs="Times New Roman"/>
          <w:sz w:val="32"/>
          <w:szCs w:val="32"/>
        </w:rPr>
      </w:pPr>
    </w:p>
    <w:p>
      <w:pPr>
        <w:pStyle w:val="13"/>
        <w:jc w:val="center"/>
        <w:rPr>
          <w:rFonts w:ascii="Times New Roman" w:hAnsi="Times New Roman" w:cs="Times New Roman"/>
          <w:sz w:val="32"/>
          <w:szCs w:val="32"/>
        </w:rPr>
      </w:pPr>
    </w:p>
    <w:p>
      <w:pPr>
        <w:pStyle w:val="13"/>
        <w:jc w:val="center"/>
        <w:rPr>
          <w:rFonts w:ascii="Times New Roman" w:hAnsi="Times New Roman" w:cs="Times New Roman"/>
          <w:sz w:val="32"/>
          <w:szCs w:val="32"/>
        </w:rPr>
      </w:pPr>
    </w:p>
    <w:p>
      <w:pPr>
        <w:pStyle w:val="13"/>
        <w:jc w:val="center"/>
        <w:rPr>
          <w:rFonts w:ascii="Times New Roman" w:hAnsi="Times New Roman" w:cs="Times New Roman"/>
          <w:sz w:val="32"/>
          <w:szCs w:val="32"/>
        </w:rPr>
      </w:pPr>
    </w:p>
    <w:p>
      <w:pPr>
        <w:pStyle w:val="13"/>
        <w:jc w:val="center"/>
        <w:rPr>
          <w:rFonts w:ascii="Times New Roman" w:hAnsi="Times New Roman" w:cs="Times New Roman"/>
          <w:sz w:val="32"/>
          <w:szCs w:val="32"/>
        </w:rPr>
      </w:pPr>
    </w:p>
    <w:p>
      <w:pPr>
        <w:pStyle w:val="13"/>
        <w:jc w:val="center"/>
        <w:rPr>
          <w:rFonts w:ascii="Times New Roman" w:hAnsi="Times New Roman" w:cs="Times New Roman"/>
          <w:sz w:val="32"/>
          <w:szCs w:val="32"/>
        </w:rPr>
      </w:pPr>
    </w:p>
    <w:p>
      <w:pPr>
        <w:pStyle w:val="13"/>
        <w:spacing w:line="540" w:lineRule="exact"/>
        <w:jc w:val="center"/>
        <w:rPr>
          <w:rFonts w:ascii="Times New Roman" w:hAnsi="Times New Roman" w:cs="Times New Roman"/>
          <w:sz w:val="56"/>
          <w:szCs w:val="56"/>
        </w:rPr>
      </w:pPr>
    </w:p>
    <w:p>
      <w:pPr>
        <w:rPr>
          <w:rFonts w:ascii="Times New Roman" w:hAnsi="Times New Roman" w:cs="Times New Roman"/>
          <w:b/>
          <w:sz w:val="36"/>
          <w:szCs w:val="28"/>
        </w:rPr>
        <w:sectPr>
          <w:pgSz w:w="11906" w:h="16838"/>
          <w:pgMar w:top="1417" w:right="1588" w:bottom="1417" w:left="1588" w:header="851" w:footer="992" w:gutter="0"/>
          <w:cols w:space="425" w:num="1"/>
          <w:docGrid w:type="lines" w:linePitch="312" w:charSpace="0"/>
        </w:sectPr>
      </w:pPr>
    </w:p>
    <w:p>
      <w:pPr>
        <w:pStyle w:val="13"/>
        <w:spacing w:line="600" w:lineRule="exact"/>
        <w:jc w:val="both"/>
        <w:rPr>
          <w:rFonts w:ascii="Times New Roman" w:hAnsi="Times New Roman" w:cs="Times New Roman"/>
          <w:b/>
          <w:sz w:val="36"/>
          <w:szCs w:val="28"/>
        </w:rPr>
        <w:sectPr>
          <w:footerReference r:id="rId5" w:type="default"/>
          <w:pgSz w:w="11906" w:h="16838"/>
          <w:pgMar w:top="1417" w:right="1588" w:bottom="1417" w:left="1588" w:header="851" w:footer="992" w:gutter="0"/>
          <w:pgNumType w:start="1"/>
          <w:cols w:space="425" w:num="1"/>
          <w:docGrid w:type="lines" w:linePitch="312" w:charSpace="0"/>
        </w:sectPr>
      </w:pPr>
    </w:p>
    <w:p>
      <w:pPr>
        <w:pStyle w:val="13"/>
        <w:spacing w:line="600" w:lineRule="exact"/>
        <w:jc w:val="both"/>
        <w:rPr>
          <w:rFonts w:ascii="Times New Roman" w:hAnsi="Times New Roman" w:cs="Times New Roman"/>
          <w:b/>
          <w:sz w:val="36"/>
          <w:szCs w:val="28"/>
        </w:rPr>
      </w:pPr>
    </w:p>
    <w:p>
      <w:pPr>
        <w:pStyle w:val="13"/>
        <w:spacing w:line="600" w:lineRule="exact"/>
        <w:jc w:val="center"/>
        <w:rPr>
          <w:rFonts w:ascii="Times New Roman" w:hAnsi="Times New Roman" w:cs="Times New Roman"/>
          <w:bCs/>
          <w:sz w:val="36"/>
          <w:szCs w:val="28"/>
        </w:rPr>
      </w:pPr>
      <w:r>
        <w:rPr>
          <w:rFonts w:ascii="Times New Roman" w:hAnsi="Times New Roman" w:cs="Times New Roman"/>
          <w:bCs/>
          <w:sz w:val="36"/>
          <w:szCs w:val="28"/>
        </w:rPr>
        <w:t>目  录</w:t>
      </w:r>
    </w:p>
    <w:p>
      <w:pPr>
        <w:pStyle w:val="13"/>
        <w:spacing w:line="600" w:lineRule="exact"/>
        <w:jc w:val="center"/>
        <w:rPr>
          <w:rFonts w:ascii="Times New Roman" w:hAnsi="Times New Roman" w:cs="Times New Roman"/>
          <w:b/>
          <w:sz w:val="36"/>
          <w:szCs w:val="28"/>
        </w:rPr>
      </w:pPr>
    </w:p>
    <w:p>
      <w:pPr>
        <w:pStyle w:val="13"/>
        <w:spacing w:after="156" w:afterLines="50" w:line="600" w:lineRule="exact"/>
        <w:rPr>
          <w:rFonts w:ascii="Times New Roman" w:hAnsi="Times New Roman" w:cs="Times New Roman"/>
          <w:bCs/>
          <w:sz w:val="32"/>
          <w:szCs w:val="32"/>
        </w:rPr>
      </w:pPr>
      <w:r>
        <w:rPr>
          <w:rFonts w:ascii="Times New Roman" w:hAnsi="Times New Roman" w:cs="Times New Roman"/>
          <w:bCs/>
          <w:sz w:val="32"/>
          <w:szCs w:val="32"/>
        </w:rPr>
        <w:t xml:space="preserve">第一部分 </w:t>
      </w:r>
      <w:r>
        <w:rPr>
          <w:rFonts w:hint="eastAsia" w:ascii="Times New Roman" w:hAnsi="Times New Roman" w:cs="Times New Roman"/>
          <w:bCs/>
          <w:sz w:val="32"/>
          <w:szCs w:val="32"/>
          <w:lang w:eastAsia="zh-CN"/>
        </w:rPr>
        <w:t>城关中心小学</w:t>
      </w:r>
      <w:r>
        <w:rPr>
          <w:rFonts w:ascii="Times New Roman" w:hAnsi="Times New Roman" w:cs="Times New Roman"/>
          <w:bCs/>
          <w:sz w:val="32"/>
          <w:szCs w:val="32"/>
        </w:rPr>
        <w:t>概况</w:t>
      </w:r>
      <w:r>
        <w:commentReference w:id="1"/>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一、部门职责</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二、机构设置及决算单位构成</w:t>
      </w:r>
    </w:p>
    <w:p>
      <w:pPr>
        <w:pStyle w:val="13"/>
        <w:spacing w:before="156" w:beforeLines="50" w:after="156" w:afterLines="50" w:line="600" w:lineRule="exact"/>
        <w:rPr>
          <w:rFonts w:ascii="Times New Roman" w:hAnsi="Times New Roman" w:cs="Times New Roman"/>
          <w:bCs/>
          <w:sz w:val="32"/>
          <w:szCs w:val="32"/>
        </w:rPr>
      </w:pPr>
      <w:r>
        <w:rPr>
          <w:rFonts w:ascii="Times New Roman" w:hAnsi="Times New Roman" w:cs="Times New Roman"/>
          <w:bCs/>
          <w:sz w:val="32"/>
          <w:szCs w:val="32"/>
        </w:rPr>
        <w:t>第二部分 部门决算表</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一、收入支出决算总表</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二、收入决算表</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三、支出决算表</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四、财政拨款收入支出决算总表</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五、一般公共预算财政拨款支出决算表</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六、一般公共预算财政拨款基本支出决算明细表</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七、政府性基金预算财政拨款收入支出决算表</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八、国有资本经营预算财政拨款支出决算表</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九、财政拨款“三公”经费支出决算表</w:t>
      </w:r>
    </w:p>
    <w:p>
      <w:pPr>
        <w:pStyle w:val="13"/>
        <w:spacing w:before="156" w:beforeLines="50" w:after="156" w:afterLines="50" w:line="600" w:lineRule="exact"/>
        <w:rPr>
          <w:rFonts w:ascii="Times New Roman" w:hAnsi="Times New Roman" w:cs="Times New Roman"/>
          <w:bCs/>
          <w:sz w:val="32"/>
          <w:szCs w:val="32"/>
        </w:rPr>
      </w:pPr>
      <w:r>
        <w:rPr>
          <w:rFonts w:ascii="Times New Roman" w:hAnsi="Times New Roman" w:cs="Times New Roman"/>
          <w:bCs/>
          <w:sz w:val="32"/>
          <w:szCs w:val="32"/>
        </w:rPr>
        <w:t>第三部分 部门决算情况说明</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一、收入支出决算总体情况说明</w:t>
      </w:r>
    </w:p>
    <w:p>
      <w:pPr>
        <w:spacing w:line="60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autoSpaceDE w:val="0"/>
        <w:autoSpaceDN w:val="0"/>
        <w:adjustRightInd w:val="0"/>
        <w:spacing w:line="600" w:lineRule="exact"/>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三、支出决算情况说明</w:t>
      </w:r>
    </w:p>
    <w:p>
      <w:pPr>
        <w:autoSpaceDE w:val="0"/>
        <w:autoSpaceDN w:val="0"/>
        <w:adjustRightInd w:val="0"/>
        <w:spacing w:line="600" w:lineRule="exact"/>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四、财政拨款收入支出决算总体情况说明</w:t>
      </w:r>
    </w:p>
    <w:p>
      <w:pPr>
        <w:autoSpaceDE w:val="0"/>
        <w:autoSpaceDN w:val="0"/>
        <w:adjustRightInd w:val="0"/>
        <w:spacing w:line="600" w:lineRule="exact"/>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五、一般公共预算财政拨款支出决算情况说明</w:t>
      </w:r>
    </w:p>
    <w:p>
      <w:pPr>
        <w:autoSpaceDE w:val="0"/>
        <w:autoSpaceDN w:val="0"/>
        <w:adjustRightInd w:val="0"/>
        <w:spacing w:line="600" w:lineRule="exact"/>
        <w:jc w:val="left"/>
        <w:rPr>
          <w:rFonts w:ascii="Times New Roman" w:hAnsi="Times New Roman" w:eastAsia="仿宋_GB2312" w:cs="Times New Roman"/>
          <w:color w:val="000000"/>
          <w:kern w:val="0"/>
          <w:sz w:val="32"/>
          <w:szCs w:val="32"/>
        </w:rPr>
        <w:sectPr>
          <w:footerReference r:id="rId6" w:type="default"/>
          <w:pgSz w:w="11906" w:h="16838"/>
          <w:pgMar w:top="1417" w:right="1588" w:bottom="1417" w:left="1588" w:header="851" w:footer="992" w:gutter="0"/>
          <w:pgNumType w:start="1"/>
          <w:cols w:space="425" w:num="1"/>
          <w:docGrid w:type="lines" w:linePitch="312" w:charSpace="0"/>
        </w:sectPr>
      </w:pPr>
    </w:p>
    <w:p>
      <w:pPr>
        <w:autoSpaceDE w:val="0"/>
        <w:autoSpaceDN w:val="0"/>
        <w:adjustRightInd w:val="0"/>
        <w:spacing w:line="600" w:lineRule="exact"/>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六、一般公共预算财政拨款基本支出决算情况说明</w:t>
      </w:r>
    </w:p>
    <w:p>
      <w:pPr>
        <w:autoSpaceDE w:val="0"/>
        <w:autoSpaceDN w:val="0"/>
        <w:adjustRightInd w:val="0"/>
        <w:spacing w:line="600" w:lineRule="exact"/>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七、财政拨款“三公”经费支出决算情况说明</w:t>
      </w:r>
    </w:p>
    <w:p>
      <w:pPr>
        <w:autoSpaceDE w:val="0"/>
        <w:autoSpaceDN w:val="0"/>
        <w:adjustRightInd w:val="0"/>
        <w:spacing w:line="600" w:lineRule="exact"/>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八、政府性基金预算收入支出决算情况</w:t>
      </w:r>
    </w:p>
    <w:p>
      <w:pPr>
        <w:autoSpaceDE w:val="0"/>
        <w:autoSpaceDN w:val="0"/>
        <w:adjustRightInd w:val="0"/>
        <w:spacing w:line="600" w:lineRule="exact"/>
        <w:jc w:val="left"/>
        <w:rPr>
          <w:rFonts w:hint="default" w:eastAsia="仿宋_GB2312"/>
          <w:lang w:val="en-US" w:eastAsia="zh-CN"/>
        </w:rPr>
      </w:pPr>
      <w:r>
        <w:rPr>
          <w:rFonts w:ascii="Times New Roman" w:hAnsi="Times New Roman" w:eastAsia="仿宋_GB2312" w:cs="Times New Roman"/>
          <w:color w:val="000000"/>
          <w:kern w:val="0"/>
          <w:sz w:val="32"/>
          <w:szCs w:val="32"/>
        </w:rPr>
        <w:t>九、</w:t>
      </w:r>
      <w:r>
        <w:rPr>
          <w:rFonts w:hint="eastAsia" w:ascii="Times New Roman" w:hAnsi="Times New Roman" w:eastAsia="仿宋_GB2312" w:cs="Times New Roman"/>
          <w:color w:val="000000"/>
          <w:kern w:val="0"/>
          <w:sz w:val="32"/>
          <w:szCs w:val="32"/>
          <w:highlight w:val="none"/>
          <w:lang w:val="en-US" w:eastAsia="zh-CN" w:bidi="ar-SA"/>
        </w:rPr>
        <w:t>国有资本经营预算收入支出决算情况</w:t>
      </w:r>
    </w:p>
    <w:p>
      <w:pPr>
        <w:autoSpaceDE w:val="0"/>
        <w:autoSpaceDN w:val="0"/>
        <w:adjustRightInd w:val="0"/>
        <w:spacing w:line="600" w:lineRule="exact"/>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lang w:val="en-US" w:eastAsia="zh-CN"/>
        </w:rPr>
        <w:t>十</w:t>
      </w:r>
      <w:r>
        <w:rPr>
          <w:rFonts w:ascii="Times New Roman" w:hAnsi="Times New Roman" w:eastAsia="仿宋_GB2312" w:cs="Times New Roman"/>
          <w:color w:val="000000"/>
          <w:kern w:val="0"/>
          <w:sz w:val="32"/>
          <w:szCs w:val="32"/>
        </w:rPr>
        <w:t>、关于机关运行经费支出说明</w:t>
      </w:r>
    </w:p>
    <w:p>
      <w:pPr>
        <w:autoSpaceDE w:val="0"/>
        <w:autoSpaceDN w:val="0"/>
        <w:adjustRightInd w:val="0"/>
        <w:spacing w:line="600" w:lineRule="exact"/>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十</w:t>
      </w:r>
      <w:r>
        <w:rPr>
          <w:rFonts w:hint="eastAsia" w:ascii="Times New Roman" w:hAnsi="Times New Roman" w:eastAsia="仿宋_GB2312" w:cs="Times New Roman"/>
          <w:color w:val="000000"/>
          <w:kern w:val="0"/>
          <w:sz w:val="32"/>
          <w:szCs w:val="32"/>
          <w:lang w:val="en-US" w:eastAsia="zh-CN"/>
        </w:rPr>
        <w:t>一</w:t>
      </w:r>
      <w:r>
        <w:rPr>
          <w:rFonts w:ascii="Times New Roman" w:hAnsi="Times New Roman" w:eastAsia="仿宋_GB2312" w:cs="Times New Roman"/>
          <w:color w:val="000000"/>
          <w:kern w:val="0"/>
          <w:sz w:val="32"/>
          <w:szCs w:val="32"/>
        </w:rPr>
        <w:t>、一般性支出情况说明</w:t>
      </w:r>
    </w:p>
    <w:p>
      <w:pPr>
        <w:autoSpaceDE w:val="0"/>
        <w:autoSpaceDN w:val="0"/>
        <w:adjustRightInd w:val="0"/>
        <w:spacing w:line="600" w:lineRule="exact"/>
        <w:jc w:val="lef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十</w:t>
      </w:r>
      <w:r>
        <w:rPr>
          <w:rFonts w:hint="eastAsia" w:ascii="Times New Roman" w:hAnsi="Times New Roman" w:eastAsia="仿宋_GB2312" w:cs="Times New Roman"/>
          <w:color w:val="000000"/>
          <w:kern w:val="0"/>
          <w:sz w:val="32"/>
          <w:szCs w:val="32"/>
          <w:lang w:val="en-US" w:eastAsia="zh-CN"/>
        </w:rPr>
        <w:t>二</w:t>
      </w:r>
      <w:r>
        <w:rPr>
          <w:rFonts w:ascii="Times New Roman" w:hAnsi="Times New Roman" w:eastAsia="仿宋_GB2312" w:cs="Times New Roman"/>
          <w:color w:val="000000"/>
          <w:kern w:val="0"/>
          <w:sz w:val="32"/>
          <w:szCs w:val="32"/>
        </w:rPr>
        <w:t>、关于政府采购支出说明</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十</w:t>
      </w:r>
      <w:r>
        <w:rPr>
          <w:rFonts w:hint="eastAsia" w:ascii="Times New Roman" w:hAnsi="Times New Roman" w:eastAsia="仿宋_GB2312" w:cs="Times New Roman"/>
          <w:sz w:val="32"/>
          <w:szCs w:val="32"/>
          <w:lang w:val="en-US" w:eastAsia="zh-CN"/>
        </w:rPr>
        <w:t>三</w:t>
      </w:r>
      <w:r>
        <w:rPr>
          <w:rFonts w:ascii="Times New Roman" w:hAnsi="Times New Roman" w:eastAsia="仿宋_GB2312" w:cs="Times New Roman"/>
          <w:sz w:val="32"/>
          <w:szCs w:val="32"/>
        </w:rPr>
        <w:t>、关于国有资产占用情况说明</w:t>
      </w:r>
    </w:p>
    <w:p>
      <w:pPr>
        <w:pStyle w:val="13"/>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十</w:t>
      </w:r>
      <w:r>
        <w:rPr>
          <w:rFonts w:hint="eastAsia" w:ascii="Times New Roman" w:hAnsi="Times New Roman" w:eastAsia="仿宋_GB2312" w:cs="Times New Roman"/>
          <w:sz w:val="32"/>
          <w:szCs w:val="32"/>
          <w:lang w:val="en-US" w:eastAsia="zh-CN"/>
        </w:rPr>
        <w:t>四</w:t>
      </w:r>
      <w:r>
        <w:rPr>
          <w:rFonts w:ascii="Times New Roman" w:hAnsi="Times New Roman" w:eastAsia="仿宋_GB2312" w:cs="Times New Roman"/>
          <w:sz w:val="32"/>
          <w:szCs w:val="32"/>
        </w:rPr>
        <w:t>、关于2024年度预算绩效管理情况的说明</w:t>
      </w:r>
    </w:p>
    <w:p>
      <w:pPr>
        <w:pStyle w:val="13"/>
        <w:spacing w:before="156" w:beforeLines="50" w:after="156" w:afterLines="50" w:line="600" w:lineRule="exact"/>
        <w:rPr>
          <w:rFonts w:ascii="Times New Roman" w:hAnsi="Times New Roman" w:cs="Times New Roman"/>
          <w:bCs/>
          <w:sz w:val="32"/>
          <w:szCs w:val="32"/>
        </w:rPr>
      </w:pPr>
      <w:r>
        <w:rPr>
          <w:rFonts w:ascii="Times New Roman" w:hAnsi="Times New Roman" w:cs="Times New Roman"/>
          <w:bCs/>
          <w:sz w:val="32"/>
          <w:szCs w:val="32"/>
        </w:rPr>
        <w:t>第四部分 名词解释</w:t>
      </w:r>
    </w:p>
    <w:p>
      <w:pPr>
        <w:pStyle w:val="13"/>
        <w:spacing w:before="156" w:beforeLines="50" w:after="156" w:afterLines="50" w:line="600" w:lineRule="exact"/>
        <w:rPr>
          <w:rFonts w:ascii="Times New Roman" w:hAnsi="Times New Roman" w:cs="Times New Roman"/>
          <w:bCs/>
          <w:sz w:val="32"/>
          <w:szCs w:val="32"/>
        </w:rPr>
      </w:pPr>
      <w:r>
        <w:rPr>
          <w:rFonts w:ascii="Times New Roman" w:hAnsi="Times New Roman" w:cs="Times New Roman"/>
          <w:bCs/>
          <w:sz w:val="32"/>
          <w:szCs w:val="32"/>
        </w:rPr>
        <w:t>第五部分 附件</w:t>
      </w:r>
    </w:p>
    <w:p>
      <w:pPr>
        <w:pStyle w:val="13"/>
        <w:spacing w:line="600" w:lineRule="exact"/>
        <w:rPr>
          <w:rFonts w:ascii="Times New Roman" w:hAnsi="Times New Roman" w:cs="Times New Roman"/>
          <w:bCs/>
          <w:sz w:val="28"/>
          <w:szCs w:val="28"/>
        </w:rPr>
      </w:pPr>
    </w:p>
    <w:p>
      <w:pPr>
        <w:jc w:val="center"/>
        <w:rPr>
          <w:rFonts w:ascii="Times New Roman" w:hAnsi="Times New Roman" w:cs="Times New Roman"/>
          <w:sz w:val="72"/>
          <w:szCs w:val="72"/>
        </w:rPr>
      </w:pPr>
    </w:p>
    <w:p>
      <w:pPr>
        <w:jc w:val="center"/>
        <w:rPr>
          <w:rFonts w:ascii="Times New Roman" w:hAnsi="Times New Roman" w:cs="Times New Roman"/>
          <w:sz w:val="72"/>
          <w:szCs w:val="72"/>
        </w:rPr>
      </w:pPr>
    </w:p>
    <w:p>
      <w:pPr>
        <w:jc w:val="center"/>
        <w:rPr>
          <w:rFonts w:ascii="Times New Roman" w:hAnsi="Times New Roman" w:cs="Times New Roman"/>
          <w:sz w:val="72"/>
          <w:szCs w:val="72"/>
        </w:rPr>
      </w:pPr>
    </w:p>
    <w:p>
      <w:pPr>
        <w:pStyle w:val="2"/>
        <w:rPr>
          <w:rFonts w:ascii="Times New Roman" w:hAnsi="Times New Roman" w:cs="Times New Roman"/>
        </w:rPr>
        <w:sectPr>
          <w:footerReference r:id="rId7" w:type="default"/>
          <w:pgSz w:w="11906" w:h="16838"/>
          <w:pgMar w:top="1417" w:right="1588" w:bottom="1417" w:left="1588" w:header="851" w:footer="992" w:gutter="0"/>
          <w:pgNumType w:start="1"/>
          <w:cols w:space="425" w:num="1"/>
          <w:docGrid w:type="lines" w:linePitch="312" w:charSpace="0"/>
        </w:sectPr>
      </w:pPr>
    </w:p>
    <w:p>
      <w:pPr>
        <w:rPr>
          <w:rFonts w:ascii="Times New Roman" w:hAnsi="Times New Roman" w:eastAsia="方正小标宋_GBK" w:cs="Times New Roman"/>
          <w:sz w:val="72"/>
          <w:szCs w:val="72"/>
        </w:rPr>
      </w:pPr>
    </w:p>
    <w:p>
      <w:pPr>
        <w:pStyle w:val="13"/>
        <w:spacing w:line="360" w:lineRule="auto"/>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第一部分</w:t>
      </w:r>
    </w:p>
    <w:p>
      <w:pPr>
        <w:pStyle w:val="13"/>
        <w:spacing w:line="360" w:lineRule="auto"/>
        <w:jc w:val="center"/>
        <w:rPr>
          <w:rFonts w:ascii="Times New Roman" w:hAnsi="Times New Roman" w:eastAsia="方正小标宋_GBK" w:cs="Times New Roman"/>
          <w:sz w:val="52"/>
          <w:szCs w:val="52"/>
        </w:rPr>
      </w:pPr>
      <w:r>
        <w:rPr>
          <w:rFonts w:hint="eastAsia" w:ascii="Times New Roman" w:hAnsi="Times New Roman" w:eastAsia="方正小标宋_GBK" w:cs="Times New Roman"/>
          <w:sz w:val="52"/>
          <w:szCs w:val="52"/>
          <w:lang w:eastAsia="zh-CN"/>
        </w:rPr>
        <w:t>城关中心小学</w:t>
      </w:r>
      <w:r>
        <w:rPr>
          <w:rFonts w:ascii="Times New Roman" w:hAnsi="Times New Roman" w:eastAsia="方正小标宋_GBK" w:cs="Times New Roman"/>
          <w:sz w:val="52"/>
          <w:szCs w:val="52"/>
        </w:rPr>
        <w:t>概况</w:t>
      </w:r>
    </w:p>
    <w:p>
      <w:pPr>
        <w:pStyle w:val="5"/>
        <w:ind w:left="0" w:leftChars="0" w:firstLine="0" w:firstLineChars="0"/>
        <w:rPr>
          <w:rFonts w:ascii="Times New Roman" w:hAnsi="Times New Roman" w:cs="Times New Roman"/>
        </w:rPr>
      </w:pPr>
    </w:p>
    <w:p>
      <w:pPr>
        <w:pStyle w:val="14"/>
        <w:spacing w:line="600" w:lineRule="exact"/>
        <w:ind w:firstLine="0" w:firstLineChars="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一、</w:t>
      </w:r>
      <w:r>
        <w:rPr>
          <w:rFonts w:ascii="Times New Roman" w:hAnsi="Times New Roman" w:eastAsia="黑体" w:cs="Times New Roman"/>
          <w:sz w:val="32"/>
          <w:szCs w:val="32"/>
        </w:rPr>
        <w:t>部门职责</w:t>
      </w:r>
    </w:p>
    <w:p>
      <w:pPr>
        <w:keepNext/>
        <w:keepLines/>
        <w:shd w:val="clear" w:color="auto" w:fill="FFFFFF"/>
        <w:spacing w:beforeLines="0" w:afterLines="0"/>
        <w:ind w:firstLine="640"/>
        <w:jc w:val="left"/>
        <w:rPr>
          <w:rFonts w:hint="eastAsia" w:ascii="宋体" w:hAnsi="宋体"/>
          <w:color w:val="auto"/>
          <w:kern w:val="0"/>
          <w:sz w:val="28"/>
          <w:highlight w:val="white"/>
          <w:lang w:val="en-US"/>
        </w:rPr>
      </w:pPr>
      <w:r>
        <w:rPr>
          <w:rFonts w:hint="eastAsia" w:ascii="宋体" w:hAnsi="宋体"/>
          <w:color w:val="auto"/>
          <w:kern w:val="0"/>
          <w:sz w:val="28"/>
          <w:highlight w:val="white"/>
          <w:lang w:val="en-US"/>
        </w:rPr>
        <w:t>1.宣传贯彻执行党和国家的教育方针、教育政策、教育法律和法规，贯彻执行上级教育行政部门的各项规章制度。</w:t>
      </w:r>
    </w:p>
    <w:p>
      <w:pPr>
        <w:keepNext/>
        <w:keepLines/>
        <w:shd w:val="clear" w:color="auto" w:fill="FFFFFF"/>
        <w:spacing w:beforeLines="0" w:afterLines="0"/>
        <w:ind w:firstLine="640"/>
        <w:jc w:val="left"/>
        <w:rPr>
          <w:rFonts w:hint="eastAsia" w:ascii="宋体" w:hAnsi="宋体"/>
          <w:color w:val="auto"/>
          <w:kern w:val="0"/>
          <w:sz w:val="28"/>
          <w:highlight w:val="white"/>
          <w:lang w:val="en-US"/>
        </w:rPr>
      </w:pPr>
      <w:r>
        <w:rPr>
          <w:rFonts w:hint="eastAsia" w:ascii="宋体" w:hAnsi="宋体"/>
          <w:color w:val="auto"/>
          <w:kern w:val="0"/>
          <w:sz w:val="28"/>
          <w:highlight w:val="white"/>
          <w:lang w:val="en-US"/>
        </w:rPr>
        <w:t>2.在政府和上级教育主管部门的领导下，争取资金改善办学条件，为师生的学习和工作提供优美和谐的环境。</w:t>
      </w:r>
    </w:p>
    <w:p>
      <w:pPr>
        <w:keepNext/>
        <w:keepLines/>
        <w:shd w:val="clear" w:color="auto" w:fill="FFFFFF"/>
        <w:spacing w:beforeLines="0" w:afterLines="0"/>
        <w:ind w:firstLine="640"/>
        <w:jc w:val="left"/>
        <w:rPr>
          <w:rFonts w:hint="eastAsia" w:ascii="宋体" w:hAnsi="宋体"/>
          <w:color w:val="auto"/>
          <w:kern w:val="0"/>
          <w:sz w:val="28"/>
          <w:highlight w:val="white"/>
          <w:lang w:val="en-US"/>
        </w:rPr>
      </w:pPr>
      <w:r>
        <w:rPr>
          <w:rFonts w:hint="eastAsia" w:ascii="宋体" w:hAnsi="宋体"/>
          <w:color w:val="auto"/>
          <w:kern w:val="0"/>
          <w:sz w:val="28"/>
          <w:highlight w:val="white"/>
          <w:lang w:val="en-US"/>
        </w:rPr>
        <w:t>3.根据县级人民政府制定的教育事业发展规划，结合实际制定并组织实施本校的教育事业发展规划。按照干部和教师的职数、编制和管理权限，负责对本校的干部和教师进行管理，制定切实可行的学校工作规章制度，</w:t>
      </w:r>
      <w:r>
        <w:rPr>
          <w:rFonts w:hint="eastAsia" w:ascii="宋体" w:hAnsi="宋体"/>
          <w:color w:val="auto"/>
          <w:kern w:val="0"/>
          <w:sz w:val="28"/>
          <w:highlight w:val="white"/>
          <w:lang w:val="en-US" w:eastAsia="zh-CN"/>
        </w:rPr>
        <w:t>以</w:t>
      </w:r>
      <w:r>
        <w:rPr>
          <w:rFonts w:hint="eastAsia" w:ascii="宋体" w:hAnsi="宋体"/>
          <w:color w:val="auto"/>
          <w:kern w:val="0"/>
          <w:sz w:val="28"/>
          <w:highlight w:val="white"/>
          <w:lang w:val="en-US"/>
        </w:rPr>
        <w:t>提高教育教学质量为目的，对干部职工的工作开展客观、公正的评价和考核。</w:t>
      </w:r>
    </w:p>
    <w:p>
      <w:pPr>
        <w:keepNext/>
        <w:keepLines/>
        <w:shd w:val="clear" w:color="auto" w:fill="FFFFFF"/>
        <w:spacing w:beforeLines="0" w:afterLines="0"/>
        <w:ind w:firstLine="640"/>
        <w:jc w:val="left"/>
        <w:rPr>
          <w:rFonts w:ascii="Times New Roman" w:hAnsi="Times New Roman" w:eastAsia="仿宋_GB2312" w:cs="Times New Roman"/>
          <w:sz w:val="32"/>
          <w:szCs w:val="32"/>
        </w:rPr>
      </w:pPr>
      <w:r>
        <w:rPr>
          <w:rFonts w:hint="eastAsia" w:ascii="宋体" w:hAnsi="宋体"/>
          <w:color w:val="auto"/>
          <w:kern w:val="0"/>
          <w:sz w:val="28"/>
          <w:highlight w:val="white"/>
          <w:lang w:val="en-US"/>
        </w:rPr>
        <w:t>4.按照九年义务教育课程计划，开齐课程，开足课时，认真实施中小学的教育教学管理，全面推进素质教育，全面提高教育教学质量。</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二、机构设置及决算单位构成</w:t>
      </w:r>
    </w:p>
    <w:p>
      <w:pPr>
        <w:keepNext/>
        <w:keepLines/>
        <w:spacing w:beforeLines="0" w:afterLines="0"/>
        <w:ind w:firstLine="640"/>
        <w:rPr>
          <w:rFonts w:hint="eastAsia" w:ascii="宋体" w:hAnsi="宋体"/>
          <w:color w:val="auto"/>
          <w:sz w:val="28"/>
          <w:highlight w:val="white"/>
          <w:lang w:val="zh-CN"/>
        </w:rPr>
      </w:pPr>
      <w:r>
        <w:rPr>
          <w:rFonts w:hint="eastAsia" w:ascii="宋体" w:hAnsi="宋体"/>
          <w:color w:val="auto"/>
          <w:sz w:val="28"/>
          <w:highlight w:val="white"/>
          <w:lang w:val="en-US"/>
        </w:rPr>
        <w:t>(一)内设机构设置</w:t>
      </w:r>
      <w:r>
        <w:rPr>
          <w:rFonts w:hint="eastAsia" w:ascii="宋体" w:hAnsi="宋体"/>
          <w:color w:val="auto"/>
          <w:sz w:val="28"/>
          <w:highlight w:val="white"/>
          <w:lang w:val="zh-CN"/>
        </w:rPr>
        <w:t>。</w:t>
      </w:r>
    </w:p>
    <w:p>
      <w:pPr>
        <w:keepNext/>
        <w:keepLines/>
        <w:spacing w:beforeLines="0" w:afterLines="0"/>
        <w:ind w:firstLine="640"/>
        <w:rPr>
          <w:rFonts w:hint="eastAsia" w:ascii="宋体" w:hAnsi="宋体"/>
          <w:color w:val="auto"/>
          <w:sz w:val="28"/>
          <w:highlight w:val="white"/>
          <w:lang w:val="zh-CN"/>
        </w:rPr>
      </w:pPr>
      <w:r>
        <w:rPr>
          <w:rFonts w:hint="eastAsia" w:ascii="宋体" w:hAnsi="宋体"/>
          <w:color w:val="auto"/>
          <w:sz w:val="28"/>
          <w:highlight w:val="white"/>
          <w:lang w:val="zh-CN"/>
        </w:rPr>
        <w:t>华容县城关中心小学单位内设机构包括：</w:t>
      </w:r>
      <w:r>
        <w:rPr>
          <w:rFonts w:hint="eastAsia" w:ascii="宋体" w:hAnsi="宋体"/>
          <w:color w:val="auto"/>
          <w:sz w:val="28"/>
          <w:highlight w:val="white"/>
          <w:lang w:val="en-US" w:eastAsia="zh-CN"/>
        </w:rPr>
        <w:t>校长室、</w:t>
      </w:r>
      <w:r>
        <w:rPr>
          <w:rFonts w:hint="eastAsia" w:ascii="宋体" w:hAnsi="宋体"/>
          <w:color w:val="auto"/>
          <w:sz w:val="28"/>
          <w:highlight w:val="white"/>
          <w:lang w:val="zh-CN"/>
        </w:rPr>
        <w:t>办公室、德育处、教导处、后勤处、工会。</w:t>
      </w:r>
    </w:p>
    <w:p>
      <w:pPr>
        <w:keepNext/>
        <w:keepLines/>
        <w:spacing w:beforeLines="0" w:afterLines="0"/>
        <w:ind w:firstLine="640"/>
        <w:rPr>
          <w:rFonts w:hint="eastAsia" w:ascii="宋体" w:hAnsi="宋体"/>
          <w:color w:val="auto"/>
          <w:sz w:val="28"/>
          <w:highlight w:val="white"/>
          <w:lang w:val="en-US"/>
        </w:rPr>
      </w:pPr>
      <w:r>
        <w:rPr>
          <w:rFonts w:hint="eastAsia" w:ascii="宋体" w:hAnsi="宋体"/>
          <w:color w:val="auto"/>
          <w:sz w:val="28"/>
          <w:highlight w:val="white"/>
          <w:lang w:val="en-US"/>
        </w:rPr>
        <w:t>（二）决算单位构成。</w:t>
      </w:r>
    </w:p>
    <w:p>
      <w:pPr>
        <w:keepNext/>
        <w:keepLines/>
        <w:spacing w:beforeLines="0" w:afterLines="0"/>
        <w:ind w:firstLine="640"/>
        <w:rPr>
          <w:rFonts w:hint="eastAsia" w:ascii="宋体" w:hAnsi="宋体"/>
          <w:color w:val="auto"/>
          <w:sz w:val="28"/>
          <w:highlight w:val="white"/>
          <w:lang w:val="en-US"/>
        </w:rPr>
      </w:pPr>
      <w:r>
        <w:rPr>
          <w:rFonts w:hint="eastAsia" w:ascii="宋体" w:hAnsi="宋体"/>
          <w:color w:val="auto"/>
          <w:sz w:val="28"/>
          <w:highlight w:val="white"/>
          <w:lang w:val="zh-CN"/>
        </w:rPr>
        <w:t>华容县城关中心小学单位202</w:t>
      </w:r>
      <w:r>
        <w:rPr>
          <w:rFonts w:hint="eastAsia" w:ascii="宋体" w:hAnsi="宋体"/>
          <w:color w:val="auto"/>
          <w:sz w:val="28"/>
          <w:highlight w:val="white"/>
          <w:lang w:val="en-US" w:eastAsia="zh-CN"/>
        </w:rPr>
        <w:t>4</w:t>
      </w:r>
      <w:r>
        <w:rPr>
          <w:rFonts w:hint="eastAsia" w:ascii="宋体" w:hAnsi="宋体"/>
          <w:color w:val="auto"/>
          <w:sz w:val="28"/>
          <w:highlight w:val="white"/>
          <w:lang w:val="zh-CN"/>
        </w:rPr>
        <w:t>年部门决算汇总公开单位构成包括：华容县城关中心小学</w:t>
      </w:r>
      <w:r>
        <w:rPr>
          <w:rFonts w:hint="eastAsia" w:ascii="宋体" w:hAnsi="宋体"/>
          <w:color w:val="auto"/>
          <w:sz w:val="28"/>
          <w:highlight w:val="white"/>
          <w:lang w:val="en-US"/>
        </w:rPr>
        <w:t>。</w:t>
      </w:r>
    </w:p>
    <w:p>
      <w:pPr>
        <w:keepNext/>
        <w:keepLines/>
        <w:spacing w:beforeLines="0" w:afterLines="0"/>
        <w:ind w:firstLine="640"/>
        <w:rPr>
          <w:rFonts w:hint="eastAsia" w:ascii="宋体" w:hAnsi="宋体"/>
          <w:color w:val="auto"/>
          <w:sz w:val="28"/>
          <w:highlight w:val="white"/>
          <w:lang w:val="en-US"/>
        </w:rPr>
      </w:pPr>
    </w:p>
    <w:p>
      <w:pPr>
        <w:widowControl/>
        <w:spacing w:line="600" w:lineRule="exact"/>
        <w:rPr>
          <w:rFonts w:ascii="Times New Roman" w:hAnsi="Times New Roman" w:eastAsia="仿宋_GB2312" w:cs="Times New Roman"/>
          <w:bCs/>
          <w:kern w:val="0"/>
          <w:sz w:val="32"/>
          <w:szCs w:val="32"/>
        </w:rPr>
      </w:pPr>
    </w:p>
    <w:p>
      <w:pPr>
        <w:jc w:val="center"/>
        <w:rPr>
          <w:rFonts w:ascii="Times New Roman" w:hAnsi="Times New Roman" w:eastAsia="黑体" w:cs="Times New Roman"/>
          <w:sz w:val="28"/>
          <w:szCs w:val="28"/>
        </w:rPr>
      </w:pPr>
    </w:p>
    <w:p>
      <w:pPr>
        <w:jc w:val="center"/>
        <w:rPr>
          <w:rFonts w:ascii="Times New Roman" w:hAnsi="Times New Roman" w:eastAsia="黑体" w:cs="Times New Roman"/>
          <w:sz w:val="28"/>
          <w:szCs w:val="28"/>
        </w:rPr>
      </w:pPr>
    </w:p>
    <w:p>
      <w:pPr>
        <w:jc w:val="center"/>
        <w:rPr>
          <w:rFonts w:ascii="Times New Roman" w:hAnsi="Times New Roman" w:eastAsia="黑体" w:cs="Times New Roman"/>
          <w:sz w:val="28"/>
          <w:szCs w:val="28"/>
        </w:rPr>
      </w:pPr>
    </w:p>
    <w:p>
      <w:pPr>
        <w:jc w:val="center"/>
        <w:rPr>
          <w:rFonts w:ascii="Times New Roman" w:hAnsi="Times New Roman" w:eastAsia="黑体" w:cs="Times New Roman"/>
          <w:sz w:val="28"/>
          <w:szCs w:val="28"/>
        </w:rPr>
      </w:pPr>
    </w:p>
    <w:p>
      <w:pPr>
        <w:jc w:val="center"/>
        <w:rPr>
          <w:rFonts w:ascii="Times New Roman" w:hAnsi="Times New Roman" w:eastAsia="黑体" w:cs="Times New Roman"/>
          <w:sz w:val="28"/>
          <w:szCs w:val="28"/>
        </w:rPr>
      </w:pPr>
    </w:p>
    <w:p>
      <w:pPr>
        <w:pStyle w:val="2"/>
        <w:rPr>
          <w:rFonts w:ascii="Times New Roman" w:hAnsi="Times New Roman" w:cs="Times New Roman"/>
        </w:rPr>
        <w:sectPr>
          <w:footerReference r:id="rId8" w:type="default"/>
          <w:pgSz w:w="11906" w:h="16838"/>
          <w:pgMar w:top="1417" w:right="1588" w:bottom="1417" w:left="1588" w:header="851" w:footer="992" w:gutter="0"/>
          <w:pgNumType w:start="1"/>
          <w:cols w:space="425" w:num="1"/>
          <w:docGrid w:type="lines" w:linePitch="312" w:charSpace="0"/>
        </w:sectPr>
      </w:pPr>
    </w:p>
    <w:p>
      <w:pPr>
        <w:pStyle w:val="13"/>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第二部分    部门决算表</w:t>
      </w:r>
      <w:r>
        <w:commentReference w:id="2"/>
      </w:r>
    </w:p>
    <w:p>
      <w:pPr>
        <w:pStyle w:val="13"/>
        <w:jc w:val="center"/>
        <w:rPr>
          <w:rFonts w:ascii="Times New Roman" w:hAnsi="Times New Roman" w:eastAsia="宋体" w:cs="Times New Roman"/>
          <w:kern w:val="0"/>
          <w:sz w:val="24"/>
          <w:szCs w:val="24"/>
        </w:rPr>
      </w:pPr>
      <w:r>
        <w:rPr>
          <w:rFonts w:hint="eastAsia" w:ascii="黑体" w:hAnsi="黑体" w:eastAsia="黑体" w:cs="黑体"/>
          <w:b w:val="0"/>
          <w:bCs/>
          <w:color w:val="auto"/>
          <w:kern w:val="2"/>
          <w:sz w:val="32"/>
          <w:szCs w:val="32"/>
          <w:lang w:val="en-US" w:eastAsia="zh-CN" w:bidi="ar-SA"/>
        </w:rPr>
        <w:t>详见附件表格</w:t>
      </w: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autoSpaceDE w:val="0"/>
        <w:autoSpaceDN w:val="0"/>
        <w:adjustRightInd w:val="0"/>
        <w:ind w:left="315" w:leftChars="150"/>
        <w:jc w:val="left"/>
        <w:rPr>
          <w:rFonts w:ascii="Times New Roman" w:hAnsi="Times New Roman" w:eastAsia="宋体" w:cs="Times New Roman"/>
          <w:kern w:val="0"/>
          <w:sz w:val="24"/>
          <w:szCs w:val="24"/>
        </w:rPr>
      </w:pPr>
    </w:p>
    <w:p>
      <w:pPr>
        <w:widowControl/>
        <w:rPr>
          <w:rFonts w:ascii="Times New Roman" w:hAnsi="Times New Roman" w:cs="Times New Roman"/>
          <w:sz w:val="72"/>
          <w:szCs w:val="72"/>
        </w:rPr>
        <w:sectPr>
          <w:pgSz w:w="11906" w:h="16838"/>
          <w:pgMar w:top="1417" w:right="1134" w:bottom="1417" w:left="1134" w:header="851" w:footer="992" w:gutter="0"/>
          <w:cols w:space="425" w:num="1"/>
          <w:docGrid w:type="lines" w:linePitch="312" w:charSpace="0"/>
        </w:sectPr>
      </w:pPr>
      <w:r>
        <w:rPr>
          <w:rFonts w:ascii="Times New Roman" w:hAnsi="Times New Roman" w:eastAsia="黑体" w:cs="Times New Roman"/>
          <w:szCs w:val="21"/>
        </w:rPr>
        <w:br w:type="page"/>
      </w:r>
    </w:p>
    <w:p>
      <w:pPr>
        <w:pStyle w:val="13"/>
        <w:rPr>
          <w:rFonts w:ascii="Times New Roman" w:hAnsi="Times New Roman" w:cs="Times New Roman"/>
          <w:sz w:val="72"/>
          <w:szCs w:val="72"/>
        </w:rPr>
      </w:pPr>
    </w:p>
    <w:p>
      <w:pPr>
        <w:pStyle w:val="13"/>
        <w:rPr>
          <w:rFonts w:ascii="Times New Roman" w:hAnsi="Times New Roman" w:cs="Times New Roman"/>
          <w:sz w:val="72"/>
          <w:szCs w:val="72"/>
        </w:rPr>
      </w:pPr>
    </w:p>
    <w:p>
      <w:pPr>
        <w:pStyle w:val="13"/>
        <w:rPr>
          <w:rFonts w:ascii="Times New Roman" w:hAnsi="Times New Roman" w:cs="Times New Roman"/>
          <w:sz w:val="72"/>
          <w:szCs w:val="72"/>
        </w:rPr>
      </w:pPr>
    </w:p>
    <w:p>
      <w:pPr>
        <w:pStyle w:val="13"/>
        <w:jc w:val="center"/>
        <w:rPr>
          <w:rFonts w:ascii="Times New Roman" w:hAnsi="Times New Roman" w:cs="Times New Roman"/>
          <w:sz w:val="72"/>
          <w:szCs w:val="72"/>
        </w:rPr>
      </w:pPr>
    </w:p>
    <w:p>
      <w:pPr>
        <w:pStyle w:val="13"/>
        <w:jc w:val="center"/>
        <w:rPr>
          <w:rFonts w:ascii="Times New Roman" w:hAnsi="Times New Roman" w:eastAsia="方正小标宋_GBK" w:cs="Times New Roman"/>
          <w:sz w:val="72"/>
          <w:szCs w:val="72"/>
        </w:rPr>
      </w:pPr>
    </w:p>
    <w:p>
      <w:pPr>
        <w:pStyle w:val="13"/>
        <w:spacing w:line="360" w:lineRule="auto"/>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第三部分</w:t>
      </w:r>
    </w:p>
    <w:p>
      <w:pPr>
        <w:pStyle w:val="13"/>
        <w:spacing w:line="360" w:lineRule="auto"/>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2024年度部门决算情况说明</w:t>
      </w:r>
    </w:p>
    <w:p>
      <w:pPr>
        <w:widowControl/>
        <w:jc w:val="left"/>
        <w:rPr>
          <w:rFonts w:ascii="Times New Roman" w:hAnsi="Times New Roman" w:cs="Times New Roman"/>
          <w:sz w:val="32"/>
          <w:szCs w:val="32"/>
        </w:rPr>
      </w:pPr>
      <w:r>
        <w:rPr>
          <w:rFonts w:ascii="Times New Roman" w:hAnsi="Times New Roman" w:eastAsia="方正小标宋_GBK" w:cs="Times New Roman"/>
          <w:sz w:val="70"/>
          <w:szCs w:val="70"/>
        </w:rPr>
        <w:br w:type="page"/>
      </w:r>
    </w:p>
    <w:p>
      <w:pPr>
        <w:pStyle w:val="13"/>
        <w:overflowPunct w:val="0"/>
        <w:autoSpaceDE/>
        <w:autoSpaceDN/>
        <w:spacing w:line="600"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一、收入支出决算总体情况说明</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2024年度收、支总计</w:t>
      </w:r>
      <w:r>
        <w:rPr>
          <w:rFonts w:hint="eastAsia" w:ascii="Times New Roman" w:hAnsi="Times New Roman" w:eastAsia="仿宋_GB2312" w:cs="Times New Roman"/>
          <w:sz w:val="32"/>
          <w:szCs w:val="32"/>
          <w:lang w:val="en-US" w:eastAsia="zh-CN"/>
        </w:rPr>
        <w:t>2525.85</w:t>
      </w:r>
      <w:r>
        <w:rPr>
          <w:rFonts w:ascii="Times New Roman" w:hAnsi="Times New Roman" w:eastAsia="仿宋_GB2312" w:cs="Times New Roman"/>
          <w:sz w:val="32"/>
          <w:szCs w:val="32"/>
        </w:rPr>
        <w:t>万元。与上年相比，增加</w:t>
      </w:r>
      <w:r>
        <w:rPr>
          <w:rFonts w:hint="eastAsia" w:ascii="Times New Roman" w:hAnsi="Times New Roman" w:eastAsia="仿宋_GB2312" w:cs="Times New Roman"/>
          <w:sz w:val="32"/>
          <w:szCs w:val="32"/>
          <w:lang w:val="en-US" w:eastAsia="zh-CN"/>
        </w:rPr>
        <w:t>385.99</w:t>
      </w:r>
      <w:r>
        <w:rPr>
          <w:rFonts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15</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yellow"/>
        </w:rPr>
        <w:t>主要是因为</w:t>
      </w:r>
      <w:r>
        <w:rPr>
          <w:rFonts w:hint="eastAsia" w:ascii="Times New Roman" w:hAnsi="Times New Roman" w:eastAsia="仿宋_GB2312" w:cs="Times New Roman"/>
          <w:sz w:val="32"/>
          <w:szCs w:val="32"/>
          <w:highlight w:val="yellow"/>
          <w:lang w:eastAsia="zh-CN"/>
        </w:rPr>
        <w:t>工资普调与人员结构调整。</w:t>
      </w:r>
      <w:r>
        <w:commentReference w:id="3"/>
      </w:r>
    </w:p>
    <w:p>
      <w:pPr>
        <w:pStyle w:val="13"/>
        <w:overflowPunct w:val="0"/>
        <w:autoSpaceDE/>
        <w:autoSpaceDN/>
        <w:spacing w:line="600"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二、收入决算情况说明</w:t>
      </w:r>
    </w:p>
    <w:p>
      <w:pPr>
        <w:pStyle w:val="13"/>
        <w:overflowPunct w:val="0"/>
        <w:autoSpaceDE/>
        <w:autoSpaceDN/>
        <w:spacing w:line="600" w:lineRule="exact"/>
        <w:ind w:firstLine="640" w:firstLineChars="200"/>
        <w:jc w:val="both"/>
        <w:rPr>
          <w:rFonts w:ascii="Times New Roman" w:hAnsi="Times New Roman" w:cs="Times New Roman"/>
          <w:bCs/>
          <w:sz w:val="32"/>
          <w:szCs w:val="32"/>
        </w:rPr>
      </w:pPr>
      <w:r>
        <w:rPr>
          <w:rFonts w:ascii="Times New Roman" w:hAnsi="Times New Roman" w:eastAsia="仿宋_GB2312" w:cs="Times New Roman"/>
          <w:sz w:val="32"/>
          <w:szCs w:val="32"/>
        </w:rPr>
        <w:t>2024年度收入合计</w:t>
      </w:r>
      <w:r>
        <w:rPr>
          <w:rFonts w:hint="eastAsia" w:ascii="Times New Roman" w:hAnsi="Times New Roman" w:eastAsia="仿宋_GB2312" w:cs="Times New Roman"/>
          <w:sz w:val="32"/>
          <w:szCs w:val="32"/>
          <w:lang w:val="en-US" w:eastAsia="zh-CN"/>
        </w:rPr>
        <w:t>2525.85</w:t>
      </w:r>
      <w:r>
        <w:rPr>
          <w:rFonts w:ascii="Times New Roman" w:hAnsi="Times New Roman" w:eastAsia="仿宋_GB2312" w:cs="Times New Roman"/>
          <w:sz w:val="32"/>
          <w:szCs w:val="32"/>
        </w:rPr>
        <w:t>万元，其中：财政拨款收入</w:t>
      </w:r>
      <w:r>
        <w:rPr>
          <w:rFonts w:hint="eastAsia" w:ascii="Times New Roman" w:hAnsi="Times New Roman" w:eastAsia="仿宋_GB2312" w:cs="Times New Roman"/>
          <w:sz w:val="32"/>
          <w:szCs w:val="32"/>
          <w:lang w:val="en-US" w:eastAsia="zh-CN"/>
        </w:rPr>
        <w:t>2199.75</w:t>
      </w:r>
      <w:r>
        <w:rPr>
          <w:rFonts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87.09</w:t>
      </w:r>
      <w:r>
        <w:rPr>
          <w:rFonts w:ascii="Times New Roman" w:hAnsi="Times New Roman" w:eastAsia="仿宋_GB2312" w:cs="Times New Roman"/>
          <w:sz w:val="32"/>
          <w:szCs w:val="32"/>
        </w:rPr>
        <w:t>%；事业收入</w:t>
      </w:r>
      <w:r>
        <w:rPr>
          <w:rFonts w:hint="eastAsia" w:ascii="Times New Roman" w:hAnsi="Times New Roman" w:eastAsia="仿宋_GB2312" w:cs="Times New Roman"/>
          <w:sz w:val="32"/>
          <w:szCs w:val="32"/>
          <w:lang w:val="en-US" w:eastAsia="zh-CN"/>
        </w:rPr>
        <w:t>326.09</w:t>
      </w:r>
      <w:r>
        <w:rPr>
          <w:rFonts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12.91</w:t>
      </w:r>
      <w:r>
        <w:rPr>
          <w:rFonts w:ascii="Times New Roman" w:hAnsi="Times New Roman" w:eastAsia="仿宋_GB2312" w:cs="Times New Roman"/>
          <w:sz w:val="32"/>
          <w:szCs w:val="32"/>
        </w:rPr>
        <w:t>%；</w:t>
      </w:r>
      <w:r>
        <w:rPr>
          <w:rFonts w:ascii="Times New Roman" w:hAnsi="Times New Roman" w:cs="Times New Roman"/>
          <w:bCs/>
          <w:sz w:val="32"/>
          <w:szCs w:val="32"/>
        </w:rPr>
        <w:t>三、支出决算情况说明</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2024年度支出合计</w:t>
      </w:r>
      <w:r>
        <w:rPr>
          <w:rFonts w:hint="eastAsia" w:ascii="Times New Roman" w:hAnsi="Times New Roman" w:eastAsia="仿宋_GB2312" w:cs="Times New Roman"/>
          <w:sz w:val="32"/>
          <w:szCs w:val="32"/>
          <w:lang w:val="en-US" w:eastAsia="zh-CN"/>
        </w:rPr>
        <w:t>2525.85</w:t>
      </w:r>
      <w:r>
        <w:rPr>
          <w:rFonts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2425.85</w:t>
      </w:r>
      <w:r>
        <w:rPr>
          <w:rFonts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96.04</w:t>
      </w:r>
      <w:r>
        <w:rPr>
          <w:rFonts w:ascii="Times New Roman" w:hAnsi="Times New Roman" w:eastAsia="仿宋_GB2312" w:cs="Times New Roman"/>
          <w:sz w:val="32"/>
          <w:szCs w:val="32"/>
        </w:rPr>
        <w:t>%；项目支出</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3.96</w:t>
      </w:r>
      <w:r>
        <w:rPr>
          <w:rFonts w:ascii="Times New Roman" w:hAnsi="Times New Roman" w:eastAsia="仿宋_GB2312" w:cs="Times New Roman"/>
          <w:sz w:val="32"/>
          <w:szCs w:val="32"/>
        </w:rPr>
        <w:t>%；</w:t>
      </w:r>
    </w:p>
    <w:p>
      <w:pPr>
        <w:pStyle w:val="13"/>
        <w:overflowPunct w:val="0"/>
        <w:autoSpaceDE/>
        <w:autoSpaceDN/>
        <w:spacing w:line="600"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四、财政拨款收入支出决算总体情况说明</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2024年度财政拨款收、支总计</w:t>
      </w:r>
      <w:r>
        <w:rPr>
          <w:rFonts w:hint="eastAsia" w:ascii="Times New Roman" w:hAnsi="Times New Roman" w:eastAsia="仿宋_GB2312" w:cs="Times New Roman"/>
          <w:sz w:val="32"/>
          <w:szCs w:val="32"/>
          <w:lang w:val="en-US" w:eastAsia="zh-CN"/>
        </w:rPr>
        <w:t>2199.76</w:t>
      </w:r>
      <w:r>
        <w:rPr>
          <w:rFonts w:ascii="Times New Roman" w:hAnsi="Times New Roman" w:eastAsia="仿宋_GB2312" w:cs="Times New Roman"/>
          <w:sz w:val="32"/>
          <w:szCs w:val="32"/>
        </w:rPr>
        <w:t>万元，与上年相比，</w:t>
      </w:r>
      <w:r>
        <w:rPr>
          <w:rFonts w:ascii="Times New Roman" w:hAnsi="Times New Roman" w:eastAsia="仿宋_GB2312" w:cs="Times New Roman"/>
          <w:sz w:val="32"/>
          <w:szCs w:val="32"/>
          <w:highlight w:val="yellow"/>
        </w:rPr>
        <w:t>增加</w:t>
      </w:r>
      <w:r>
        <w:rPr>
          <w:rFonts w:hint="eastAsia" w:ascii="Times New Roman" w:hAnsi="Times New Roman" w:eastAsia="仿宋_GB2312" w:cs="Times New Roman"/>
          <w:sz w:val="32"/>
          <w:szCs w:val="32"/>
          <w:highlight w:val="yellow"/>
          <w:lang w:val="en-US" w:eastAsia="zh-CN"/>
        </w:rPr>
        <w:t>357.72</w:t>
      </w:r>
      <w:r>
        <w:rPr>
          <w:rFonts w:ascii="Times New Roman" w:hAnsi="Times New Roman" w:eastAsia="仿宋_GB2312" w:cs="Times New Roman"/>
          <w:sz w:val="32"/>
          <w:szCs w:val="32"/>
        </w:rPr>
        <w:t>万元,</w:t>
      </w:r>
      <w:r>
        <w:rPr>
          <w:rFonts w:ascii="Times New Roman" w:hAnsi="Times New Roman" w:eastAsia="仿宋_GB2312" w:cs="Times New Roman"/>
          <w:sz w:val="32"/>
          <w:szCs w:val="32"/>
          <w:highlight w:val="yellow"/>
        </w:rPr>
        <w:t>增长</w:t>
      </w:r>
      <w:r>
        <w:rPr>
          <w:rFonts w:hint="eastAsia" w:ascii="Times New Roman" w:hAnsi="Times New Roman" w:eastAsia="仿宋_GB2312" w:cs="Times New Roman"/>
          <w:sz w:val="32"/>
          <w:szCs w:val="32"/>
          <w:highlight w:val="yellow"/>
          <w:lang w:val="en-US" w:eastAsia="zh-CN"/>
        </w:rPr>
        <w:t>16.26</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yellow"/>
        </w:rPr>
        <w:t>主要是因为</w:t>
      </w:r>
      <w:r>
        <w:rPr>
          <w:rFonts w:hint="eastAsia" w:ascii="Times New Roman" w:hAnsi="Times New Roman" w:eastAsia="仿宋_GB2312" w:cs="Times New Roman"/>
          <w:sz w:val="32"/>
          <w:szCs w:val="32"/>
          <w:highlight w:val="yellow"/>
          <w:lang w:eastAsia="zh-CN"/>
        </w:rPr>
        <w:t>工资普调人员结构调整。</w:t>
      </w:r>
      <w:r>
        <w:commentReference w:id="4"/>
      </w:r>
    </w:p>
    <w:p>
      <w:pPr>
        <w:pStyle w:val="13"/>
        <w:overflowPunct w:val="0"/>
        <w:autoSpaceDE/>
        <w:autoSpaceDN/>
        <w:spacing w:line="600"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五、一般公共预算财政拨款支出决算情况说明</w:t>
      </w:r>
    </w:p>
    <w:p>
      <w:pPr>
        <w:pStyle w:val="13"/>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（一）一般公共预算财政拨款支出决算总体情况</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2024年度财政拨款支出</w:t>
      </w:r>
      <w:r>
        <w:rPr>
          <w:rFonts w:hint="eastAsia" w:ascii="Times New Roman" w:hAnsi="Times New Roman" w:eastAsia="仿宋_GB2312" w:cs="Times New Roman"/>
          <w:sz w:val="32"/>
          <w:szCs w:val="32"/>
          <w:lang w:val="en-US" w:eastAsia="zh-CN"/>
        </w:rPr>
        <w:t>2199.76</w:t>
      </w:r>
      <w:r>
        <w:rPr>
          <w:rFonts w:ascii="Times New Roman" w:hAnsi="Times New Roman" w:eastAsia="仿宋_GB2312" w:cs="Times New Roman"/>
          <w:sz w:val="32"/>
          <w:szCs w:val="32"/>
        </w:rPr>
        <w:t>万元，占本年支出合计的</w:t>
      </w:r>
      <w:r>
        <w:rPr>
          <w:rFonts w:hint="eastAsia" w:ascii="Times New Roman" w:hAnsi="Times New Roman" w:eastAsia="仿宋_GB2312" w:cs="Times New Roman"/>
          <w:sz w:val="32"/>
          <w:szCs w:val="32"/>
          <w:lang w:val="en-US" w:eastAsia="zh-CN"/>
        </w:rPr>
        <w:t>87.09</w:t>
      </w:r>
      <w:r>
        <w:rPr>
          <w:rFonts w:ascii="Times New Roman" w:hAnsi="Times New Roman" w:eastAsia="仿宋_GB2312" w:cs="Times New Roman"/>
          <w:sz w:val="32"/>
          <w:szCs w:val="32"/>
        </w:rPr>
        <w:t>%，与上年相比，财政拨款支出</w:t>
      </w:r>
      <w:r>
        <w:rPr>
          <w:rFonts w:ascii="Times New Roman" w:hAnsi="Times New Roman" w:eastAsia="仿宋_GB2312" w:cs="Times New Roman"/>
          <w:sz w:val="32"/>
          <w:szCs w:val="32"/>
          <w:highlight w:val="yellow"/>
        </w:rPr>
        <w:t>增加</w:t>
      </w:r>
      <w:r>
        <w:rPr>
          <w:rFonts w:hint="eastAsia" w:ascii="Times New Roman" w:hAnsi="Times New Roman" w:eastAsia="仿宋_GB2312" w:cs="Times New Roman"/>
          <w:sz w:val="32"/>
          <w:szCs w:val="32"/>
          <w:highlight w:val="yellow"/>
          <w:lang w:val="en-US" w:eastAsia="zh-CN"/>
        </w:rPr>
        <w:t>357.72</w:t>
      </w:r>
      <w:r>
        <w:rPr>
          <w:rFonts w:ascii="Times New Roman" w:hAnsi="Times New Roman" w:eastAsia="仿宋_GB2312" w:cs="Times New Roman"/>
          <w:sz w:val="32"/>
          <w:szCs w:val="32"/>
        </w:rPr>
        <w:t>万元，</w:t>
      </w:r>
      <w:r>
        <w:rPr>
          <w:rFonts w:ascii="Times New Roman" w:hAnsi="Times New Roman" w:eastAsia="仿宋_GB2312" w:cs="Times New Roman"/>
          <w:sz w:val="32"/>
          <w:szCs w:val="32"/>
          <w:highlight w:val="yellow"/>
        </w:rPr>
        <w:t>增长</w:t>
      </w:r>
      <w:r>
        <w:rPr>
          <w:rFonts w:hint="eastAsia" w:ascii="Times New Roman" w:hAnsi="Times New Roman" w:eastAsia="仿宋_GB2312" w:cs="Times New Roman"/>
          <w:sz w:val="32"/>
          <w:szCs w:val="32"/>
          <w:highlight w:val="yellow"/>
          <w:lang w:val="en-US" w:eastAsia="zh-CN"/>
        </w:rPr>
        <w:t>16.26</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yellow"/>
        </w:rPr>
        <w:t>主要是因为</w:t>
      </w:r>
      <w:r>
        <w:rPr>
          <w:rFonts w:hint="eastAsia" w:ascii="Times New Roman" w:hAnsi="Times New Roman" w:eastAsia="仿宋_GB2312" w:cs="Times New Roman"/>
          <w:sz w:val="32"/>
          <w:szCs w:val="32"/>
          <w:highlight w:val="yellow"/>
          <w:lang w:eastAsia="zh-CN"/>
        </w:rPr>
        <w:t>工资普调人员结构调整。</w:t>
      </w:r>
      <w:r>
        <w:commentReference w:id="5"/>
      </w:r>
    </w:p>
    <w:p>
      <w:pPr>
        <w:pStyle w:val="13"/>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（二）一般公共预算财政拨款支出决算结构情况</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2024年度财政拨款支出</w:t>
      </w:r>
      <w:r>
        <w:rPr>
          <w:rFonts w:hint="eastAsia" w:ascii="Times New Roman" w:hAnsi="Times New Roman" w:eastAsia="仿宋_GB2312" w:cs="Times New Roman"/>
          <w:sz w:val="32"/>
          <w:szCs w:val="32"/>
          <w:lang w:val="en-US" w:eastAsia="zh-CN"/>
        </w:rPr>
        <w:t>2199.76</w:t>
      </w:r>
      <w:r>
        <w:rPr>
          <w:rFonts w:ascii="Times New Roman" w:hAnsi="Times New Roman" w:eastAsia="仿宋_GB2312" w:cs="Times New Roman"/>
          <w:sz w:val="32"/>
          <w:szCs w:val="32"/>
        </w:rPr>
        <w:t>万元，主要用于以下方面：一般公共服务（类）支出</w:t>
      </w:r>
      <w:r>
        <w:rPr>
          <w:rFonts w:hint="eastAsia" w:ascii="Times New Roman" w:hAnsi="Times New Roman" w:eastAsia="仿宋_GB2312" w:cs="Times New Roman"/>
          <w:sz w:val="32"/>
          <w:szCs w:val="32"/>
          <w:lang w:val="en-US" w:eastAsia="zh-CN"/>
        </w:rPr>
        <w:t>23.1</w:t>
      </w:r>
      <w:r>
        <w:rPr>
          <w:rFonts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1.06</w:t>
      </w:r>
      <w:r>
        <w:rPr>
          <w:rFonts w:ascii="Times New Roman" w:hAnsi="Times New Roman" w:eastAsia="仿宋_GB2312" w:cs="Times New Roman"/>
          <w:sz w:val="32"/>
          <w:szCs w:val="32"/>
        </w:rPr>
        <w:t>%；教育（类）支出</w:t>
      </w:r>
      <w:r>
        <w:rPr>
          <w:rFonts w:hint="eastAsia" w:ascii="Times New Roman" w:hAnsi="Times New Roman" w:eastAsia="仿宋_GB2312" w:cs="Times New Roman"/>
          <w:sz w:val="32"/>
          <w:szCs w:val="32"/>
          <w:lang w:val="en-US" w:eastAsia="zh-CN"/>
        </w:rPr>
        <w:t>2176.66</w:t>
      </w:r>
      <w:r>
        <w:rPr>
          <w:rFonts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98.94</w:t>
      </w:r>
      <w:r>
        <w:rPr>
          <w:rFonts w:ascii="Times New Roman" w:hAnsi="Times New Roman" w:eastAsia="仿宋_GB2312" w:cs="Times New Roman"/>
          <w:sz w:val="32"/>
          <w:szCs w:val="32"/>
        </w:rPr>
        <w:t>%;</w:t>
      </w:r>
    </w:p>
    <w:p>
      <w:pPr>
        <w:pStyle w:val="13"/>
        <w:overflowPunct w:val="0"/>
        <w:autoSpaceDE/>
        <w:autoSpaceDN/>
        <w:spacing w:line="600" w:lineRule="exact"/>
        <w:ind w:firstLine="640" w:firstLineChars="200"/>
        <w:jc w:val="both"/>
        <w:rPr>
          <w:rFonts w:ascii="Times New Roman" w:hAnsi="Times New Roman" w:eastAsia="楷体_GB2312" w:cs="Times New Roman"/>
          <w:b/>
          <w:sz w:val="32"/>
          <w:szCs w:val="32"/>
        </w:rPr>
      </w:pPr>
      <w:bookmarkStart w:id="0" w:name="_GoBack"/>
      <w:bookmarkEnd w:id="0"/>
      <w:r>
        <w:rPr>
          <w:rFonts w:ascii="Times New Roman" w:hAnsi="Times New Roman" w:eastAsia="楷体_GB2312" w:cs="Times New Roman"/>
          <w:b/>
          <w:sz w:val="32"/>
          <w:szCs w:val="32"/>
        </w:rPr>
        <w:t>（三）一般公共预算财政拨款支出决算具体情况</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2024年度财政拨款支出</w:t>
      </w:r>
      <w:r>
        <w:rPr>
          <w:rFonts w:ascii="Times New Roman" w:hAnsi="Times New Roman" w:eastAsia="仿宋_GB2312" w:cs="Times New Roman"/>
          <w:sz w:val="32"/>
          <w:szCs w:val="32"/>
          <w:highlight w:val="yellow"/>
        </w:rPr>
        <w:t>年初预算数为</w:t>
      </w:r>
      <w:r>
        <w:rPr>
          <w:rFonts w:hint="eastAsia" w:ascii="Times New Roman" w:hAnsi="Times New Roman" w:eastAsia="仿宋_GB2312" w:cs="Times New Roman"/>
          <w:sz w:val="32"/>
          <w:szCs w:val="32"/>
          <w:highlight w:val="yellow"/>
          <w:lang w:val="en-US" w:eastAsia="zh-CN"/>
        </w:rPr>
        <w:t>1785.96</w:t>
      </w:r>
      <w:r>
        <w:rPr>
          <w:rFonts w:ascii="Times New Roman" w:hAnsi="Times New Roman" w:eastAsia="仿宋_GB2312" w:cs="Times New Roman"/>
          <w:sz w:val="32"/>
          <w:szCs w:val="32"/>
          <w:highlight w:val="yellow"/>
        </w:rPr>
        <w:t>万元</w:t>
      </w:r>
      <w:r>
        <w:commentReference w:id="6"/>
      </w:r>
      <w:r>
        <w:rPr>
          <w:rFonts w:ascii="Times New Roman" w:hAnsi="Times New Roman" w:eastAsia="仿宋_GB2312" w:cs="Times New Roman"/>
          <w:sz w:val="32"/>
          <w:szCs w:val="32"/>
        </w:rPr>
        <w:t>，支出决算数为</w:t>
      </w:r>
      <w:r>
        <w:rPr>
          <w:rFonts w:hint="eastAsia" w:ascii="Times New Roman" w:hAnsi="Times New Roman" w:eastAsia="仿宋_GB2312" w:cs="Times New Roman"/>
          <w:sz w:val="32"/>
          <w:szCs w:val="32"/>
          <w:lang w:val="en-US" w:eastAsia="zh-CN"/>
        </w:rPr>
        <w:t>2199.76</w:t>
      </w:r>
      <w:r>
        <w:rPr>
          <w:rFonts w:ascii="Times New Roman" w:hAnsi="Times New Roman" w:eastAsia="仿宋_GB2312" w:cs="Times New Roman"/>
          <w:sz w:val="32"/>
          <w:szCs w:val="32"/>
        </w:rPr>
        <w:t>万元，完成年初预算的</w:t>
      </w:r>
      <w:r>
        <w:rPr>
          <w:rFonts w:hint="eastAsia" w:ascii="Times New Roman" w:hAnsi="Times New Roman" w:eastAsia="仿宋_GB2312" w:cs="Times New Roman"/>
          <w:sz w:val="32"/>
          <w:szCs w:val="32"/>
          <w:lang w:val="en-US" w:eastAsia="zh-CN"/>
        </w:rPr>
        <w:t>123.17</w:t>
      </w:r>
      <w:r>
        <w:rPr>
          <w:rFonts w:ascii="Times New Roman" w:hAnsi="Times New Roman" w:eastAsia="仿宋_GB2312" w:cs="Times New Roman"/>
          <w:sz w:val="32"/>
          <w:szCs w:val="32"/>
        </w:rPr>
        <w:t>%，其中：</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教育支出</w:t>
      </w:r>
      <w:r>
        <w:rPr>
          <w:rFonts w:ascii="Times New Roman" w:hAnsi="Times New Roman" w:eastAsia="仿宋_GB2312" w:cs="Times New Roman"/>
          <w:sz w:val="32"/>
          <w:szCs w:val="32"/>
        </w:rPr>
        <w:t>（类）</w:t>
      </w:r>
      <w:r>
        <w:rPr>
          <w:rFonts w:hint="eastAsia" w:ascii="Times New Roman" w:hAnsi="Times New Roman" w:eastAsia="仿宋_GB2312" w:cs="Times New Roman"/>
          <w:sz w:val="32"/>
          <w:szCs w:val="32"/>
          <w:lang w:eastAsia="zh-CN"/>
        </w:rPr>
        <w:t>普通教育</w:t>
      </w:r>
      <w:r>
        <w:rPr>
          <w:rFonts w:ascii="Times New Roman" w:hAnsi="Times New Roman" w:eastAsia="仿宋_GB2312" w:cs="Times New Roman"/>
          <w:sz w:val="32"/>
          <w:szCs w:val="32"/>
        </w:rPr>
        <w:t>（款）</w:t>
      </w:r>
      <w:r>
        <w:rPr>
          <w:rFonts w:hint="eastAsia" w:ascii="Times New Roman" w:hAnsi="Times New Roman" w:eastAsia="仿宋_GB2312" w:cs="Times New Roman"/>
          <w:sz w:val="32"/>
          <w:szCs w:val="32"/>
          <w:lang w:eastAsia="zh-CN"/>
        </w:rPr>
        <w:t>学前教育</w:t>
      </w:r>
      <w:r>
        <w:rPr>
          <w:rFonts w:ascii="Times New Roman" w:hAnsi="Times New Roman" w:eastAsia="仿宋_GB2312" w:cs="Times New Roman"/>
          <w:sz w:val="32"/>
          <w:szCs w:val="32"/>
        </w:rPr>
        <w:t>（项）。</w:t>
      </w:r>
    </w:p>
    <w:p>
      <w:pPr>
        <w:pStyle w:val="13"/>
        <w:overflowPunct w:val="0"/>
        <w:autoSpaceDE/>
        <w:autoSpaceDN/>
        <w:spacing w:line="600" w:lineRule="exact"/>
        <w:ind w:firstLine="640" w:firstLineChars="200"/>
        <w:jc w:val="both"/>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highlight w:val="yellow"/>
        </w:rPr>
        <w:t>年初预算为</w:t>
      </w:r>
      <w:r>
        <w:rPr>
          <w:rFonts w:hint="eastAsia" w:ascii="Times New Roman" w:hAnsi="Times New Roman" w:eastAsia="仿宋_GB2312" w:cs="Times New Roman"/>
          <w:sz w:val="32"/>
          <w:szCs w:val="32"/>
          <w:highlight w:val="yellow"/>
          <w:lang w:val="en-US" w:eastAsia="zh-CN"/>
        </w:rPr>
        <w:t>40.34</w:t>
      </w:r>
      <w:r>
        <w:rPr>
          <w:rFonts w:ascii="Times New Roman" w:hAnsi="Times New Roman" w:eastAsia="仿宋_GB2312" w:cs="Times New Roman"/>
          <w:sz w:val="32"/>
          <w:szCs w:val="32"/>
          <w:highlight w:val="yellow"/>
        </w:rPr>
        <w:t>万元</w:t>
      </w:r>
      <w:r>
        <w:rPr>
          <w:rFonts w:ascii="Times New Roman" w:hAnsi="Times New Roman" w:eastAsia="仿宋_GB2312" w:cs="Times New Roman"/>
          <w:sz w:val="32"/>
          <w:szCs w:val="32"/>
        </w:rPr>
        <w:t>，支出决算为</w:t>
      </w:r>
      <w:r>
        <w:rPr>
          <w:rFonts w:hint="eastAsia" w:ascii="Times New Roman" w:hAnsi="Times New Roman" w:eastAsia="仿宋_GB2312" w:cs="Times New Roman"/>
          <w:sz w:val="32"/>
          <w:szCs w:val="32"/>
          <w:lang w:val="en-US" w:eastAsia="zh-CN"/>
        </w:rPr>
        <w:t>40.34</w:t>
      </w:r>
      <w:r>
        <w:rPr>
          <w:rFonts w:ascii="Times New Roman" w:hAnsi="Times New Roman" w:eastAsia="仿宋_GB2312" w:cs="Times New Roman"/>
          <w:sz w:val="32"/>
          <w:szCs w:val="32"/>
        </w:rPr>
        <w:t>万元，完成年初预算的</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%，决算数</w:t>
      </w:r>
      <w:r>
        <w:rPr>
          <w:rFonts w:hint="eastAsia" w:ascii="Times New Roman" w:hAnsi="Times New Roman" w:eastAsia="仿宋_GB2312" w:cs="Times New Roman"/>
          <w:sz w:val="32"/>
          <w:szCs w:val="32"/>
          <w:lang w:eastAsia="zh-CN"/>
        </w:rPr>
        <w:t>与</w:t>
      </w:r>
      <w:r>
        <w:rPr>
          <w:rFonts w:ascii="Times New Roman" w:hAnsi="Times New Roman" w:eastAsia="仿宋_GB2312" w:cs="Times New Roman"/>
          <w:sz w:val="32"/>
          <w:szCs w:val="32"/>
        </w:rPr>
        <w:t>年初预算数</w:t>
      </w:r>
      <w:r>
        <w:rPr>
          <w:rFonts w:hint="eastAsia" w:ascii="Times New Roman" w:hAnsi="Times New Roman" w:eastAsia="仿宋_GB2312" w:cs="Times New Roman"/>
          <w:sz w:val="32"/>
          <w:szCs w:val="32"/>
          <w:lang w:eastAsia="zh-CN"/>
        </w:rPr>
        <w:t>一致，我单位严格按预算执行决算。</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教育支出</w:t>
      </w:r>
      <w:r>
        <w:rPr>
          <w:rFonts w:ascii="Times New Roman" w:hAnsi="Times New Roman" w:eastAsia="仿宋_GB2312" w:cs="Times New Roman"/>
          <w:sz w:val="32"/>
          <w:szCs w:val="32"/>
        </w:rPr>
        <w:t>（类）</w:t>
      </w:r>
      <w:r>
        <w:rPr>
          <w:rFonts w:hint="eastAsia" w:ascii="Times New Roman" w:hAnsi="Times New Roman" w:eastAsia="仿宋_GB2312" w:cs="Times New Roman"/>
          <w:sz w:val="32"/>
          <w:szCs w:val="32"/>
          <w:lang w:eastAsia="zh-CN"/>
        </w:rPr>
        <w:t>普通教育</w:t>
      </w:r>
      <w:r>
        <w:rPr>
          <w:rFonts w:ascii="Times New Roman" w:hAnsi="Times New Roman" w:eastAsia="仿宋_GB2312" w:cs="Times New Roman"/>
          <w:sz w:val="32"/>
          <w:szCs w:val="32"/>
        </w:rPr>
        <w:t>（款）</w:t>
      </w:r>
      <w:r>
        <w:rPr>
          <w:rFonts w:hint="eastAsia" w:ascii="Times New Roman" w:hAnsi="Times New Roman" w:eastAsia="仿宋_GB2312" w:cs="Times New Roman"/>
          <w:sz w:val="32"/>
          <w:szCs w:val="32"/>
          <w:lang w:eastAsia="zh-CN"/>
        </w:rPr>
        <w:t>小学教育</w:t>
      </w:r>
      <w:r>
        <w:rPr>
          <w:rFonts w:ascii="Times New Roman" w:hAnsi="Times New Roman" w:eastAsia="仿宋_GB2312" w:cs="Times New Roman"/>
          <w:sz w:val="32"/>
          <w:szCs w:val="32"/>
        </w:rPr>
        <w:t>（项）。</w:t>
      </w:r>
      <w:r>
        <w:commentReference w:id="7"/>
      </w:r>
    </w:p>
    <w:p>
      <w:pPr>
        <w:keepNext/>
        <w:keepLines/>
        <w:spacing w:beforeLines="0" w:afterLines="0"/>
        <w:ind w:firstLine="64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highlight w:val="yellow"/>
        </w:rPr>
        <w:t>年初预算为</w:t>
      </w:r>
      <w:r>
        <w:rPr>
          <w:rFonts w:hint="eastAsia" w:ascii="Times New Roman" w:hAnsi="Times New Roman" w:eastAsia="仿宋_GB2312" w:cs="Times New Roman"/>
          <w:sz w:val="32"/>
          <w:szCs w:val="32"/>
          <w:highlight w:val="yellow"/>
          <w:lang w:val="en-US" w:eastAsia="zh-CN"/>
        </w:rPr>
        <w:t>1789.84</w:t>
      </w:r>
      <w:r>
        <w:rPr>
          <w:rFonts w:ascii="Times New Roman" w:hAnsi="Times New Roman" w:eastAsia="仿宋_GB2312" w:cs="Times New Roman"/>
          <w:sz w:val="32"/>
          <w:szCs w:val="32"/>
          <w:highlight w:val="yellow"/>
        </w:rPr>
        <w:t>万元</w:t>
      </w:r>
      <w:r>
        <w:rPr>
          <w:rFonts w:ascii="Times New Roman" w:hAnsi="Times New Roman" w:eastAsia="仿宋_GB2312" w:cs="Times New Roman"/>
          <w:sz w:val="32"/>
          <w:szCs w:val="32"/>
        </w:rPr>
        <w:t>，支出决算为</w:t>
      </w:r>
      <w:r>
        <w:rPr>
          <w:rFonts w:hint="eastAsia" w:ascii="Times New Roman" w:hAnsi="Times New Roman" w:eastAsia="仿宋_GB2312" w:cs="Times New Roman"/>
          <w:sz w:val="32"/>
          <w:szCs w:val="32"/>
          <w:lang w:val="en-US" w:eastAsia="zh-CN"/>
        </w:rPr>
        <w:t>1789.84</w:t>
      </w:r>
      <w:r>
        <w:rPr>
          <w:rFonts w:ascii="Times New Roman" w:hAnsi="Times New Roman" w:eastAsia="仿宋_GB2312" w:cs="Times New Roman"/>
          <w:sz w:val="32"/>
          <w:szCs w:val="32"/>
        </w:rPr>
        <w:t>万元，完成年初预算的</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%，决算数</w:t>
      </w:r>
      <w:r>
        <w:rPr>
          <w:rFonts w:hint="eastAsia" w:ascii="Times New Roman" w:hAnsi="Times New Roman" w:eastAsia="仿宋_GB2312" w:cs="Times New Roman"/>
          <w:sz w:val="32"/>
          <w:szCs w:val="32"/>
          <w:lang w:eastAsia="zh-CN"/>
        </w:rPr>
        <w:t>与</w:t>
      </w:r>
      <w:r>
        <w:rPr>
          <w:rFonts w:ascii="Times New Roman" w:hAnsi="Times New Roman" w:eastAsia="仿宋_GB2312" w:cs="Times New Roman"/>
          <w:sz w:val="32"/>
          <w:szCs w:val="32"/>
        </w:rPr>
        <w:t>年初预算数</w:t>
      </w:r>
      <w:r>
        <w:rPr>
          <w:rFonts w:hint="eastAsia" w:ascii="Times New Roman" w:hAnsi="Times New Roman" w:eastAsia="仿宋_GB2312" w:cs="Times New Roman"/>
          <w:sz w:val="32"/>
          <w:szCs w:val="32"/>
          <w:lang w:eastAsia="zh-CN"/>
        </w:rPr>
        <w:t>一致，我单位严格按预算执行决算。</w:t>
      </w:r>
    </w:p>
    <w:p>
      <w:pPr>
        <w:keepNext/>
        <w:keepLines/>
        <w:spacing w:beforeLines="0" w:afterLines="0"/>
        <w:ind w:firstLine="640"/>
        <w:rPr>
          <w:rFonts w:hint="eastAsia"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rPr>
        <w:t>教育支出（类）普通教育（款）其他普通教育支出（项）。年初预算为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en-US"/>
        </w:rPr>
        <w:t>万元，支出决算为</w:t>
      </w:r>
      <w:r>
        <w:rPr>
          <w:rFonts w:hint="eastAsia" w:ascii="Times New Roman" w:hAnsi="Times New Roman" w:eastAsia="仿宋_GB2312" w:cs="Times New Roman"/>
          <w:sz w:val="32"/>
          <w:szCs w:val="32"/>
          <w:lang w:val="en-US" w:eastAsia="zh-CN"/>
        </w:rPr>
        <w:t>297.01</w:t>
      </w:r>
      <w:r>
        <w:rPr>
          <w:rFonts w:hint="eastAsia" w:ascii="Times New Roman" w:hAnsi="Times New Roman" w:eastAsia="仿宋_GB2312" w:cs="Times New Roman"/>
          <w:sz w:val="32"/>
          <w:szCs w:val="32"/>
          <w:lang w:val="en-US"/>
        </w:rPr>
        <w:t xml:space="preserve">万元，由于年初预算为0，无法计算百分比。决算数大于预算数的主要原因是年初预算只有基本支出预算，没有项目支出预算。 </w:t>
      </w:r>
    </w:p>
    <w:p>
      <w:pPr>
        <w:keepNext/>
        <w:keepLines/>
        <w:spacing w:beforeLines="0" w:afterLines="0"/>
        <w:ind w:firstLine="640"/>
        <w:rPr>
          <w:rFonts w:hint="eastAsia"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rPr>
        <w:t>教育支出（类）其他教育支出（款）其他教育支出（项）。年初预算为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en-US"/>
        </w:rPr>
        <w:t>万元，支出决算为</w:t>
      </w:r>
      <w:r>
        <w:rPr>
          <w:rFonts w:hint="eastAsia" w:ascii="Times New Roman" w:hAnsi="Times New Roman" w:eastAsia="仿宋_GB2312" w:cs="Times New Roman"/>
          <w:sz w:val="32"/>
          <w:szCs w:val="32"/>
          <w:lang w:val="en-US" w:eastAsia="zh-CN"/>
        </w:rPr>
        <w:t>49.46</w:t>
      </w:r>
      <w:r>
        <w:rPr>
          <w:rFonts w:hint="eastAsia" w:ascii="Times New Roman" w:hAnsi="Times New Roman" w:eastAsia="仿宋_GB2312" w:cs="Times New Roman"/>
          <w:sz w:val="32"/>
          <w:szCs w:val="32"/>
          <w:lang w:val="en-US"/>
        </w:rPr>
        <w:t>万元，由于年初预算为0，无法计算百分比。决算数大于预算数的主要原因是年初预算只有基本支出预算，没有项目支出预算。</w:t>
      </w:r>
    </w:p>
    <w:p>
      <w:pPr>
        <w:pStyle w:val="13"/>
        <w:overflowPunct w:val="0"/>
        <w:autoSpaceDE/>
        <w:autoSpaceDN/>
        <w:spacing w:line="600" w:lineRule="exact"/>
        <w:ind w:firstLine="640" w:firstLineChars="200"/>
        <w:jc w:val="both"/>
        <w:rPr>
          <w:rFonts w:hint="eastAsia" w:ascii="Times New Roman" w:hAnsi="Times New Roman" w:eastAsia="仿宋_GB2312" w:cs="Times New Roman"/>
          <w:sz w:val="32"/>
          <w:szCs w:val="32"/>
          <w:lang w:eastAsia="zh-CN"/>
        </w:rPr>
      </w:pPr>
    </w:p>
    <w:p>
      <w:pPr>
        <w:pStyle w:val="13"/>
        <w:overflowPunct w:val="0"/>
        <w:autoSpaceDE/>
        <w:autoSpaceDN/>
        <w:spacing w:line="600" w:lineRule="exact"/>
        <w:ind w:firstLine="640" w:firstLineChars="200"/>
        <w:jc w:val="both"/>
        <w:rPr>
          <w:rFonts w:hint="eastAsia" w:ascii="Times New Roman" w:hAnsi="Times New Roman" w:eastAsia="仿宋_GB2312" w:cs="Times New Roman"/>
          <w:sz w:val="32"/>
          <w:szCs w:val="32"/>
          <w:lang w:eastAsia="zh-CN"/>
        </w:rPr>
      </w:pPr>
    </w:p>
    <w:p>
      <w:pPr>
        <w:pStyle w:val="13"/>
        <w:overflowPunct w:val="0"/>
        <w:autoSpaceDE/>
        <w:autoSpaceDN/>
        <w:spacing w:line="600"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六、一般公共预算财政拨款基本支出决算情况说明</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2024年度一般公共预算财政拨款基本支出</w:t>
      </w:r>
      <w:r>
        <w:rPr>
          <w:rFonts w:hint="eastAsia" w:ascii="Times New Roman" w:hAnsi="Times New Roman" w:eastAsia="仿宋_GB2312" w:cs="Times New Roman"/>
          <w:sz w:val="32"/>
          <w:szCs w:val="32"/>
          <w:lang w:val="en-US" w:eastAsia="zh-CN"/>
        </w:rPr>
        <w:t>2099.76</w:t>
      </w:r>
      <w:r>
        <w:rPr>
          <w:rFonts w:ascii="Times New Roman" w:hAnsi="Times New Roman" w:eastAsia="仿宋_GB2312" w:cs="Times New Roman"/>
          <w:sz w:val="32"/>
          <w:szCs w:val="32"/>
        </w:rPr>
        <w:t>万元，其中：</w:t>
      </w:r>
    </w:p>
    <w:p>
      <w:pPr>
        <w:keepNext/>
        <w:keepLines/>
        <w:spacing w:beforeLines="0" w:afterLines="0"/>
        <w:ind w:firstLine="640"/>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人员经费</w:t>
      </w:r>
      <w:r>
        <w:rPr>
          <w:rFonts w:hint="eastAsia" w:ascii="Times New Roman" w:hAnsi="Times New Roman" w:eastAsia="仿宋_GB2312" w:cs="Times New Roman"/>
          <w:sz w:val="32"/>
          <w:szCs w:val="32"/>
          <w:lang w:val="en-US" w:eastAsia="zh-CN"/>
        </w:rPr>
        <w:t>1774.88</w:t>
      </w:r>
      <w:r>
        <w:rPr>
          <w:rFonts w:hint="eastAsia" w:ascii="Times New Roman" w:hAnsi="Times New Roman" w:eastAsia="仿宋_GB2312" w:cs="Times New Roman"/>
          <w:sz w:val="32"/>
          <w:szCs w:val="32"/>
          <w:lang w:val="zh-CN"/>
        </w:rPr>
        <w:t>万元，占基本支出的</w:t>
      </w:r>
      <w:r>
        <w:rPr>
          <w:rFonts w:hint="eastAsia" w:ascii="Times New Roman" w:hAnsi="Times New Roman" w:eastAsia="仿宋_GB2312" w:cs="Times New Roman"/>
          <w:sz w:val="32"/>
          <w:szCs w:val="32"/>
          <w:lang w:val="en-US" w:eastAsia="zh-CN"/>
        </w:rPr>
        <w:t>84.53</w:t>
      </w:r>
      <w:r>
        <w:rPr>
          <w:rFonts w:hint="eastAsia" w:ascii="Times New Roman" w:hAnsi="Times New Roman" w:eastAsia="仿宋_GB2312" w:cs="Times New Roman"/>
          <w:sz w:val="32"/>
          <w:szCs w:val="32"/>
          <w:lang w:val="zh-CN"/>
        </w:rPr>
        <w:t>%,主要包括</w:t>
      </w:r>
      <w:r>
        <w:rPr>
          <w:rFonts w:hint="eastAsia" w:ascii="Times New Roman" w:hAnsi="Times New Roman" w:eastAsia="仿宋_GB2312" w:cs="Times New Roman"/>
          <w:sz w:val="32"/>
          <w:szCs w:val="32"/>
          <w:lang w:val="en-US"/>
        </w:rPr>
        <w:t>基本工资、津贴补贴、</w:t>
      </w:r>
      <w:r>
        <w:rPr>
          <w:rFonts w:hint="eastAsia" w:ascii="Times New Roman" w:hAnsi="Times New Roman" w:eastAsia="仿宋_GB2312" w:cs="Times New Roman"/>
          <w:sz w:val="32"/>
          <w:szCs w:val="32"/>
          <w:lang w:val="zh-CN"/>
        </w:rPr>
        <w:t>奖金、伙食补助费、绩效工资、机关事业单位基本养老保险缴费、职业年金缴费、职工基本医疗保险缴费、其他社会保障缴费、住房公积金、医疗费、其他工资福利支出、生活补助、奖励金、其他对个人和家庭的补助；</w:t>
      </w:r>
    </w:p>
    <w:p>
      <w:pPr>
        <w:keepNext/>
        <w:keepLines/>
        <w:spacing w:beforeLines="0" w:afterLines="0"/>
        <w:ind w:firstLine="640"/>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en-US"/>
        </w:rPr>
        <w:t>公用经费</w:t>
      </w:r>
      <w:r>
        <w:rPr>
          <w:rFonts w:hint="eastAsia" w:ascii="Times New Roman" w:hAnsi="Times New Roman" w:eastAsia="仿宋_GB2312" w:cs="Times New Roman"/>
          <w:sz w:val="32"/>
          <w:szCs w:val="32"/>
          <w:lang w:val="en-US" w:eastAsia="zh-CN"/>
        </w:rPr>
        <w:t>324.88</w:t>
      </w:r>
      <w:r>
        <w:rPr>
          <w:rFonts w:hint="eastAsia" w:ascii="Times New Roman" w:hAnsi="Times New Roman" w:eastAsia="仿宋_GB2312" w:cs="Times New Roman"/>
          <w:sz w:val="32"/>
          <w:szCs w:val="32"/>
          <w:lang w:val="en-US"/>
        </w:rPr>
        <w:t>万元，</w:t>
      </w:r>
      <w:r>
        <w:rPr>
          <w:rFonts w:hint="eastAsia" w:ascii="Times New Roman" w:hAnsi="Times New Roman" w:eastAsia="仿宋_GB2312" w:cs="Times New Roman"/>
          <w:sz w:val="32"/>
          <w:szCs w:val="32"/>
          <w:lang w:val="zh-CN"/>
        </w:rPr>
        <w:t>占基本支出的</w:t>
      </w:r>
      <w:r>
        <w:rPr>
          <w:rFonts w:hint="eastAsia" w:ascii="Times New Roman" w:hAnsi="Times New Roman" w:eastAsia="仿宋_GB2312" w:cs="Times New Roman"/>
          <w:sz w:val="32"/>
          <w:szCs w:val="32"/>
          <w:lang w:val="en-US" w:eastAsia="zh-CN"/>
        </w:rPr>
        <w:t>15.47</w:t>
      </w:r>
      <w:r>
        <w:rPr>
          <w:rFonts w:hint="eastAsia" w:ascii="Times New Roman" w:hAnsi="Times New Roman" w:eastAsia="仿宋_GB2312" w:cs="Times New Roman"/>
          <w:sz w:val="32"/>
          <w:szCs w:val="32"/>
          <w:lang w:val="en-US"/>
        </w:rPr>
        <w:t>%，主要包括办公费、印刷费、咨询费、手续费、水费、电费、邮电费、物业管理费、差旅费、维修（护）费、租赁费、会议费、培训费、公务接待费、专用材料费、劳务费、工会经费、福利费、其他交通费用、税金及附加费用、其他商品和服务支出、办公设备购置、专用设备购置、信息网络及软件购置更新、其他资本性支出。</w:t>
      </w:r>
    </w:p>
    <w:p>
      <w:pPr>
        <w:pStyle w:val="13"/>
        <w:overflowPunct w:val="0"/>
        <w:autoSpaceDE/>
        <w:autoSpaceDN/>
        <w:spacing w:line="600" w:lineRule="exact"/>
        <w:ind w:firstLine="640" w:firstLineChars="200"/>
        <w:jc w:val="both"/>
        <w:rPr>
          <w:rFonts w:ascii="Times New Roman" w:hAnsi="Times New Roman" w:eastAsia="仿宋_GB2312" w:cs="Times New Roman"/>
          <w:b/>
          <w:sz w:val="32"/>
          <w:szCs w:val="32"/>
        </w:rPr>
      </w:pPr>
      <w:r>
        <w:rPr>
          <w:rFonts w:ascii="Times New Roman" w:hAnsi="Times New Roman" w:cs="Times New Roman"/>
          <w:bCs/>
          <w:sz w:val="32"/>
          <w:szCs w:val="32"/>
        </w:rPr>
        <w:t>七、财政拨款“三公”经费支出决算情况说明</w:t>
      </w:r>
      <w:r>
        <w:rPr>
          <w:rFonts w:ascii="Times New Roman" w:hAnsi="Times New Roman" w:eastAsia="楷体_GB2312" w:cs="Times New Roman"/>
          <w:b/>
          <w:bCs/>
          <w:i/>
          <w:color w:val="FF0000"/>
          <w:sz w:val="32"/>
          <w:szCs w:val="32"/>
        </w:rPr>
        <w:t>（注意：“三公”经费不再是一般公共预算财政拨款口径，而是财政拨款口径）</w:t>
      </w:r>
    </w:p>
    <w:p>
      <w:pPr>
        <w:pStyle w:val="13"/>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（一）“三公”经费财政拨款支出决算总体情况说明</w:t>
      </w:r>
    </w:p>
    <w:p>
      <w:pPr>
        <w:keepNext/>
        <w:keepLines/>
        <w:spacing w:beforeLines="0" w:afterLines="0"/>
        <w:ind w:firstLine="640"/>
        <w:rPr>
          <w:rFonts w:hint="eastAsia"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2024年</w:t>
      </w:r>
      <w:r>
        <w:rPr>
          <w:rFonts w:hint="eastAsia" w:ascii="Times New Roman" w:hAnsi="Times New Roman" w:eastAsia="仿宋_GB2312" w:cs="Times New Roman"/>
          <w:sz w:val="32"/>
          <w:szCs w:val="32"/>
          <w:lang w:val="en-US"/>
        </w:rPr>
        <w:t>度“三公”经费财政拨款支出预算为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en-US"/>
        </w:rPr>
        <w:t>万元，支出决算为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en-US"/>
        </w:rPr>
        <w:t>万元,</w:t>
      </w:r>
      <w:r>
        <w:rPr>
          <w:rFonts w:hint="eastAsia" w:ascii="Times New Roman" w:hAnsi="Times New Roman" w:eastAsia="仿宋_GB2312" w:cs="Times New Roman"/>
          <w:sz w:val="32"/>
          <w:szCs w:val="32"/>
          <w:lang w:val="zh-CN"/>
        </w:rPr>
        <w:t>完成预算的100%，其中：</w:t>
      </w:r>
    </w:p>
    <w:p>
      <w:pPr>
        <w:keepNext/>
        <w:keepLines/>
        <w:spacing w:beforeLines="0" w:afterLines="0"/>
        <w:ind w:firstLine="640"/>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en-US"/>
        </w:rPr>
        <w:t>因公出国（境）费支出预算为0万元，支出决算为0万元，完成预算的0%，与上年相比减少（增加）0万元，减少（增长）0%。</w:t>
      </w:r>
      <w:r>
        <w:rPr>
          <w:rFonts w:hint="eastAsia" w:ascii="Times New Roman" w:hAnsi="Times New Roman" w:eastAsia="仿宋_GB2312" w:cs="Times New Roman"/>
          <w:sz w:val="32"/>
          <w:szCs w:val="32"/>
          <w:lang w:val="zh-CN"/>
        </w:rPr>
        <w:t xml:space="preserve">   </w:t>
      </w:r>
    </w:p>
    <w:p>
      <w:pPr>
        <w:keepNext/>
        <w:keepLines/>
        <w:spacing w:beforeLines="0" w:afterLines="0"/>
        <w:ind w:firstLine="640"/>
        <w:rPr>
          <w:rFonts w:hint="eastAsia" w:ascii="Times New Roman" w:hAnsi="Times New Roman" w:eastAsia="仿宋_GB2312" w:cs="Times New Roman"/>
          <w:sz w:val="32"/>
          <w:szCs w:val="32"/>
          <w:lang w:val="zh-CN" w:eastAsia="zh-CN"/>
        </w:rPr>
      </w:pPr>
      <w:r>
        <w:rPr>
          <w:rFonts w:hint="eastAsia" w:ascii="Times New Roman" w:hAnsi="Times New Roman" w:eastAsia="仿宋_GB2312" w:cs="Times New Roman"/>
          <w:sz w:val="32"/>
          <w:szCs w:val="32"/>
          <w:lang w:val="zh-CN"/>
        </w:rPr>
        <w:t>公务接待费支出预算为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zh-CN"/>
        </w:rPr>
        <w:t>万元，支出决算为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zh-CN"/>
        </w:rPr>
        <w:t>万元,与决算持平；</w:t>
      </w:r>
      <w:r>
        <w:rPr>
          <w:rFonts w:hint="eastAsia" w:ascii="Times New Roman" w:hAnsi="Times New Roman" w:eastAsia="仿宋_GB2312" w:cs="Times New Roman"/>
          <w:sz w:val="32"/>
          <w:szCs w:val="32"/>
          <w:lang w:val="en-US" w:eastAsia="zh-CN"/>
        </w:rPr>
        <w:t>0</w:t>
      </w:r>
    </w:p>
    <w:p>
      <w:pPr>
        <w:keepNext/>
        <w:keepLines/>
        <w:spacing w:beforeLines="0" w:afterLines="0"/>
        <w:ind w:firstLine="640"/>
        <w:rPr>
          <w:rFonts w:hint="eastAsia"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rPr>
        <w:t>公务用车购置费支出预算为0万元，支出决算为0万元，完成预算的0%，与上年相比减少（增加）0万元，减少（增长）0%。</w:t>
      </w:r>
      <w:r>
        <w:rPr>
          <w:rFonts w:hint="eastAsia" w:ascii="Times New Roman" w:hAnsi="Times New Roman" w:eastAsia="仿宋_GB2312" w:cs="Times New Roman"/>
          <w:sz w:val="32"/>
          <w:szCs w:val="32"/>
          <w:lang w:val="zh-CN"/>
        </w:rPr>
        <w:t xml:space="preserve">   </w:t>
      </w:r>
    </w:p>
    <w:p>
      <w:pPr>
        <w:keepNext/>
        <w:keepLines/>
        <w:spacing w:beforeLines="0" w:afterLines="0"/>
        <w:ind w:firstLine="640"/>
        <w:rPr>
          <w:rFonts w:hint="eastAsia"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rPr>
        <w:t>公务用车购置费及运行维护费支出预算为0万元，支出决算为0万元，完成预算的0%，与上年相比减少（增加）0万元，减少（增长）0%。</w:t>
      </w:r>
      <w:r>
        <w:rPr>
          <w:rFonts w:hint="eastAsia" w:ascii="Times New Roman" w:hAnsi="Times New Roman" w:eastAsia="仿宋_GB2312" w:cs="Times New Roman"/>
          <w:sz w:val="32"/>
          <w:szCs w:val="32"/>
          <w:lang w:val="zh-CN"/>
        </w:rPr>
        <w:t xml:space="preserve">   </w:t>
      </w:r>
    </w:p>
    <w:p>
      <w:pPr>
        <w:keepNext/>
        <w:keepLines/>
        <w:spacing w:beforeLines="0" w:afterLines="0"/>
        <w:ind w:firstLine="640"/>
        <w:rPr>
          <w:rFonts w:hint="eastAsia" w:ascii="Times New Roman" w:hAnsi="Times New Roman" w:eastAsia="仿宋_GB2312" w:cs="Times New Roman"/>
          <w:sz w:val="32"/>
          <w:szCs w:val="32"/>
          <w:lang w:val="en-US"/>
        </w:rPr>
      </w:pPr>
    </w:p>
    <w:p>
      <w:pPr>
        <w:pStyle w:val="13"/>
        <w:numPr>
          <w:ilvl w:val="0"/>
          <w:numId w:val="1"/>
        </w:numPr>
        <w:overflowPunct w:val="0"/>
        <w:autoSpaceDE/>
        <w:autoSpaceDN/>
        <w:spacing w:line="600" w:lineRule="exact"/>
        <w:ind w:firstLine="640" w:firstLineChars="200"/>
        <w:jc w:val="both"/>
        <w:rPr>
          <w:rFonts w:hint="eastAsia" w:ascii="Times New Roman" w:hAnsi="Times New Roman" w:eastAsia="仿宋_GB2312" w:cs="Times New Roman"/>
          <w:sz w:val="32"/>
          <w:szCs w:val="32"/>
          <w:lang w:val="zh-CN"/>
        </w:rPr>
      </w:pPr>
      <w:r>
        <w:rPr>
          <w:rFonts w:ascii="Times New Roman" w:hAnsi="Times New Roman" w:eastAsia="楷体_GB2312" w:cs="Times New Roman"/>
          <w:b/>
          <w:sz w:val="32"/>
          <w:szCs w:val="32"/>
        </w:rPr>
        <w:t>“三公”经费财政拨款支出决算具体情况说明</w:t>
      </w:r>
    </w:p>
    <w:p>
      <w:pPr>
        <w:pStyle w:val="13"/>
        <w:numPr>
          <w:numId w:val="0"/>
        </w:numPr>
        <w:overflowPunct w:val="0"/>
        <w:autoSpaceDE/>
        <w:autoSpaceDN/>
        <w:spacing w:line="600" w:lineRule="exact"/>
        <w:ind w:firstLine="640" w:firstLineChars="200"/>
        <w:jc w:val="both"/>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val="zh-CN"/>
        </w:rPr>
        <w:t>年度“三公”经费财政拨款支出决算中，因公出国（境）费支出决算0万元，占0%；公务接待费支出决算</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zh-CN"/>
        </w:rPr>
        <w:t>万元，占0%。公务用车购置费及运行维护费支出决算0万元，占0%；</w:t>
      </w:r>
    </w:p>
    <w:p>
      <w:pPr>
        <w:keepNext/>
        <w:keepLines/>
        <w:spacing w:beforeLines="0" w:afterLines="0"/>
        <w:ind w:firstLine="640"/>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1、因公出国（境）费支出决算0万元，全年安排因公出国（境）团组0个，累计0人次。</w:t>
      </w:r>
    </w:p>
    <w:p>
      <w:pPr>
        <w:keepNext/>
        <w:keepLines/>
        <w:spacing w:beforeLines="0" w:afterLines="0"/>
        <w:ind w:firstLine="640"/>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2、公务接待费支出决算为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zh-CN"/>
        </w:rPr>
        <w:t>万元，</w:t>
      </w:r>
    </w:p>
    <w:p>
      <w:pPr>
        <w:keepNext/>
        <w:keepLines/>
        <w:spacing w:beforeLines="0" w:afterLines="0"/>
        <w:ind w:firstLine="640"/>
        <w:rPr>
          <w:rFonts w:hint="eastAsia"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zh-CN"/>
        </w:rPr>
        <w:t>、公务用车购置费及运行维护费支出决算0万元，其中：公务用车购置费0万元，更新公务用车0辆。公务用车运行维护费0元，截止2023年12月31日，我单位开支财政拨款的公务用车保有量为0辆。</w:t>
      </w:r>
    </w:p>
    <w:p>
      <w:pPr>
        <w:pStyle w:val="13"/>
        <w:overflowPunct w:val="0"/>
        <w:autoSpaceDE/>
        <w:autoSpaceDN/>
        <w:spacing w:line="600"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八、政府性基金预算收入支出决算情况</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2024年度政府性基金预算财政拨款收入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万元；年初结转和结余</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万元，项目支出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万元；年末结转和结余</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万元。具体情况如下：</w:t>
      </w:r>
    </w:p>
    <w:p>
      <w:pPr>
        <w:pStyle w:val="13"/>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rPr>
        <w:t>教育支出（类）其他教育支出（款）其他教育支出（项）。年初预算为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en-US"/>
        </w:rPr>
        <w:t>万元，支出决算为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en-US"/>
        </w:rPr>
        <w:t>万元，由于年初预算为0，无法计算百分比。决算数大于预算数的主要原因</w:t>
      </w:r>
      <w:r>
        <w:rPr>
          <w:rFonts w:hint="eastAsia" w:ascii="Times New Roman" w:hAnsi="Times New Roman" w:eastAsia="仿宋_GB2312" w:cs="Times New Roman"/>
          <w:sz w:val="32"/>
          <w:szCs w:val="32"/>
          <w:lang w:val="en-US" w:eastAsia="zh-CN"/>
        </w:rPr>
        <w:t>是年初预算无</w:t>
      </w:r>
      <w:r>
        <w:rPr>
          <w:rFonts w:hint="eastAsia" w:ascii="Times New Roman" w:hAnsi="Times New Roman" w:eastAsia="仿宋_GB2312" w:cs="Times New Roman"/>
          <w:sz w:val="32"/>
          <w:szCs w:val="32"/>
          <w:lang w:val="en-US"/>
        </w:rPr>
        <w:t>政府性基金预算拨款。</w:t>
      </w:r>
    </w:p>
    <w:p>
      <w:pPr>
        <w:pStyle w:val="13"/>
        <w:numPr>
          <w:ilvl w:val="0"/>
          <w:numId w:val="2"/>
        </w:numPr>
        <w:overflowPunct w:val="0"/>
        <w:autoSpaceDE/>
        <w:autoSpaceDN/>
        <w:spacing w:line="600" w:lineRule="exact"/>
        <w:ind w:firstLine="640" w:firstLineChars="200"/>
        <w:jc w:val="both"/>
        <w:rPr>
          <w:rFonts w:ascii="Times New Roman" w:hAnsi="Times New Roman" w:cs="Times New Roman"/>
          <w:bCs/>
          <w:sz w:val="32"/>
          <w:szCs w:val="32"/>
        </w:rPr>
      </w:pPr>
      <w:r>
        <w:rPr>
          <w:rFonts w:hint="eastAsia" w:ascii="Times New Roman" w:hAnsi="Times New Roman" w:cs="Times New Roman"/>
          <w:bCs/>
          <w:sz w:val="32"/>
          <w:szCs w:val="32"/>
          <w:lang w:val="en-US" w:eastAsia="zh-CN"/>
        </w:rPr>
        <w:t>国有资本经营</w:t>
      </w:r>
      <w:r>
        <w:rPr>
          <w:rFonts w:ascii="Times New Roman" w:hAnsi="Times New Roman" w:cs="Times New Roman"/>
          <w:bCs/>
          <w:sz w:val="32"/>
          <w:szCs w:val="32"/>
        </w:rPr>
        <w:t>预算收入支出决算情况</w:t>
      </w:r>
    </w:p>
    <w:p>
      <w:pPr>
        <w:keepNext/>
        <w:keepLines/>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zh-CN" w:eastAsia="zh-CN" w:bidi="ar-SA"/>
        </w:rPr>
        <w:t>202</w:t>
      </w:r>
      <w:r>
        <w:rPr>
          <w:rFonts w:hint="eastAsia" w:ascii="Times New Roman" w:hAnsi="Times New Roman" w:eastAsia="仿宋_GB2312" w:cs="Times New Roman"/>
          <w:color w:val="000000"/>
          <w:kern w:val="0"/>
          <w:sz w:val="32"/>
          <w:szCs w:val="32"/>
          <w:lang w:val="en-US" w:eastAsia="zh-CN" w:bidi="ar-SA"/>
        </w:rPr>
        <w:t>4</w:t>
      </w:r>
      <w:r>
        <w:rPr>
          <w:rFonts w:hint="eastAsia" w:ascii="Times New Roman" w:hAnsi="Times New Roman" w:eastAsia="仿宋_GB2312" w:cs="Times New Roman"/>
          <w:color w:val="000000"/>
          <w:kern w:val="0"/>
          <w:sz w:val="32"/>
          <w:szCs w:val="32"/>
          <w:lang w:val="zh-CN" w:eastAsia="zh-CN" w:bidi="ar-SA"/>
        </w:rPr>
        <w:t>年本单位没有使用国有资本经营预算安排的支出。</w:t>
      </w:r>
    </w:p>
    <w:p>
      <w:pPr>
        <w:keepNext/>
        <w:keepLines/>
        <w:ind w:firstLine="640"/>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xml:space="preserve">    </w:t>
      </w:r>
    </w:p>
    <w:p>
      <w:pPr>
        <w:pStyle w:val="13"/>
        <w:numPr>
          <w:numId w:val="0"/>
        </w:numPr>
        <w:overflowPunct w:val="0"/>
        <w:autoSpaceDE/>
        <w:autoSpaceDN/>
        <w:spacing w:line="600" w:lineRule="exact"/>
        <w:jc w:val="both"/>
        <w:rPr>
          <w:rFonts w:ascii="Times New Roman" w:hAnsi="Times New Roman" w:cs="Times New Roman"/>
          <w:bCs/>
          <w:sz w:val="32"/>
          <w:szCs w:val="32"/>
        </w:rPr>
      </w:pPr>
    </w:p>
    <w:p>
      <w:pPr>
        <w:pStyle w:val="13"/>
        <w:numPr>
          <w:ilvl w:val="0"/>
          <w:numId w:val="3"/>
        </w:numPr>
        <w:overflowPunct w:val="0"/>
        <w:autoSpaceDE/>
        <w:autoSpaceDN/>
        <w:spacing w:line="600" w:lineRule="exact"/>
        <w:ind w:firstLine="640" w:firstLineChars="200"/>
        <w:jc w:val="both"/>
        <w:rPr>
          <w:rFonts w:ascii="Times New Roman" w:hAnsi="Times New Roman" w:cs="Times New Roman"/>
          <w:bCs/>
          <w:sz w:val="32"/>
          <w:szCs w:val="32"/>
        </w:rPr>
      </w:pPr>
      <w:r>
        <w:rPr>
          <w:rFonts w:ascii="Times New Roman" w:hAnsi="Times New Roman" w:cs="Times New Roman"/>
          <w:bCs/>
          <w:sz w:val="32"/>
          <w:szCs w:val="32"/>
        </w:rPr>
        <w:t>关于机关运行经费支出说明</w:t>
      </w:r>
    </w:p>
    <w:p>
      <w:pPr>
        <w:keepNext/>
        <w:keepLines/>
        <w:spacing w:beforeLines="0" w:afterLines="0"/>
        <w:ind w:firstLine="640"/>
        <w:rPr>
          <w:rFonts w:ascii="Times New Roman" w:hAnsi="Times New Roman" w:cs="Times New Roman"/>
          <w:bCs/>
          <w:sz w:val="32"/>
          <w:szCs w:val="32"/>
        </w:rPr>
      </w:pPr>
      <w:r>
        <w:rPr>
          <w:rFonts w:hint="eastAsia" w:ascii="Times New Roman" w:hAnsi="Times New Roman" w:eastAsia="仿宋_GB2312" w:cs="Times New Roman"/>
          <w:color w:val="000000"/>
          <w:kern w:val="0"/>
          <w:sz w:val="32"/>
          <w:szCs w:val="32"/>
          <w:lang w:val="en-US" w:eastAsia="zh-CN" w:bidi="ar-SA"/>
        </w:rPr>
        <w:t>本单位不属于行政单位和参照公务员法管理事业单位，无机关运行经费支出。</w:t>
      </w:r>
    </w:p>
    <w:p>
      <w:pPr>
        <w:pStyle w:val="13"/>
        <w:numPr>
          <w:ilvl w:val="0"/>
          <w:numId w:val="3"/>
        </w:numPr>
        <w:overflowPunct w:val="0"/>
        <w:autoSpaceDE/>
        <w:autoSpaceDN/>
        <w:spacing w:line="600" w:lineRule="exact"/>
        <w:ind w:left="0" w:leftChars="0" w:firstLine="640" w:firstLineChars="200"/>
        <w:jc w:val="both"/>
        <w:rPr>
          <w:rFonts w:ascii="Times New Roman" w:hAnsi="Times New Roman" w:cs="Times New Roman"/>
          <w:bCs/>
          <w:sz w:val="32"/>
          <w:szCs w:val="32"/>
        </w:rPr>
      </w:pPr>
      <w:r>
        <w:rPr>
          <w:rFonts w:ascii="Times New Roman" w:hAnsi="Times New Roman" w:cs="Times New Roman"/>
          <w:bCs/>
          <w:sz w:val="32"/>
          <w:szCs w:val="32"/>
        </w:rPr>
        <w:t>一般性支出情况说明</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开支培训费16万元，用于开展教师业务能力提升培训，人数158人次，内容为信息技术应用能力提升培训、教师学科教学能力提升培训、骨干教师培训等。2024年本部门未举办节庆、晚会、论坛、赛事活动，开支0万元。</w:t>
      </w:r>
    </w:p>
    <w:p>
      <w:pPr>
        <w:pStyle w:val="13"/>
        <w:numPr>
          <w:numId w:val="0"/>
        </w:numPr>
        <w:overflowPunct w:val="0"/>
        <w:autoSpaceDE/>
        <w:autoSpaceDN/>
        <w:spacing w:line="600" w:lineRule="exact"/>
        <w:ind w:leftChars="200"/>
        <w:jc w:val="both"/>
        <w:rPr>
          <w:rFonts w:ascii="Times New Roman" w:hAnsi="Times New Roman" w:cs="Times New Roman"/>
          <w:bCs/>
          <w:sz w:val="32"/>
          <w:szCs w:val="32"/>
        </w:rPr>
      </w:pPr>
    </w:p>
    <w:p>
      <w:pPr>
        <w:pStyle w:val="13"/>
        <w:numPr>
          <w:ilvl w:val="0"/>
          <w:numId w:val="3"/>
        </w:numPr>
        <w:overflowPunct w:val="0"/>
        <w:autoSpaceDE/>
        <w:autoSpaceDN/>
        <w:spacing w:line="600" w:lineRule="exact"/>
        <w:ind w:left="0" w:leftChars="0" w:firstLine="640" w:firstLineChars="200"/>
        <w:jc w:val="both"/>
        <w:rPr>
          <w:rFonts w:ascii="Times New Roman" w:hAnsi="Times New Roman" w:cs="Times New Roman"/>
          <w:bCs/>
          <w:sz w:val="32"/>
          <w:szCs w:val="32"/>
        </w:rPr>
      </w:pPr>
      <w:r>
        <w:rPr>
          <w:rFonts w:ascii="Times New Roman" w:hAnsi="Times New Roman" w:cs="Times New Roman"/>
          <w:bCs/>
          <w:sz w:val="32"/>
          <w:szCs w:val="32"/>
        </w:rPr>
        <w:t>关于政府采购支出说明</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2024年度政府采购支出总额0万元，其中：政府采购货物支出0万元；政府采购工程支出0万元；政府采购服务支出0万元。授予中小企业合同金额0万元，占政府采购支出总额的0%。</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3"/>
        <w:numPr>
          <w:numId w:val="0"/>
        </w:numPr>
        <w:overflowPunct w:val="0"/>
        <w:autoSpaceDE/>
        <w:autoSpaceDN/>
        <w:spacing w:line="600" w:lineRule="exact"/>
        <w:ind w:leftChars="200"/>
        <w:jc w:val="both"/>
        <w:rPr>
          <w:rFonts w:ascii="Times New Roman" w:hAnsi="Times New Roman" w:cs="Times New Roman"/>
          <w:bCs/>
          <w:sz w:val="32"/>
          <w:szCs w:val="32"/>
        </w:rPr>
      </w:pPr>
    </w:p>
    <w:p>
      <w:pPr>
        <w:pStyle w:val="13"/>
        <w:numPr>
          <w:ilvl w:val="0"/>
          <w:numId w:val="3"/>
        </w:numPr>
        <w:overflowPunct w:val="0"/>
        <w:autoSpaceDE/>
        <w:autoSpaceDN/>
        <w:spacing w:line="600" w:lineRule="exact"/>
        <w:ind w:left="0" w:leftChars="0" w:firstLine="640" w:firstLineChars="200"/>
        <w:jc w:val="both"/>
        <w:rPr>
          <w:rFonts w:ascii="Times New Roman" w:hAnsi="Times New Roman" w:cs="Times New Roman"/>
          <w:bCs/>
          <w:color w:val="auto"/>
          <w:sz w:val="32"/>
          <w:szCs w:val="32"/>
        </w:rPr>
      </w:pPr>
      <w:r>
        <w:rPr>
          <w:rFonts w:ascii="Times New Roman" w:hAnsi="Times New Roman" w:cs="Times New Roman"/>
          <w:bCs/>
          <w:color w:val="auto"/>
          <w:sz w:val="32"/>
          <w:szCs w:val="32"/>
        </w:rPr>
        <w:t>关于国有资产占用情况说明</w:t>
      </w:r>
    </w:p>
    <w:p>
      <w:pPr>
        <w:keepNext/>
        <w:keepLines/>
        <w:spacing w:beforeLines="0" w:afterLines="0"/>
        <w:ind w:firstLine="640"/>
        <w:rPr>
          <w:rFonts w:hint="eastAsia" w:ascii="Times New Roman" w:hAnsi="Times New Roman" w:eastAsia="仿宋_GB2312" w:cs="Times New Roman"/>
          <w:color w:val="000000"/>
          <w:kern w:val="0"/>
          <w:sz w:val="32"/>
          <w:szCs w:val="32"/>
          <w:lang w:val="zh-CN" w:eastAsia="zh-CN" w:bidi="ar-SA"/>
        </w:rPr>
      </w:pPr>
      <w:r>
        <w:rPr>
          <w:rFonts w:hint="eastAsia" w:ascii="Times New Roman" w:hAnsi="Times New Roman" w:eastAsia="仿宋_GB2312" w:cs="Times New Roman"/>
          <w:color w:val="000000"/>
          <w:kern w:val="0"/>
          <w:sz w:val="32"/>
          <w:szCs w:val="32"/>
          <w:lang w:val="en-US" w:eastAsia="zh-CN" w:bidi="ar-SA"/>
        </w:rPr>
        <w:t>截至2024年12月31日，部门（单位）共有车辆0辆。单位价值100万元（含）以上设备0台（套）。</w:t>
      </w:r>
    </w:p>
    <w:p>
      <w:pPr>
        <w:pStyle w:val="13"/>
        <w:numPr>
          <w:ilvl w:val="0"/>
          <w:numId w:val="3"/>
        </w:numPr>
        <w:overflowPunct w:val="0"/>
        <w:autoSpaceDE/>
        <w:autoSpaceDN/>
        <w:spacing w:line="600" w:lineRule="exact"/>
        <w:ind w:left="0" w:leftChars="0" w:firstLine="640" w:firstLineChars="200"/>
        <w:jc w:val="both"/>
        <w:rPr>
          <w:rFonts w:hint="eastAsia" w:ascii="宋体" w:hAnsi="宋体"/>
          <w:color w:val="auto"/>
          <w:sz w:val="28"/>
          <w:lang w:val="en-US"/>
        </w:rPr>
      </w:pPr>
      <w:r>
        <w:rPr>
          <w:rFonts w:ascii="Times New Roman" w:hAnsi="Times New Roman" w:cs="Times New Roman"/>
          <w:bCs/>
          <w:color w:val="auto"/>
          <w:sz w:val="32"/>
          <w:szCs w:val="32"/>
        </w:rPr>
        <w:t>关于</w:t>
      </w:r>
      <w:r>
        <w:rPr>
          <w:rFonts w:ascii="Times New Roman" w:hAnsi="Times New Roman" w:eastAsia="仿宋_GB2312" w:cs="Times New Roman"/>
          <w:color w:val="auto"/>
          <w:sz w:val="32"/>
          <w:szCs w:val="32"/>
        </w:rPr>
        <w:t>2024</w:t>
      </w:r>
      <w:r>
        <w:rPr>
          <w:rFonts w:ascii="Times New Roman" w:hAnsi="Times New Roman" w:cs="Times New Roman"/>
          <w:bCs/>
          <w:color w:val="auto"/>
          <w:sz w:val="32"/>
          <w:szCs w:val="32"/>
        </w:rPr>
        <w:t>年度预算绩效情况的说明</w:t>
      </w:r>
      <w:r>
        <w:commentReference w:id="8"/>
      </w:r>
    </w:p>
    <w:p>
      <w:pPr>
        <w:pStyle w:val="13"/>
        <w:numPr>
          <w:ilvl w:val="0"/>
          <w:numId w:val="4"/>
        </w:numPr>
        <w:overflowPunct w:val="0"/>
        <w:autoSpaceDE/>
        <w:autoSpaceDN/>
        <w:spacing w:line="600" w:lineRule="exact"/>
        <w:ind w:leftChars="200"/>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绩效管理工作开展情况。</w:t>
      </w:r>
    </w:p>
    <w:p>
      <w:pPr>
        <w:pStyle w:val="13"/>
        <w:numPr>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本年度，我校高度重视预算管理工作，从年初即启动了科学严谨的预算制定流程。首先，基于上一年度预算执行情况及本年度发展规划，进行收入预测与支出需求分析，确保了预算制定的合理性和可行性。在预算分配上，我们坚持“保基本、促发展、重绩效”的原则，优先保障教育教学、师资建设及学生服务等基本支出，同时加大对重点学科、科研创新及基础设施改善等发展性项目的支持力度。</w:t>
      </w:r>
    </w:p>
    <w:p>
      <w:pPr>
        <w:pStyle w:val="13"/>
        <w:numPr>
          <w:ilvl w:val="0"/>
          <w:numId w:val="0"/>
        </w:numPr>
        <w:overflowPunct w:val="0"/>
        <w:autoSpaceDE/>
        <w:autoSpaceDN/>
        <w:spacing w:line="600" w:lineRule="exact"/>
        <w:ind w:firstLine="640" w:firstLineChars="200"/>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为有效衡量预算资金的使用效率与效果，我校根据预算项目的不同特点，设定了具体的绩效指标。这些指标既包括定量指标，如项目完成率、资金到位率、成本节约率等，也涵盖定性指标，如教学质量提升情况、科研成果影响力、师生满意度等。绩效指标的设定充分考虑了具体、可测量、可达成、相关性、时限性，确保了评价工作的客观性和准确性。</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预算执行过程中，我校建立了完善的监控机制。财务部门通过财务管理系统实时监控各项预算指标的执行情况，了解项目进展及资金使用情况。同时，我们还设立了预警机制，对预算执行进度滞后或存在偏离绩效目标的项目及时发出预警并采取措施加以改进。此外，我们还鼓励师生参与监督，增强了预算执行的透明度与公信力。</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年终，我校组织开展了全面的预算绩效评价工作。评价范围覆盖所有预算项目，评价内容包括预算执行情况、绩效目标达成情况、资金使用效益等多个方面。通过专家评审、数据分析及师生反馈等方式，我们形成了客观公正的绩效评价报告，为下一年度预算管理工作提供了重要参考。</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（二）部门（单位）整体支出绩效情况。</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本年度，我校严格按照相关规定，科学编制并严格执行了年度预算。在预算执行过程中，我们注重预算管理的规范性与灵活性相结合，既确保了预算资金的合理分配与有效使用，又根据实际情况进行了适时调整与优化。通过加强预算执行监控与绩效评价，我们确保了预算目标的顺利实现，为学校的稳定运行与持续发展提供了坚实的财务保障。</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在教学投入方面，我校本年度加大了对教学资源的投入力度，包括教学设备购置、教学科研项目资助等。这些投入有效提升了教学质量与效率，促进了学生综合素质的全面发展。通过开展多样化的教学活动与教学方法创新，我们取得了显著的教学成效，学生学业成绩稳步提升，教学满意度显著提高。</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师资队伍建设是学校发展的关键。本年度，我校在预算中安排了专项资金用于教师培训等方面。通过组织各类培训活动、参与学术交流与合作、实施绩效考核与奖励机制等措施，我们不断提升了教师队伍的整体素质与教学能力。同时，我们还注重青年教师的培养与发展，为他们提供了更多的成长机会与平台。</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作为义务教育学校，我们始终坚持教育公平的原则，积极落实国家与地方的各项学生资助政策。本年度，我校在预算中专项安排了学生资助与福利资金，用于贫困学生资助、奖学金发放、学生活动经费等。通过这些措施，我们有效保障了所有学生的受教育权利，促进了学生的健康成长与全面发展。</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良好的校园环境与教学设施是提升教学质量的重要保障。本年度，我校在预算中加大了对校园建设与设施改善的投入力度，包括校园绿化美化、教学楼修缮、实验室建设等。通过这些投入，我们进一步提升了学校的办学条件与环境质量，为学生提供了更加舒适、安全、便捷的学习与生活环境。</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财务合规与透明度是学校财务管理的基石。本年度，我校严格遵守国家财经法规与财务管理制度要求，加强了对预算执行的监督与审计力度。通过建立健全内部控制机制、加强财务管理人员培训等措施提高了财务管理的规范性与透明度。同时我们还积极推行财务信息公开制度主动接受师生及社会各界的监督与评议。</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社会满意度是衡量学校办学质量的重要标尺之一。本年度我校通过家长委员会、社区调研等方式广泛收集了社会各界的意见与建议。从反馈结果来看我校在教育教学质量、师资队伍建设、学生资助、校园环境建设等方面均得到了较高的评价。同时我们也认真分析了存在的问题与不足并制定了相应的改进措施与计划。</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综上所述本年度我校在预算整体支出绩效方面取得了显著成效但也存在一些需要改进的地方。未来我们将继续坚持问题导向与目标导向相结合的原则不断完善预算管理机制与绩效评价体系努力提升预算资金使用效率与效果为学校的持续发展与进步提供更加坚实的财务保障。</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（三）存在的问题及原因分析。</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在学校的年度预算绩效管理工作中，虽然取得了一定的成绩，但仍存在一些不容忽视的问题。这些问题不仅影响了预算资金的有效使用，也制约了学校整体绩效的提升。以下是对这些问题及其原因的分析。</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1、管理理念落后</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问题描述：部分学校管理层对预算绩效管理的认识还停留在传统的资金分配与使用层面，缺乏以绩效为导向的管理理念。这导致预算管理过程中，重分配轻管理、重投入轻产出的现象较为普遍。</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原因分析：管理层对绩效管理的重视程度不够，未能充分认识到预算绩效管理在提升学校管理效能、促进资源优化配置方面的重要作用。同时，缺乏先进的管理理念引导，使得预算管理工作难以跟上时代发展的步伐。</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2、执行监控不力</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问题描述：预算执行过程中，缺乏有效的监控机制，导致预算资金的使用情况难以及时掌握，存在资金挪用、浪费等现象。</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原因分析：监控手段单一，主要依靠财务部门的定期报表分析，难以实现对预算执行全过程的实时监控；同时，监控责任不明确，各部门之间推诿扯皮，导致监控工作难以有效开展。</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3、结果应用不足</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问题描述：预算绩效评价结果未能得到充分利用，评价结果对预算管理工作的指导作用有限。</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原因分析：学校对绩效评价结果的重视程度不够，未能将评价结果作为预算调整、资金分配和项目优化的重要依据；同时，缺乏相应的激励机制和问责机制，使得绩效评价工作难以发挥应有的作用。</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针对以上问题及其原因，学校应采取有效措施加以改进和完善。具体包括：更新管理理念、完善执行监控机制、建立健全评价体系、强化结果应用以及明确责任划分与考核问责等。通过这些措施的实施，将有助于提升学校年度预算绩效管理的水平和效果。</w:t>
      </w: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p>
    <w:p>
      <w:pPr>
        <w:pStyle w:val="13"/>
        <w:numPr>
          <w:ilvl w:val="0"/>
          <w:numId w:val="0"/>
        </w:numPr>
        <w:overflowPunct w:val="0"/>
        <w:autoSpaceDE/>
        <w:autoSpaceDN/>
        <w:spacing w:line="600" w:lineRule="exact"/>
        <w:jc w:val="both"/>
        <w:rPr>
          <w:rFonts w:hint="eastAsia" w:ascii="Times New Roman" w:hAnsi="Times New Roman" w:eastAsia="仿宋_GB2312" w:cs="Times New Roman"/>
          <w:color w:val="000000"/>
          <w:kern w:val="0"/>
          <w:sz w:val="32"/>
          <w:szCs w:val="32"/>
          <w:lang w:val="en-US" w:eastAsia="zh-CN" w:bidi="ar-SA"/>
        </w:rPr>
      </w:pPr>
    </w:p>
    <w:p>
      <w:pPr>
        <w:pStyle w:val="13"/>
        <w:jc w:val="both"/>
        <w:rPr>
          <w:rFonts w:ascii="Times New Roman" w:hAnsi="Times New Roman" w:cs="Times New Roman"/>
          <w:sz w:val="72"/>
          <w:szCs w:val="72"/>
        </w:rPr>
      </w:pPr>
    </w:p>
    <w:p>
      <w:pPr>
        <w:pStyle w:val="13"/>
        <w:spacing w:line="360" w:lineRule="auto"/>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第四部分    名词解释</w:t>
      </w:r>
      <w:r>
        <w:commentReference w:id="9"/>
      </w:r>
    </w:p>
    <w:p>
      <w:pPr>
        <w:widowControl/>
        <w:jc w:val="left"/>
        <w:rPr>
          <w:rFonts w:ascii="Times New Roman" w:hAnsi="Times New Roman" w:cs="Times New Roman"/>
          <w:color w:val="000000"/>
          <w:kern w:val="0"/>
          <w:sz w:val="32"/>
          <w:szCs w:val="32"/>
        </w:rPr>
      </w:pP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财政拨款收入：指本级财政当年拨付的资金。</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政府性基金预算财政拨款收入：指本级财政当年拨付的政府性基金预算资金。</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事业收入：指事业单位开展专业业务活动及辅助活动所取得的收入。结余分配：指事业单位按规定对非财政补助结余资金提取的职工福利基金、事业基金和缴纳的所得税，以及减少单位按规定应缴回的基本建设竣工项目结余资金。教育支出（类）：是指用于政府教育事务支出，包括保障机构正常运转、完成日常和特定的工作任务或事业发展目标的支出。其他支出（类）：是指用于反映除上述项目以外其他不能划分到具体功能科目中的支出项目，包括保障机构正常运转、完成日常和特定的工作任务或事业发展目标的支出。基本支出：指保障机构正常运转、完成支日常工作任务而发生的人员支出和公用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项目支出：指在基本支出之外为完成特定行政任务和事业发展目标所发生的支出。“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工资福利支出：反映单位开支的在职职工和编制外长期聘用人员的各类劳动报酬，以及为上述人员缴纳的各项社会保险费等。</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绩效工资：反映事业单位工作人员的绩效工资。</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机关事业单位基本养老保险缴费：反映机关事业单位缴纳的基本养老保险费。由单位代扣的工作人员基本养老保险缴费，不在此科目反映。职工基本医疗保险缴费：反映单位为职工缴纳的基本医疗保险费。其他社会保障缴费：反映单位为职工缴纳的基本医疗、失业、工伤、生育等社会保险费，残疾人就业保障金，军队（含武警）为军人缴纳的伤亡、退役医疗等社会保险费。</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住房公积金：反映行政事业单位按人力资源和社会保障部、财政部规定的基本工资和津贴补贴以及规定比例为职工缴纳的住房公积金。</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商品和服务支出：反映单位购买商品和服务的支出（不包括用于购置固定资产的支出、战略性和应急储备支出）。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办公费：反映单位购买按财务会计制度规定不符合固定资产确认标准的日常办公用品、书报杂志等支出。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印刷费：反映单位的印刷费支出。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水费：反映单位支付的水费、污水处理费等支出。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电费：反映单位的电费支出。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物业管理费：反映单位开支的办公用房以及未实行职工住宅物业服务改革的在职职工和离退休人员宿舍等的物业管理费，包括综合治理、绿化、卫生等方面的支出。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差旅费：反映单位工作人员出差发生的城市间交通费、住宿费、伙食补贴费和市内交通费。维修(护)费：反映单位日常开支的固定资产（不包括车船等交通工具）修理和维护费用，网络信息系统运行与维护费用，以及按规定提取的修购基金。会议费：反映会议中按规定开支的住宿费、伙食费、会议室租金、交通费、文件印刷费、医药费等。</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培训费：反映除因公出国（境）培训费以外的各类培训支出。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公务接待费：反映单位按规定开支的各类公务接待（含外宾接待）费用。</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劳务费：反映支付给单位和个人的劳务费用，如临时聘用人员、钟点工工资，稿费、翻译费，评审费等。工会经费：反映单位按规定提取的工会经费。</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福利费：反映单位按规定提取的福利费。其他交通费用：反映单位除公务用车运行维护费以外的其他交通费用。如公务交通补贴，租车费用、出租车费用，飞机、船舶等的燃料费、维修费、保险费等。其他商品和服务支出：反映上述科目未包括的日常公用支出。如行政赔偿费和诉讼费、国内组织的会员费、来访费、广告宣传、其他劳务费及离休人员特需费、公用经费等。</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对个人和家庭的补助：反映政府用于对个人和家庭的补助支出。助学金：反映各类学校学生助学金、奖学金、学生贷款、出国留学（实习）人员生活费，青少年业余体校学员伙食补助费和生活费补贴，按照协议由我方负担或享受我方奖学金的来华留学生、进修生生活费等。</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奖励金：反映政府各部门的奖励支出，如对个体私营经济的奖励、计划生育目标责任奖励、独生子女父母奖励等。</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其他对个人和家庭的补助支出：反映未包括在上述科目的对个人和家庭的补助支出，</w:t>
      </w:r>
    </w:p>
    <w:p>
      <w:pPr>
        <w:keepNext/>
        <w:keepLines/>
        <w:spacing w:beforeLines="0" w:afterLines="0"/>
        <w:ind w:firstLine="64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Pr>
        <w:keepNext/>
        <w:keepLines/>
        <w:spacing w:beforeLines="0" w:afterLines="0"/>
        <w:ind w:firstLine="640"/>
        <w:rPr>
          <w:rFonts w:hint="eastAsia" w:ascii="宋体" w:hAnsi="宋体"/>
          <w:color w:val="auto"/>
          <w:sz w:val="28"/>
          <w:highlight w:val="white"/>
          <w:lang w:val="en-US"/>
        </w:rPr>
      </w:pPr>
    </w:p>
    <w:p>
      <w:pPr>
        <w:pStyle w:val="13"/>
        <w:jc w:val="center"/>
        <w:rPr>
          <w:rFonts w:ascii="Times New Roman" w:hAnsi="Times New Roman" w:cs="Times New Roman"/>
          <w:sz w:val="72"/>
          <w:szCs w:val="72"/>
        </w:rPr>
      </w:pPr>
    </w:p>
    <w:p>
      <w:pPr>
        <w:pStyle w:val="13"/>
        <w:spacing w:line="360" w:lineRule="auto"/>
        <w:ind w:firstLine="2600" w:firstLineChars="500"/>
        <w:jc w:val="both"/>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第五部分   附 件</w:t>
      </w:r>
    </w:p>
    <w:p>
      <w:pPr>
        <w:rPr>
          <w:rFonts w:ascii="Times New Roman" w:hAnsi="Times New Roman" w:cs="Times New Roman"/>
          <w:sz w:val="72"/>
          <w:szCs w:val="72"/>
        </w:rPr>
      </w:pPr>
    </w:p>
    <w:p>
      <w:pPr>
        <w:pStyle w:val="13"/>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一、</w:t>
      </w:r>
      <w:r>
        <w:rPr>
          <w:rFonts w:ascii="Times New Roman" w:hAnsi="Times New Roman" w:eastAsia="仿宋_GB2312" w:cs="Times New Roman"/>
          <w:sz w:val="32"/>
          <w:szCs w:val="32"/>
        </w:rPr>
        <w:t>2024年度部门(单位)整体支出绩效自评报告。</w:t>
      </w:r>
      <w:r>
        <w:commentReference w:id="10"/>
      </w:r>
    </w:p>
    <w:p>
      <w:pPr>
        <w:pStyle w:val="13"/>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pStyle w:val="13"/>
        <w:spacing w:line="600" w:lineRule="exact"/>
        <w:ind w:firstLine="640" w:firstLineChars="200"/>
        <w:rPr>
          <w:rFonts w:ascii="Times New Roman" w:hAnsi="Times New Roman" w:eastAsia="仿宋_GB2312" w:cs="Times New Roman"/>
          <w:sz w:val="32"/>
          <w:szCs w:val="32"/>
        </w:rPr>
      </w:pPr>
    </w:p>
    <w:p>
      <w:pPr>
        <w:pStyle w:val="13"/>
        <w:jc w:val="center"/>
        <w:rPr>
          <w:rFonts w:ascii="Times New Roman" w:hAnsi="Times New Roman" w:cs="Times New Roman"/>
          <w:sz w:val="72"/>
          <w:szCs w:val="72"/>
        </w:rPr>
      </w:pPr>
    </w:p>
    <w:p>
      <w:pPr>
        <w:pStyle w:val="13"/>
        <w:jc w:val="center"/>
        <w:rPr>
          <w:rFonts w:ascii="Times New Roman" w:hAnsi="Times New Roman" w:cs="Times New Roman"/>
          <w:sz w:val="72"/>
          <w:szCs w:val="72"/>
        </w:rPr>
      </w:pPr>
    </w:p>
    <w:p>
      <w:pPr>
        <w:jc w:val="left"/>
        <w:rPr>
          <w:rFonts w:ascii="Times New Roman" w:hAnsi="Times New Roman" w:cs="Times New Roman"/>
          <w:color w:val="000000"/>
          <w:kern w:val="0"/>
          <w:sz w:val="32"/>
          <w:szCs w:val="32"/>
        </w:rPr>
      </w:pPr>
    </w:p>
    <w:sectPr>
      <w:pgSz w:w="11906" w:h="16838"/>
      <w:pgMar w:top="1417" w:right="1588" w:bottom="1417" w:left="1588" w:header="851" w:footer="992" w:gutter="0"/>
      <w:cols w:space="425" w:num="1"/>
      <w:docGrid w:type="linesAndChar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黄熙哲" w:date="2025-08-25T17:22:51Z" w:initials="A">
    <w:p w14:paraId="3FCD2BF1">
      <w:pPr>
        <w:pStyle w:val="3"/>
        <w:rPr>
          <w:rFonts w:hint="eastAsia" w:ascii="Times New Roman" w:eastAsia="宋体"/>
          <w:color w:val="auto"/>
          <w:lang w:val="en-US" w:eastAsia="zh-CN"/>
        </w:rPr>
      </w:pPr>
      <w:r>
        <w:rPr>
          <w:rFonts w:hint="eastAsia" w:ascii="Times New Roman" w:eastAsia="宋体"/>
          <w:color w:val="auto"/>
          <w:lang w:val="en-US" w:eastAsia="zh-CN"/>
        </w:rPr>
        <w:t>本文中所有批注为注意事项，请注意批注内容</w:t>
      </w:r>
    </w:p>
    <w:p w14:paraId="29DB437C">
      <w:pPr>
        <w:pStyle w:val="3"/>
        <w:rPr>
          <w:rFonts w:hint="eastAsia" w:ascii="Times New Roman" w:eastAsia="宋体"/>
          <w:lang w:val="en-US" w:eastAsia="zh-CN"/>
        </w:rPr>
      </w:pPr>
      <w:r>
        <w:rPr>
          <w:rFonts w:hint="eastAsia" w:ascii="Times New Roman" w:eastAsia="宋体"/>
          <w:lang w:val="en-US" w:eastAsia="zh-CN"/>
        </w:rPr>
        <w:t>文中</w:t>
      </w:r>
      <w:r>
        <w:rPr>
          <w:rFonts w:hint="eastAsia" w:ascii="Times New Roman" w:eastAsia="宋体"/>
          <w:highlight w:val="yellow"/>
          <w:lang w:val="en-US" w:eastAsia="zh-CN"/>
        </w:rPr>
        <w:t>标黄内容</w:t>
      </w:r>
      <w:r>
        <w:rPr>
          <w:rFonts w:hint="eastAsia" w:ascii="Times New Roman" w:eastAsia="宋体"/>
          <w:lang w:val="en-US" w:eastAsia="zh-CN"/>
        </w:rPr>
        <w:t>为重点注意内容。</w:t>
      </w:r>
    </w:p>
    <w:p w14:paraId="61CA54F0">
      <w:pPr>
        <w:pStyle w:val="3"/>
        <w:rPr>
          <w:rFonts w:hint="eastAsia" w:ascii="Times New Roman" w:eastAsia="宋体"/>
          <w:lang w:val="en-US" w:eastAsia="zh-CN"/>
        </w:rPr>
      </w:pPr>
      <w:r>
        <w:rPr>
          <w:rFonts w:hint="eastAsia" w:ascii="Times New Roman" w:eastAsia="宋体"/>
          <w:color w:val="FF0000"/>
          <w:lang w:val="en-US" w:eastAsia="zh-CN"/>
        </w:rPr>
        <w:t>标红字部分</w:t>
      </w:r>
      <w:r>
        <w:rPr>
          <w:rFonts w:hint="eastAsia" w:ascii="Times New Roman" w:eastAsia="宋体"/>
          <w:lang w:val="en-US" w:eastAsia="zh-CN"/>
        </w:rPr>
        <w:t>为可删除的解释说明内容。</w:t>
      </w:r>
    </w:p>
    <w:p w14:paraId="12DA56E1">
      <w:pPr>
        <w:pStyle w:val="3"/>
        <w:rPr>
          <w:rFonts w:hint="eastAsia" w:ascii="Times New Roman" w:eastAsia="宋体"/>
          <w:lang w:val="en-US" w:eastAsia="zh-CN"/>
        </w:rPr>
      </w:pPr>
    </w:p>
    <w:p w14:paraId="27DC02A3">
      <w:pPr>
        <w:pStyle w:val="3"/>
        <w:rPr>
          <w:rFonts w:hint="default" w:ascii="Times New Roman" w:eastAsia="宋体"/>
          <w:lang w:val="en-US" w:eastAsia="zh-CN"/>
        </w:rPr>
      </w:pPr>
      <w:r>
        <w:rPr>
          <w:rFonts w:hint="eastAsia" w:ascii="Times New Roman" w:eastAsia="宋体"/>
          <w:lang w:val="en-US" w:eastAsia="zh-CN"/>
        </w:rPr>
        <w:t>删除批注可在本批注右上角下拉框中删除，或者在工具栏中，选择“审阅”-“删除”，点击下拉框，“删除文档中的所有批注”</w:t>
      </w:r>
    </w:p>
    <w:p w14:paraId="14587B66">
      <w:pPr>
        <w:pStyle w:val="3"/>
      </w:pPr>
    </w:p>
  </w:comment>
  <w:comment w:id="1" w:author="黄熙哲" w:date="2025-08-25T17:23:21Z" w:initials="A">
    <w:p w14:paraId="4BF03742">
      <w:pPr>
        <w:pStyle w:val="3"/>
        <w:rPr>
          <w:rFonts w:hint="eastAsia" w:eastAsiaTheme="minorEastAsia"/>
          <w:lang w:eastAsia="zh-CN"/>
        </w:rPr>
      </w:pPr>
      <w:r>
        <w:rPr>
          <w:rFonts w:hint="eastAsia"/>
          <w:lang w:eastAsia="zh-CN"/>
        </w:rPr>
        <w:t>注意修改单位名称</w:t>
      </w:r>
    </w:p>
  </w:comment>
  <w:comment w:id="2" w:author="黄熙哲" w:date="2025-08-25T17:24:09Z" w:initials="A">
    <w:p w14:paraId="01BC0198">
      <w:pPr>
        <w:pStyle w:val="3"/>
      </w:pPr>
      <w:r>
        <w:rPr>
          <w:rFonts w:hint="eastAsia"/>
          <w:lang w:eastAsia="zh-CN"/>
        </w:rPr>
        <w:t>注意，全文保持文字内容与表格数据一致，不允许有</w:t>
      </w:r>
      <w:r>
        <w:rPr>
          <w:rFonts w:hint="eastAsia"/>
          <w:lang w:val="en-US" w:eastAsia="zh-CN"/>
        </w:rPr>
        <w:t>0.01的四舍五入尾差，修改到一致。</w:t>
      </w:r>
    </w:p>
  </w:comment>
  <w:comment w:id="3" w:author="黄熙哲" w:date="2025-08-25T17:25:04Z" w:initials="A">
    <w:p w14:paraId="57BA696B">
      <w:pPr>
        <w:pStyle w:val="3"/>
      </w:pPr>
      <w:r>
        <w:rPr>
          <w:rFonts w:hint="eastAsia"/>
          <w:lang w:eastAsia="zh-CN"/>
        </w:rPr>
        <w:t>请注意标黄部分的内容，不要少写原因。</w:t>
      </w:r>
    </w:p>
  </w:comment>
  <w:comment w:id="4" w:author="黄熙哲" w:date="2025-08-25T17:25:34Z" w:initials="A">
    <w:p w14:paraId="268643A6">
      <w:pPr>
        <w:pStyle w:val="3"/>
      </w:pPr>
      <w:r>
        <w:rPr>
          <w:rFonts w:hint="eastAsia"/>
          <w:lang w:eastAsia="zh-CN"/>
        </w:rPr>
        <w:t>请注意标黄部分的内容，不要少写原因。</w:t>
      </w:r>
    </w:p>
  </w:comment>
  <w:comment w:id="5" w:author="黄熙哲" w:date="2025-08-25T17:26:48Z" w:initials="A">
    <w:p w14:paraId="07EF6868">
      <w:pPr>
        <w:pStyle w:val="3"/>
      </w:pPr>
      <w:r>
        <w:rPr>
          <w:rFonts w:hint="eastAsia"/>
          <w:lang w:eastAsia="zh-CN"/>
        </w:rPr>
        <w:t>请准确选择对比情况为“增加”或者“减少”，不要写成“增加（减少）</w:t>
      </w:r>
      <w:r>
        <w:rPr>
          <w:rFonts w:hint="eastAsia"/>
          <w:lang w:val="en-US" w:eastAsia="zh-CN"/>
        </w:rPr>
        <w:t>2</w:t>
      </w:r>
      <w:r>
        <w:rPr>
          <w:rFonts w:hint="eastAsia"/>
          <w:lang w:eastAsia="zh-CN"/>
        </w:rPr>
        <w:t>万元”此类格式。</w:t>
      </w:r>
    </w:p>
  </w:comment>
  <w:comment w:id="6" w:author="黄熙哲" w:date="2025-08-25T17:31:33Z" w:initials="A">
    <w:p w14:paraId="632B4BC6">
      <w:pPr>
        <w:pStyle w:val="3"/>
        <w:rPr>
          <w:rFonts w:hint="eastAsia"/>
          <w:lang w:val="en-US" w:eastAsia="zh-CN"/>
        </w:rPr>
      </w:pPr>
      <w:r>
        <w:rPr>
          <w:rFonts w:hint="eastAsia"/>
          <w:lang w:eastAsia="zh-CN"/>
        </w:rPr>
        <w:t>年初预算请按本单位年初预算数填写，可参考“</w:t>
      </w:r>
      <w:r>
        <w:rPr>
          <w:rFonts w:hint="eastAsia"/>
          <w:lang w:val="en-US" w:eastAsia="zh-CN"/>
        </w:rPr>
        <w:t>2024年部门预算表</w:t>
      </w:r>
      <w:r>
        <w:rPr>
          <w:rFonts w:hint="eastAsia"/>
          <w:lang w:eastAsia="zh-CN"/>
        </w:rPr>
        <w:t>”或者</w:t>
      </w:r>
      <w:r>
        <w:rPr>
          <w:rFonts w:hint="eastAsia"/>
          <w:lang w:val="en-US" w:eastAsia="zh-CN"/>
        </w:rPr>
        <w:t>2024年部门预算公开内容填写。</w:t>
      </w:r>
    </w:p>
    <w:p w14:paraId="6FB555B1">
      <w:pPr>
        <w:pStyle w:val="3"/>
        <w:rPr>
          <w:rFonts w:hint="eastAsia"/>
          <w:lang w:val="en-US" w:eastAsia="zh-CN"/>
        </w:rPr>
      </w:pPr>
    </w:p>
    <w:p w14:paraId="0C1F39D5">
      <w:pPr>
        <w:pStyle w:val="3"/>
      </w:pPr>
      <w:r>
        <w:rPr>
          <w:rFonts w:hint="eastAsia"/>
          <w:lang w:val="en-US" w:eastAsia="zh-CN"/>
        </w:rPr>
        <w:t>如年初预算为0，完成年初预算的XX%，请参考：由于年初预算为0，无法计算百分比。</w:t>
      </w:r>
    </w:p>
  </w:comment>
  <w:comment w:id="7" w:author="黄熙哲" w:date="2025-08-25T17:32:36Z" w:initials="A">
    <w:p w14:paraId="705857B1">
      <w:pPr>
        <w:pStyle w:val="3"/>
        <w:rPr>
          <w:rFonts w:hint="eastAsia"/>
        </w:rPr>
      </w:pPr>
      <w:r>
        <w:rPr>
          <w:rFonts w:hint="eastAsia"/>
          <w:lang w:eastAsia="zh-CN"/>
        </w:rPr>
        <w:t>可参考公开表格中的</w:t>
      </w:r>
      <w:r>
        <w:rPr>
          <w:rFonts w:hint="eastAsia"/>
          <w:lang w:val="en-US" w:eastAsia="zh-CN"/>
        </w:rPr>
        <w:t xml:space="preserve"> </w:t>
      </w:r>
      <w:r>
        <w:rPr>
          <w:rFonts w:hint="eastAsia"/>
          <w:lang w:eastAsia="zh-CN"/>
        </w:rPr>
        <w:t>“</w:t>
      </w:r>
      <w:r>
        <w:rPr>
          <w:rFonts w:hint="eastAsia"/>
        </w:rPr>
        <w:t>Z07 一般公共预算财政拨款支出决算表</w:t>
      </w:r>
      <w:r>
        <w:rPr>
          <w:rFonts w:hint="eastAsia" w:eastAsia="宋体"/>
          <w:lang w:eastAsia="zh-CN"/>
        </w:rPr>
        <w:t>”中的内容。</w:t>
      </w:r>
    </w:p>
    <w:p w14:paraId="3F332C3D">
      <w:pPr>
        <w:pStyle w:val="3"/>
        <w:rPr>
          <w:rFonts w:hint="eastAsia" w:eastAsiaTheme="minorEastAsia"/>
          <w:lang w:eastAsia="zh-CN"/>
        </w:rPr>
      </w:pPr>
      <w:r>
        <w:rPr>
          <w:rFonts w:hint="eastAsia"/>
          <w:lang w:eastAsia="zh-CN"/>
        </w:rPr>
        <w:t>例如：</w:t>
      </w:r>
    </w:p>
    <w:p w14:paraId="593E69CD">
      <w:pPr>
        <w:pStyle w:val="3"/>
        <w:rPr>
          <w:rFonts w:hint="eastAsia" w:eastAsiaTheme="minorEastAsia"/>
          <w:lang w:eastAsia="zh-CN"/>
        </w:rPr>
      </w:pPr>
      <w:r>
        <w:rPr>
          <w:rFonts w:hint="eastAsia"/>
        </w:rPr>
        <w:t>201</w:t>
      </w:r>
      <w:r>
        <w:rPr>
          <w:rFonts w:hint="eastAsia"/>
          <w:lang w:val="en-US" w:eastAsia="zh-CN"/>
        </w:rPr>
        <w:t xml:space="preserve">   </w:t>
      </w:r>
      <w:r>
        <w:rPr>
          <w:rFonts w:hint="eastAsia"/>
        </w:rPr>
        <w:t>一般公共服务支出</w:t>
      </w:r>
      <w:r>
        <w:rPr>
          <w:rFonts w:hint="eastAsia"/>
          <w:color w:val="FF0000"/>
          <w:lang w:eastAsia="zh-CN"/>
        </w:rPr>
        <w:t>（类）</w:t>
      </w:r>
    </w:p>
    <w:p w14:paraId="2321301C">
      <w:pPr>
        <w:pStyle w:val="3"/>
        <w:rPr>
          <w:rFonts w:hint="eastAsia" w:eastAsiaTheme="minorEastAsia"/>
          <w:lang w:eastAsia="zh-CN"/>
        </w:rPr>
      </w:pPr>
      <w:r>
        <w:rPr>
          <w:rFonts w:hint="eastAsia"/>
        </w:rPr>
        <w:t>20113</w:t>
      </w:r>
      <w:r>
        <w:rPr>
          <w:rFonts w:hint="eastAsia"/>
          <w:lang w:val="en-US" w:eastAsia="zh-CN"/>
        </w:rPr>
        <w:t xml:space="preserve">   </w:t>
      </w:r>
      <w:r>
        <w:rPr>
          <w:rFonts w:hint="eastAsia"/>
        </w:rPr>
        <w:t>商贸事务</w:t>
      </w:r>
      <w:r>
        <w:rPr>
          <w:rFonts w:hint="eastAsia"/>
          <w:color w:val="FF0000"/>
          <w:lang w:eastAsia="zh-CN"/>
        </w:rPr>
        <w:t>（款）</w:t>
      </w:r>
    </w:p>
    <w:p w14:paraId="441D6DA3">
      <w:pPr>
        <w:pStyle w:val="3"/>
        <w:rPr>
          <w:rFonts w:hint="eastAsia"/>
          <w:color w:val="FF0000"/>
          <w:lang w:eastAsia="zh-CN"/>
        </w:rPr>
      </w:pPr>
      <w:r>
        <w:rPr>
          <w:rFonts w:hint="eastAsia"/>
        </w:rPr>
        <w:t>2011308</w:t>
      </w:r>
      <w:r>
        <w:rPr>
          <w:rFonts w:hint="eastAsia"/>
          <w:lang w:val="en-US" w:eastAsia="zh-CN"/>
        </w:rPr>
        <w:t xml:space="preserve">  </w:t>
      </w:r>
      <w:r>
        <w:rPr>
          <w:rFonts w:hint="eastAsia"/>
        </w:rPr>
        <w:t>招商引资</w:t>
      </w:r>
      <w:r>
        <w:rPr>
          <w:rFonts w:hint="eastAsia"/>
          <w:color w:val="FF0000"/>
          <w:lang w:eastAsia="zh-CN"/>
        </w:rPr>
        <w:t>（项）</w:t>
      </w:r>
    </w:p>
    <w:p w14:paraId="45657CA3">
      <w:pPr>
        <w:pStyle w:val="3"/>
      </w:pPr>
      <w:r>
        <w:rPr>
          <w:rFonts w:hint="eastAsia"/>
          <w:lang w:val="en-US" w:eastAsia="zh-CN"/>
        </w:rPr>
        <w:t xml:space="preserve"> 即：</w:t>
      </w:r>
      <w:r>
        <w:rPr>
          <w:rFonts w:hint="eastAsia"/>
          <w:color w:val="auto"/>
        </w:rPr>
        <w:t>一般公共服务支出</w:t>
      </w:r>
      <w:r>
        <w:rPr>
          <w:rFonts w:hint="eastAsia"/>
          <w:color w:val="auto"/>
          <w:lang w:eastAsia="zh-CN"/>
        </w:rPr>
        <w:t>（类）</w:t>
      </w:r>
      <w:r>
        <w:rPr>
          <w:rFonts w:hint="eastAsia"/>
          <w:color w:val="auto"/>
        </w:rPr>
        <w:t>商贸事务</w:t>
      </w:r>
      <w:r>
        <w:rPr>
          <w:rFonts w:hint="eastAsia" w:eastAsia="宋体"/>
          <w:color w:val="auto"/>
          <w:lang w:eastAsia="zh-CN"/>
        </w:rPr>
        <w:t>（款）</w:t>
      </w:r>
      <w:r>
        <w:rPr>
          <w:rFonts w:hint="eastAsia" w:ascii="Times New Roman" w:eastAsia="宋体"/>
          <w:color w:val="auto"/>
          <w:lang w:val="en-US" w:eastAsia="zh-CN"/>
        </w:rPr>
        <w:t xml:space="preserve"> </w:t>
      </w:r>
      <w:r>
        <w:rPr>
          <w:rFonts w:hint="eastAsia"/>
          <w:color w:val="auto"/>
        </w:rPr>
        <w:t>招商引资</w:t>
      </w:r>
      <w:r>
        <w:rPr>
          <w:rFonts w:hint="eastAsia" w:eastAsia="宋体"/>
          <w:color w:val="auto"/>
          <w:lang w:eastAsia="zh-CN"/>
        </w:rPr>
        <w:t>（项）</w:t>
      </w:r>
    </w:p>
  </w:comment>
  <w:comment w:id="8" w:author="黄熙哲" w:date="2025-08-27T16:13:43Z" w:initials="A">
    <w:p w14:paraId="016B618F">
      <w:pPr>
        <w:pStyle w:val="3"/>
        <w:rPr>
          <w:rFonts w:hint="default" w:eastAsiaTheme="minorEastAsia"/>
          <w:lang w:val="en-US" w:eastAsia="zh-CN"/>
        </w:rPr>
      </w:pPr>
      <w:r>
        <w:rPr>
          <w:rFonts w:hint="eastAsia"/>
          <w:lang w:val="en-US" w:eastAsia="zh-CN"/>
        </w:rPr>
        <w:t>该段为今年新增内容，请各单位按2024年实际发生数据填写。</w:t>
      </w:r>
    </w:p>
  </w:comment>
  <w:comment w:id="9" w:author="黄熙哲" w:date="2025-08-26T07:50:33Z" w:initials="A">
    <w:p w14:paraId="0A4F7DBC">
      <w:pPr>
        <w:pStyle w:val="3"/>
      </w:pPr>
      <w:r>
        <w:rPr>
          <w:rFonts w:hint="eastAsia"/>
          <w:lang w:eastAsia="zh-CN"/>
        </w:rPr>
        <w:t>此处内容务必要有，请参考往年决算公开内容或者财政生成数据内容。</w:t>
      </w:r>
    </w:p>
  </w:comment>
  <w:comment w:id="10" w:author="黄熙哲" w:date="2025-08-26T08:01:13Z" w:initials="A">
    <w:p w14:paraId="29166074">
      <w:pPr>
        <w:pStyle w:val="3"/>
      </w:pPr>
      <w:r>
        <w:rPr>
          <w:rFonts w:hint="eastAsia"/>
          <w:lang w:eastAsia="zh-CN"/>
        </w:rPr>
        <w:t>单位无需上报，财政以绩效股数据为准。</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4587B66" w15:done="0"/>
  <w15:commentEx w15:paraId="4BF03742" w15:done="0"/>
  <w15:commentEx w15:paraId="01BC0198" w15:done="0"/>
  <w15:commentEx w15:paraId="57BA696B" w15:done="0"/>
  <w15:commentEx w15:paraId="268643A6" w15:done="0"/>
  <w15:commentEx w15:paraId="07EF6868" w15:done="0"/>
  <w15:commentEx w15:paraId="0C1F39D5" w15:done="0"/>
  <w15:commentEx w15:paraId="45657CA3" w15:done="0"/>
  <w15:commentEx w15:paraId="016B618F" w15:done="0"/>
  <w15:commentEx w15:paraId="0A4F7DBC" w15:done="0"/>
  <w15:commentEx w15:paraId="2916607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B3DA3B"/>
    <w:multiLevelType w:val="singleLevel"/>
    <w:tmpl w:val="B0B3DA3B"/>
    <w:lvl w:ilvl="0" w:tentative="0">
      <w:start w:val="1"/>
      <w:numFmt w:val="chineseCounting"/>
      <w:suff w:val="nothing"/>
      <w:lvlText w:val="（%1）"/>
      <w:lvlJc w:val="left"/>
      <w:rPr>
        <w:rFonts w:hint="eastAsia"/>
      </w:rPr>
    </w:lvl>
  </w:abstractNum>
  <w:abstractNum w:abstractNumId="1">
    <w:nsid w:val="D6109BEA"/>
    <w:multiLevelType w:val="singleLevel"/>
    <w:tmpl w:val="D6109BEA"/>
    <w:lvl w:ilvl="0" w:tentative="0">
      <w:start w:val="10"/>
      <w:numFmt w:val="chineseCounting"/>
      <w:suff w:val="nothing"/>
      <w:lvlText w:val="%1、"/>
      <w:lvlJc w:val="left"/>
      <w:rPr>
        <w:rFonts w:hint="eastAsia"/>
      </w:rPr>
    </w:lvl>
  </w:abstractNum>
  <w:abstractNum w:abstractNumId="2">
    <w:nsid w:val="415EA50C"/>
    <w:multiLevelType w:val="singleLevel"/>
    <w:tmpl w:val="415EA50C"/>
    <w:lvl w:ilvl="0" w:tentative="0">
      <w:start w:val="2"/>
      <w:numFmt w:val="chineseCounting"/>
      <w:suff w:val="nothing"/>
      <w:lvlText w:val="（%1）"/>
      <w:lvlJc w:val="left"/>
      <w:rPr>
        <w:rFonts w:hint="eastAsia"/>
      </w:rPr>
    </w:lvl>
  </w:abstractNum>
  <w:abstractNum w:abstractNumId="3">
    <w:nsid w:val="5FA83413"/>
    <w:multiLevelType w:val="singleLevel"/>
    <w:tmpl w:val="5FA83413"/>
    <w:lvl w:ilvl="0" w:tentative="0">
      <w:start w:val="9"/>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熙哲">
    <w15:presenceInfo w15:providerId="None" w15:userId="黄熙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0001A"/>
    <w:rsid w:val="0002229B"/>
    <w:rsid w:val="000273BD"/>
    <w:rsid w:val="0003620C"/>
    <w:rsid w:val="00040CBC"/>
    <w:rsid w:val="000415B7"/>
    <w:rsid w:val="00041E3F"/>
    <w:rsid w:val="00055DAA"/>
    <w:rsid w:val="00061F7B"/>
    <w:rsid w:val="000658A3"/>
    <w:rsid w:val="00074155"/>
    <w:rsid w:val="00080785"/>
    <w:rsid w:val="000A3F69"/>
    <w:rsid w:val="000B20F1"/>
    <w:rsid w:val="000C5742"/>
    <w:rsid w:val="00103957"/>
    <w:rsid w:val="00152C6D"/>
    <w:rsid w:val="00162D39"/>
    <w:rsid w:val="001678BD"/>
    <w:rsid w:val="00182373"/>
    <w:rsid w:val="001A67DB"/>
    <w:rsid w:val="001B67D1"/>
    <w:rsid w:val="001C3C29"/>
    <w:rsid w:val="001D2B79"/>
    <w:rsid w:val="001D51E5"/>
    <w:rsid w:val="001E080D"/>
    <w:rsid w:val="001E53D0"/>
    <w:rsid w:val="001F0C3B"/>
    <w:rsid w:val="00202C82"/>
    <w:rsid w:val="00214427"/>
    <w:rsid w:val="00220689"/>
    <w:rsid w:val="00221AFD"/>
    <w:rsid w:val="00226CB7"/>
    <w:rsid w:val="00252450"/>
    <w:rsid w:val="00264552"/>
    <w:rsid w:val="00264EF9"/>
    <w:rsid w:val="00265724"/>
    <w:rsid w:val="0027426B"/>
    <w:rsid w:val="00296D60"/>
    <w:rsid w:val="002E0A30"/>
    <w:rsid w:val="0030077D"/>
    <w:rsid w:val="003130C4"/>
    <w:rsid w:val="00316C4B"/>
    <w:rsid w:val="0032192B"/>
    <w:rsid w:val="0033283E"/>
    <w:rsid w:val="003479BD"/>
    <w:rsid w:val="0037197D"/>
    <w:rsid w:val="003768D5"/>
    <w:rsid w:val="003926B9"/>
    <w:rsid w:val="003C2E17"/>
    <w:rsid w:val="003C47E6"/>
    <w:rsid w:val="003C4FC2"/>
    <w:rsid w:val="00401F9A"/>
    <w:rsid w:val="00416E61"/>
    <w:rsid w:val="0042790C"/>
    <w:rsid w:val="004506F9"/>
    <w:rsid w:val="00462315"/>
    <w:rsid w:val="004717A2"/>
    <w:rsid w:val="00473DF3"/>
    <w:rsid w:val="00487911"/>
    <w:rsid w:val="00490F48"/>
    <w:rsid w:val="00491741"/>
    <w:rsid w:val="004B0CEE"/>
    <w:rsid w:val="004C2A0A"/>
    <w:rsid w:val="004F5EFB"/>
    <w:rsid w:val="00500E5F"/>
    <w:rsid w:val="005122EF"/>
    <w:rsid w:val="0051441A"/>
    <w:rsid w:val="00517C33"/>
    <w:rsid w:val="00517D5F"/>
    <w:rsid w:val="00523644"/>
    <w:rsid w:val="0054069E"/>
    <w:rsid w:val="00544866"/>
    <w:rsid w:val="00552A3D"/>
    <w:rsid w:val="00574CC8"/>
    <w:rsid w:val="005767CC"/>
    <w:rsid w:val="00590D9F"/>
    <w:rsid w:val="00595D26"/>
    <w:rsid w:val="005A74E6"/>
    <w:rsid w:val="005B404E"/>
    <w:rsid w:val="005D4D55"/>
    <w:rsid w:val="005E0E6C"/>
    <w:rsid w:val="005E2CFB"/>
    <w:rsid w:val="005F2103"/>
    <w:rsid w:val="005F3D1C"/>
    <w:rsid w:val="005F4189"/>
    <w:rsid w:val="006171EE"/>
    <w:rsid w:val="0062378F"/>
    <w:rsid w:val="00641842"/>
    <w:rsid w:val="00651EEC"/>
    <w:rsid w:val="00686673"/>
    <w:rsid w:val="00691E8C"/>
    <w:rsid w:val="006A22C4"/>
    <w:rsid w:val="006A351B"/>
    <w:rsid w:val="006B0422"/>
    <w:rsid w:val="006C1B53"/>
    <w:rsid w:val="006D7730"/>
    <w:rsid w:val="006E5284"/>
    <w:rsid w:val="006F3EB5"/>
    <w:rsid w:val="006F56C8"/>
    <w:rsid w:val="00702E34"/>
    <w:rsid w:val="00704395"/>
    <w:rsid w:val="00710FE7"/>
    <w:rsid w:val="00717621"/>
    <w:rsid w:val="00720FF1"/>
    <w:rsid w:val="00727A53"/>
    <w:rsid w:val="007502DE"/>
    <w:rsid w:val="00787B42"/>
    <w:rsid w:val="007C4539"/>
    <w:rsid w:val="007F3657"/>
    <w:rsid w:val="00810F0C"/>
    <w:rsid w:val="00811AA2"/>
    <w:rsid w:val="00812ED5"/>
    <w:rsid w:val="008277D9"/>
    <w:rsid w:val="0084478C"/>
    <w:rsid w:val="0086638C"/>
    <w:rsid w:val="008764FA"/>
    <w:rsid w:val="008A1079"/>
    <w:rsid w:val="008A3E8D"/>
    <w:rsid w:val="008A5055"/>
    <w:rsid w:val="008D17F4"/>
    <w:rsid w:val="009237C4"/>
    <w:rsid w:val="00944C48"/>
    <w:rsid w:val="00950252"/>
    <w:rsid w:val="00967F5D"/>
    <w:rsid w:val="009A0F95"/>
    <w:rsid w:val="009B3ADF"/>
    <w:rsid w:val="009C31C5"/>
    <w:rsid w:val="009C3B52"/>
    <w:rsid w:val="009E6817"/>
    <w:rsid w:val="009E6E9A"/>
    <w:rsid w:val="00A01D2B"/>
    <w:rsid w:val="00A1392A"/>
    <w:rsid w:val="00A42218"/>
    <w:rsid w:val="00A70249"/>
    <w:rsid w:val="00A70B02"/>
    <w:rsid w:val="00A71D9F"/>
    <w:rsid w:val="00A92E9F"/>
    <w:rsid w:val="00AB18FF"/>
    <w:rsid w:val="00B26269"/>
    <w:rsid w:val="00B33BEA"/>
    <w:rsid w:val="00B57C9F"/>
    <w:rsid w:val="00B63572"/>
    <w:rsid w:val="00B845B3"/>
    <w:rsid w:val="00B85D8B"/>
    <w:rsid w:val="00BB4A40"/>
    <w:rsid w:val="00BD6022"/>
    <w:rsid w:val="00BD6C3E"/>
    <w:rsid w:val="00BE3674"/>
    <w:rsid w:val="00C10681"/>
    <w:rsid w:val="00C10822"/>
    <w:rsid w:val="00C15C89"/>
    <w:rsid w:val="00C27C0D"/>
    <w:rsid w:val="00C3049A"/>
    <w:rsid w:val="00C31B1E"/>
    <w:rsid w:val="00C32F2E"/>
    <w:rsid w:val="00C73888"/>
    <w:rsid w:val="00C77645"/>
    <w:rsid w:val="00CE04C3"/>
    <w:rsid w:val="00CE34BE"/>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4CD152C"/>
    <w:rsid w:val="04F33787"/>
    <w:rsid w:val="06BA0193"/>
    <w:rsid w:val="07B963BF"/>
    <w:rsid w:val="0A8B5560"/>
    <w:rsid w:val="0BC31300"/>
    <w:rsid w:val="0DE5033D"/>
    <w:rsid w:val="0F7F5353"/>
    <w:rsid w:val="125377CF"/>
    <w:rsid w:val="155F695D"/>
    <w:rsid w:val="158D551D"/>
    <w:rsid w:val="18760252"/>
    <w:rsid w:val="1B9A0B22"/>
    <w:rsid w:val="1C8A6A32"/>
    <w:rsid w:val="1D5A3658"/>
    <w:rsid w:val="1D97DEFF"/>
    <w:rsid w:val="1DFF72E5"/>
    <w:rsid w:val="1EFB4816"/>
    <w:rsid w:val="1EFC6F07"/>
    <w:rsid w:val="25D02D9C"/>
    <w:rsid w:val="26984D5E"/>
    <w:rsid w:val="28BB22C6"/>
    <w:rsid w:val="2A554350"/>
    <w:rsid w:val="2FAD0853"/>
    <w:rsid w:val="2FDF85B8"/>
    <w:rsid w:val="2FFFEE04"/>
    <w:rsid w:val="32152A25"/>
    <w:rsid w:val="34DF85B0"/>
    <w:rsid w:val="396A5066"/>
    <w:rsid w:val="3B8F36BC"/>
    <w:rsid w:val="3C932A3D"/>
    <w:rsid w:val="3F3A4104"/>
    <w:rsid w:val="449405F9"/>
    <w:rsid w:val="46052353"/>
    <w:rsid w:val="491FF225"/>
    <w:rsid w:val="49733D2C"/>
    <w:rsid w:val="4F094176"/>
    <w:rsid w:val="4FFD214C"/>
    <w:rsid w:val="54AB2865"/>
    <w:rsid w:val="5777D4F5"/>
    <w:rsid w:val="5934586C"/>
    <w:rsid w:val="59DD8326"/>
    <w:rsid w:val="5A6F3727"/>
    <w:rsid w:val="5AA81C33"/>
    <w:rsid w:val="5C125416"/>
    <w:rsid w:val="5D0B2104"/>
    <w:rsid w:val="5DEF592A"/>
    <w:rsid w:val="5E0F4699"/>
    <w:rsid w:val="5F155949"/>
    <w:rsid w:val="5F4C305F"/>
    <w:rsid w:val="5FB90B72"/>
    <w:rsid w:val="5FC6BB1E"/>
    <w:rsid w:val="5FF720F1"/>
    <w:rsid w:val="632F2825"/>
    <w:rsid w:val="63AB3AFB"/>
    <w:rsid w:val="67FF5C0B"/>
    <w:rsid w:val="69862DB2"/>
    <w:rsid w:val="6EFC0924"/>
    <w:rsid w:val="6FB74722"/>
    <w:rsid w:val="6FEF8B7E"/>
    <w:rsid w:val="71A6591B"/>
    <w:rsid w:val="73132C19"/>
    <w:rsid w:val="737D59BA"/>
    <w:rsid w:val="7478668F"/>
    <w:rsid w:val="75CB398C"/>
    <w:rsid w:val="77C37683"/>
    <w:rsid w:val="793F5A08"/>
    <w:rsid w:val="79D19834"/>
    <w:rsid w:val="79FF515B"/>
    <w:rsid w:val="7C3B4F0E"/>
    <w:rsid w:val="7E9E1962"/>
    <w:rsid w:val="7E9F11B4"/>
    <w:rsid w:val="7F37EC1E"/>
    <w:rsid w:val="7F7DCD9D"/>
    <w:rsid w:val="7F970A6F"/>
    <w:rsid w:val="7FC1FFF3"/>
    <w:rsid w:val="7FC69637"/>
    <w:rsid w:val="7FDF8620"/>
    <w:rsid w:val="7FE8C8F7"/>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1"/>
    <w:semiHidden/>
    <w:qFormat/>
    <w:uiPriority w:val="0"/>
    <w:pPr>
      <w:snapToGrid w:val="0"/>
      <w:jc w:val="left"/>
    </w:pPr>
    <w:rPr>
      <w:sz w:val="18"/>
      <w:szCs w:val="18"/>
    </w:rPr>
  </w:style>
  <w:style w:type="paragraph" w:styleId="3">
    <w:name w:val="annotation text"/>
    <w:basedOn w:val="1"/>
    <w:semiHidden/>
    <w:unhideWhenUsed/>
    <w:qFormat/>
    <w:uiPriority w:val="99"/>
    <w:pPr>
      <w:jc w:val="left"/>
    </w:pPr>
  </w:style>
  <w:style w:type="paragraph" w:styleId="4">
    <w:name w:val="Body Text Indent"/>
    <w:basedOn w:val="1"/>
    <w:next w:val="5"/>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2"/>
    <w:basedOn w:val="4"/>
    <w:next w:val="1"/>
    <w:unhideWhenUsed/>
    <w:qFormat/>
    <w:uiPriority w:val="99"/>
    <w:pPr>
      <w:ind w:firstLine="420" w:firstLineChars="200"/>
    </w:pPr>
  </w:style>
  <w:style w:type="paragraph" w:styleId="6">
    <w:name w:val="Balloon Text"/>
    <w:basedOn w:val="1"/>
    <w:link w:val="15"/>
    <w:semiHidden/>
    <w:unhideWhenUsed/>
    <w:qFormat/>
    <w:uiPriority w:val="99"/>
    <w:rPr>
      <w:sz w:val="18"/>
      <w:szCs w:val="18"/>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10"/>
    <w:link w:val="8"/>
    <w:qFormat/>
    <w:uiPriority w:val="99"/>
    <w:rPr>
      <w:sz w:val="18"/>
      <w:szCs w:val="18"/>
    </w:rPr>
  </w:style>
  <w:style w:type="character" w:customStyle="1" w:styleId="12">
    <w:name w:val="页脚 Char"/>
    <w:basedOn w:val="10"/>
    <w:link w:val="7"/>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6"/>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4388</Words>
  <Characters>4975</Characters>
  <Lines>69</Lines>
  <Paragraphs>19</Paragraphs>
  <TotalTime>5</TotalTime>
  <ScaleCrop>false</ScaleCrop>
  <LinksUpToDate>false</LinksUpToDate>
  <CharactersWithSpaces>5005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2025-08-18T10:17:00Z</dcterms:created>
  <dc:creator>李航 null</dc:creator>
  <cp:lastModifiedBy>Administrator</cp:lastModifiedBy>
  <cp:lastPrinted>2025-08-27T09:41:00Z</cp:lastPrinted>
  <dcterms:modified xsi:type="dcterms:W3CDTF">2025-09-01T02:22:21Z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BB7B6AA21D207914D6FDA268992A22D6</vt:lpwstr>
  </property>
  <property fmtid="{D5CDD505-2E9C-101B-9397-08002B2CF9AE}" pid="4" name="KSOTemplateDocerSaveRecord">
    <vt:lpwstr>eyJoZGlkIjoiZTEzNjJkN2EyNmQxMDMzYjkxNzAwMDVmNGMzZDE5ZjEiLCJ1c2VySWQiOiI3MjkzNzMzOTcifQ==</vt:lpwstr>
  </property>
</Properties>
</file>