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color w:val="auto"/>
          <w:sz w:val="36"/>
          <w:szCs w:val="36"/>
        </w:rPr>
      </w:pPr>
    </w:p>
    <w:p>
      <w:pPr>
        <w:pStyle w:val="2"/>
        <w:rPr>
          <w:color w:val="auto"/>
        </w:rPr>
      </w:pPr>
    </w:p>
    <w:p>
      <w:pPr>
        <w:rPr>
          <w:rFonts w:ascii="仿宋_GB2312" w:hAnsi="仿宋_GB2312" w:eastAsia="仿宋_GB2312" w:cs="仿宋_GB2312"/>
          <w:color w:val="auto"/>
          <w:sz w:val="36"/>
          <w:szCs w:val="36"/>
        </w:rPr>
      </w:pPr>
    </w:p>
    <w:p>
      <w:pPr>
        <w:rPr>
          <w:rFonts w:ascii="仿宋_GB2312" w:hAnsi="仿宋_GB2312" w:eastAsia="仿宋_GB2312" w:cs="仿宋_GB2312"/>
          <w:color w:val="auto"/>
          <w:sz w:val="36"/>
          <w:szCs w:val="36"/>
        </w:rPr>
      </w:pPr>
    </w:p>
    <w:p>
      <w:pPr>
        <w:rPr>
          <w:rFonts w:ascii="仿宋_GB2312" w:hAnsi="仿宋_GB2312" w:eastAsia="仿宋_GB2312" w:cs="仿宋_GB2312"/>
          <w:color w:val="auto"/>
          <w:sz w:val="36"/>
          <w:szCs w:val="36"/>
        </w:rPr>
      </w:pPr>
    </w:p>
    <w:p>
      <w:pPr>
        <w:adjustRightInd w:val="0"/>
        <w:snapToGrid w:val="0"/>
        <w:jc w:val="center"/>
        <w:outlineLvl w:val="0"/>
        <w:rPr>
          <w:rFonts w:ascii="方正小标宋_GBK" w:eastAsia="方正小标宋_GBK"/>
          <w:bCs/>
          <w:color w:val="auto"/>
          <w:sz w:val="72"/>
          <w:szCs w:val="72"/>
        </w:rPr>
      </w:pPr>
      <w:bookmarkStart w:id="0" w:name="_Toc13484"/>
      <w:bookmarkStart w:id="1" w:name="_Toc6730"/>
      <w:bookmarkStart w:id="2" w:name="_Toc14192"/>
      <w:bookmarkStart w:id="3" w:name="_Toc32108"/>
      <w:bookmarkStart w:id="4" w:name="_Toc3192"/>
      <w:bookmarkStart w:id="5" w:name="_Toc13865"/>
      <w:bookmarkStart w:id="6" w:name="_Toc28649"/>
      <w:r>
        <w:rPr>
          <w:rFonts w:hint="eastAsia" w:ascii="方正小标宋_GBK" w:eastAsia="方正小标宋_GBK"/>
          <w:bCs/>
          <w:color w:val="auto"/>
          <w:sz w:val="72"/>
          <w:szCs w:val="72"/>
        </w:rPr>
        <w:t>建设项目环境影响报告表</w:t>
      </w:r>
      <w:bookmarkEnd w:id="0"/>
      <w:bookmarkEnd w:id="1"/>
      <w:bookmarkEnd w:id="2"/>
      <w:bookmarkEnd w:id="3"/>
      <w:bookmarkEnd w:id="4"/>
      <w:bookmarkEnd w:id="5"/>
      <w:bookmarkEnd w:id="6"/>
    </w:p>
    <w:p>
      <w:pPr>
        <w:adjustRightInd w:val="0"/>
        <w:snapToGrid w:val="0"/>
        <w:spacing w:before="192" w:beforeLines="80"/>
        <w:jc w:val="center"/>
        <w:rPr>
          <w:rFonts w:ascii="楷体_GB2312" w:eastAsia="楷体_GB2312"/>
          <w:bCs/>
          <w:color w:val="auto"/>
          <w:sz w:val="48"/>
          <w:szCs w:val="48"/>
        </w:rPr>
      </w:pPr>
      <w:r>
        <w:rPr>
          <w:rFonts w:hint="eastAsia" w:ascii="楷体_GB2312" w:eastAsia="楷体_GB2312"/>
          <w:bCs/>
          <w:color w:val="auto"/>
          <w:sz w:val="48"/>
          <w:szCs w:val="48"/>
        </w:rPr>
        <w:t>（</w:t>
      </w:r>
      <w:r>
        <w:rPr>
          <w:rFonts w:hint="default" w:ascii="楷体_GB2312" w:eastAsia="楷体_GB2312"/>
          <w:bCs/>
          <w:color w:val="auto"/>
          <w:sz w:val="48"/>
          <w:szCs w:val="48"/>
        </w:rPr>
        <w:t>生态</w:t>
      </w:r>
      <w:r>
        <w:rPr>
          <w:rFonts w:hint="eastAsia" w:ascii="楷体_GB2312" w:eastAsia="楷体_GB2312"/>
          <w:bCs/>
          <w:color w:val="auto"/>
          <w:sz w:val="48"/>
          <w:szCs w:val="48"/>
        </w:rPr>
        <w:t>影响类）</w:t>
      </w:r>
    </w:p>
    <w:p>
      <w:pPr>
        <w:adjustRightInd w:val="0"/>
        <w:snapToGrid w:val="0"/>
        <w:spacing w:line="288" w:lineRule="auto"/>
        <w:jc w:val="center"/>
        <w:rPr>
          <w:rFonts w:ascii="华文仿宋" w:hAnsi="华文仿宋" w:eastAsia="华文仿宋" w:cs="华文仿宋"/>
          <w:color w:val="auto"/>
          <w:kern w:val="44"/>
          <w:sz w:val="44"/>
          <w:szCs w:val="44"/>
        </w:rPr>
      </w:pPr>
    </w:p>
    <w:p>
      <w:pPr>
        <w:jc w:val="center"/>
        <w:rPr>
          <w:rFonts w:eastAsia="仿宋"/>
          <w:color w:val="auto"/>
          <w:sz w:val="52"/>
          <w:szCs w:val="52"/>
        </w:rPr>
      </w:pPr>
    </w:p>
    <w:p>
      <w:pPr>
        <w:ind w:firstLine="1040"/>
        <w:rPr>
          <w:rFonts w:eastAsia="仿宋"/>
          <w:color w:val="auto"/>
          <w:sz w:val="44"/>
          <w:szCs w:val="44"/>
        </w:rPr>
      </w:pPr>
    </w:p>
    <w:p>
      <w:pPr>
        <w:ind w:firstLine="1040"/>
        <w:rPr>
          <w:rFonts w:eastAsia="仿宋"/>
          <w:color w:val="auto"/>
          <w:sz w:val="44"/>
          <w:szCs w:val="44"/>
        </w:rPr>
      </w:pPr>
    </w:p>
    <w:p>
      <w:pPr>
        <w:ind w:firstLine="1040"/>
        <w:rPr>
          <w:rFonts w:eastAsia="仿宋"/>
          <w:color w:val="auto"/>
          <w:sz w:val="44"/>
          <w:szCs w:val="44"/>
        </w:rPr>
      </w:pPr>
    </w:p>
    <w:p>
      <w:pPr>
        <w:ind w:firstLine="1040"/>
        <w:rPr>
          <w:rFonts w:eastAsia="仿宋"/>
          <w:color w:val="auto"/>
          <w:sz w:val="44"/>
          <w:szCs w:val="44"/>
        </w:rPr>
      </w:pPr>
    </w:p>
    <w:p>
      <w:pPr>
        <w:adjustRightInd w:val="0"/>
        <w:snapToGrid w:val="0"/>
        <w:spacing w:line="288" w:lineRule="auto"/>
        <w:ind w:firstLine="360" w:firstLineChars="100"/>
        <w:rPr>
          <w:rFonts w:hint="eastAsia" w:ascii="仿宋_GB2312" w:hAnsi="Times New Roman" w:eastAsia="仿宋_GB2312" w:cs="Times New Roman"/>
          <w:color w:val="auto"/>
          <w:sz w:val="36"/>
          <w:szCs w:val="36"/>
          <w:u w:val="single"/>
          <w:lang w:val="en-US" w:eastAsia="zh-CN"/>
        </w:rPr>
      </w:pPr>
      <w:r>
        <w:rPr>
          <w:rFonts w:hint="eastAsia" w:ascii="仿宋_GB2312" w:eastAsia="仿宋_GB2312"/>
          <w:color w:val="auto"/>
          <w:sz w:val="36"/>
          <w:szCs w:val="36"/>
        </w:rPr>
        <w:t>项目名称：</w:t>
      </w:r>
      <w:r>
        <w:rPr>
          <w:rFonts w:hint="eastAsia" w:ascii="仿宋_GB2312" w:hAnsi="Times New Roman" w:eastAsia="仿宋_GB2312" w:cs="Times New Roman"/>
          <w:color w:val="auto"/>
          <w:sz w:val="36"/>
          <w:szCs w:val="36"/>
          <w:u w:val="single"/>
          <w:lang w:val="en-US" w:eastAsia="zh-CN"/>
        </w:rPr>
        <w:t>华容县团洲垸灾后重建安置房建设项目</w:t>
      </w:r>
    </w:p>
    <w:p>
      <w:pPr>
        <w:adjustRightInd w:val="0"/>
        <w:snapToGrid w:val="0"/>
        <w:spacing w:line="288" w:lineRule="auto"/>
        <w:ind w:firstLine="2160" w:firstLineChars="600"/>
        <w:rPr>
          <w:rFonts w:hint="eastAsia" w:ascii="仿宋_GB2312" w:hAnsi="Times New Roman" w:eastAsia="仿宋_GB2312" w:cs="Times New Roman"/>
          <w:color w:val="auto"/>
          <w:sz w:val="36"/>
          <w:szCs w:val="36"/>
          <w:u w:val="single"/>
          <w:lang w:val="en-US" w:eastAsia="zh-CN"/>
        </w:rPr>
      </w:pPr>
      <w:r>
        <w:rPr>
          <w:rFonts w:hint="eastAsia" w:ascii="仿宋_GB2312" w:eastAsia="仿宋_GB2312" w:cs="Times New Roman"/>
          <w:color w:val="auto"/>
          <w:sz w:val="36"/>
          <w:szCs w:val="36"/>
          <w:u w:val="single"/>
          <w:lang w:val="en-US" w:eastAsia="zh-CN"/>
        </w:rPr>
        <w:t>（二期）</w:t>
      </w:r>
    </w:p>
    <w:p>
      <w:pPr>
        <w:adjustRightInd w:val="0"/>
        <w:snapToGrid w:val="0"/>
        <w:spacing w:line="288" w:lineRule="auto"/>
        <w:ind w:firstLine="360" w:firstLineChars="100"/>
        <w:rPr>
          <w:rFonts w:ascii="仿宋_GB2312" w:eastAsia="仿宋_GB2312"/>
          <w:color w:val="auto"/>
          <w:sz w:val="36"/>
          <w:szCs w:val="36"/>
          <w:u w:val="single"/>
        </w:rPr>
      </w:pPr>
      <w:r>
        <w:rPr>
          <w:rFonts w:hint="eastAsia" w:ascii="仿宋_GB2312" w:eastAsia="仿宋_GB2312"/>
          <w:color w:val="auto"/>
          <w:sz w:val="36"/>
          <w:szCs w:val="36"/>
        </w:rPr>
        <w:t>建设单位（盖章）：</w:t>
      </w:r>
      <w:r>
        <w:rPr>
          <w:rFonts w:hint="eastAsia" w:ascii="仿宋_GB2312" w:eastAsia="仿宋_GB2312"/>
          <w:color w:val="auto"/>
          <w:sz w:val="36"/>
          <w:szCs w:val="36"/>
          <w:u w:val="single"/>
        </w:rPr>
        <w:t xml:space="preserve"> 华容县住房和城乡建设局            </w:t>
      </w:r>
    </w:p>
    <w:p>
      <w:pPr>
        <w:adjustRightInd w:val="0"/>
        <w:snapToGrid w:val="0"/>
        <w:spacing w:line="288" w:lineRule="auto"/>
        <w:ind w:firstLine="360" w:firstLineChars="100"/>
        <w:rPr>
          <w:rFonts w:ascii="仿宋_GB2312" w:eastAsia="仿宋_GB2312"/>
          <w:color w:val="auto"/>
          <w:sz w:val="36"/>
          <w:szCs w:val="36"/>
          <w:u w:val="single"/>
        </w:rPr>
      </w:pPr>
      <w:r>
        <w:rPr>
          <w:rFonts w:hint="eastAsia" w:ascii="仿宋_GB2312" w:eastAsia="仿宋_GB2312"/>
          <w:color w:val="auto"/>
          <w:sz w:val="36"/>
          <w:szCs w:val="36"/>
        </w:rPr>
        <w:t>编制日期：</w:t>
      </w:r>
      <w:r>
        <w:rPr>
          <w:rFonts w:hint="eastAsia" w:ascii="仿宋_GB2312" w:eastAsia="仿宋_GB2312"/>
          <w:color w:val="auto"/>
          <w:sz w:val="36"/>
          <w:szCs w:val="36"/>
          <w:u w:val="single"/>
        </w:rPr>
        <w:t xml:space="preserve">      二〇二</w:t>
      </w:r>
      <w:r>
        <w:rPr>
          <w:rFonts w:hint="eastAsia" w:ascii="仿宋_GB2312" w:eastAsia="仿宋_GB2312"/>
          <w:color w:val="auto"/>
          <w:sz w:val="36"/>
          <w:szCs w:val="36"/>
          <w:u w:val="single"/>
          <w:lang w:val="en-US" w:eastAsia="zh-CN"/>
        </w:rPr>
        <w:t>五</w:t>
      </w:r>
      <w:r>
        <w:rPr>
          <w:rFonts w:hint="eastAsia" w:ascii="仿宋_GB2312" w:eastAsia="仿宋_GB2312"/>
          <w:color w:val="auto"/>
          <w:sz w:val="36"/>
          <w:szCs w:val="36"/>
          <w:u w:val="single"/>
        </w:rPr>
        <w:t>年</w:t>
      </w:r>
      <w:r>
        <w:rPr>
          <w:rFonts w:hint="eastAsia" w:ascii="仿宋_GB2312" w:eastAsia="仿宋_GB2312"/>
          <w:color w:val="auto"/>
          <w:sz w:val="36"/>
          <w:szCs w:val="36"/>
          <w:u w:val="single"/>
          <w:lang w:val="en-US" w:eastAsia="zh-CN"/>
        </w:rPr>
        <w:t>五</w:t>
      </w:r>
      <w:r>
        <w:rPr>
          <w:rFonts w:hint="eastAsia" w:ascii="仿宋_GB2312" w:eastAsia="仿宋_GB2312"/>
          <w:color w:val="auto"/>
          <w:sz w:val="36"/>
          <w:szCs w:val="36"/>
          <w:u w:val="single"/>
        </w:rPr>
        <w:t xml:space="preserve">月 </w:t>
      </w:r>
      <w:r>
        <w:rPr>
          <w:rFonts w:ascii="仿宋_GB2312" w:eastAsia="仿宋_GB2312"/>
          <w:color w:val="auto"/>
          <w:sz w:val="36"/>
          <w:szCs w:val="36"/>
          <w:u w:val="single"/>
        </w:rPr>
        <w:t xml:space="preserve">                         </w:t>
      </w:r>
      <w:r>
        <w:rPr>
          <w:rFonts w:hint="eastAsia" w:ascii="仿宋_GB2312" w:eastAsia="仿宋_GB2312"/>
          <w:color w:val="auto"/>
          <w:sz w:val="36"/>
          <w:szCs w:val="36"/>
          <w:u w:val="single"/>
        </w:rPr>
        <w:t xml:space="preserve"> </w:t>
      </w:r>
    </w:p>
    <w:p>
      <w:pPr>
        <w:adjustRightInd w:val="0"/>
        <w:snapToGrid w:val="0"/>
        <w:spacing w:line="288" w:lineRule="auto"/>
        <w:ind w:firstLine="1040"/>
        <w:rPr>
          <w:rFonts w:ascii="仿宋_GB2312" w:eastAsia="仿宋_GB2312"/>
          <w:color w:val="auto"/>
          <w:sz w:val="36"/>
          <w:szCs w:val="36"/>
          <w:u w:val="single"/>
        </w:rPr>
      </w:pPr>
      <w:bookmarkStart w:id="7" w:name="_Hlk57884087"/>
    </w:p>
    <w:p>
      <w:pPr>
        <w:adjustRightInd w:val="0"/>
        <w:snapToGrid w:val="0"/>
        <w:spacing w:line="288" w:lineRule="auto"/>
        <w:ind w:firstLine="1040"/>
        <w:rPr>
          <w:rFonts w:ascii="仿宋_GB2312" w:eastAsia="仿宋_GB2312"/>
          <w:color w:val="auto"/>
          <w:sz w:val="36"/>
          <w:szCs w:val="36"/>
        </w:rPr>
      </w:pPr>
    </w:p>
    <w:p>
      <w:pPr>
        <w:adjustRightInd w:val="0"/>
        <w:snapToGrid w:val="0"/>
        <w:spacing w:line="288" w:lineRule="auto"/>
        <w:ind w:firstLine="1040"/>
        <w:rPr>
          <w:rFonts w:ascii="仿宋_GB2312" w:eastAsia="仿宋_GB2312"/>
          <w:color w:val="auto"/>
          <w:sz w:val="36"/>
          <w:szCs w:val="36"/>
        </w:rPr>
      </w:pPr>
    </w:p>
    <w:p>
      <w:pPr>
        <w:adjustRightInd w:val="0"/>
        <w:snapToGrid w:val="0"/>
        <w:spacing w:line="288" w:lineRule="auto"/>
        <w:ind w:firstLine="1040"/>
        <w:rPr>
          <w:rFonts w:ascii="仿宋_GB2312" w:eastAsia="仿宋_GB2312"/>
          <w:color w:val="auto"/>
          <w:sz w:val="36"/>
          <w:szCs w:val="36"/>
        </w:rPr>
      </w:pPr>
    </w:p>
    <w:p>
      <w:pPr>
        <w:adjustRightInd w:val="0"/>
        <w:snapToGrid w:val="0"/>
        <w:spacing w:line="288" w:lineRule="auto"/>
        <w:ind w:firstLine="1040"/>
        <w:rPr>
          <w:rFonts w:ascii="仿宋_GB2312" w:eastAsia="仿宋_GB2312"/>
          <w:color w:val="auto"/>
          <w:sz w:val="36"/>
          <w:szCs w:val="36"/>
        </w:rPr>
      </w:pPr>
    </w:p>
    <w:bookmarkEnd w:id="7"/>
    <w:p>
      <w:pPr>
        <w:adjustRightInd w:val="0"/>
        <w:snapToGrid w:val="0"/>
        <w:spacing w:line="288" w:lineRule="auto"/>
        <w:jc w:val="center"/>
        <w:rPr>
          <w:rFonts w:ascii="楷体_GB2312" w:eastAsia="楷体_GB2312"/>
          <w:color w:val="auto"/>
          <w:sz w:val="36"/>
          <w:szCs w:val="36"/>
        </w:rPr>
      </w:pPr>
      <w:r>
        <w:rPr>
          <w:rFonts w:hint="eastAsia" w:ascii="楷体_GB2312" w:eastAsia="楷体_GB2312"/>
          <w:color w:val="auto"/>
          <w:sz w:val="36"/>
          <w:szCs w:val="36"/>
        </w:rPr>
        <w:t>中华人民共和国生态环境部制</w:t>
      </w:r>
    </w:p>
    <w:p>
      <w:pPr>
        <w:rPr>
          <w:rFonts w:hint="eastAsia" w:eastAsia="仿宋_GB2312"/>
          <w:lang w:eastAsia="zh-CN"/>
        </w:rPr>
      </w:pPr>
      <w:r>
        <w:rPr>
          <w:rFonts w:hint="eastAsia" w:ascii="仿宋_GB2312" w:eastAsia="仿宋_GB2312"/>
          <w:color w:val="auto"/>
          <w:sz w:val="36"/>
          <w:szCs w:val="36"/>
        </w:rPr>
        <w:br w:type="page"/>
      </w:r>
    </w:p>
    <w:p>
      <w:pPr>
        <w:rPr>
          <w:rFonts w:hint="eastAsia" w:eastAsia="宋体"/>
          <w:lang w:eastAsia="zh-CN"/>
        </w:rPr>
      </w:pPr>
      <w:r>
        <w:rPr>
          <w:rFonts w:hint="eastAsia" w:eastAsia="宋体"/>
          <w:lang w:eastAsia="zh-CN"/>
        </w:rPr>
        <w:drawing>
          <wp:inline distT="0" distB="0" distL="114300" distR="114300">
            <wp:extent cx="5575300" cy="8310880"/>
            <wp:effectExtent l="0" t="0" r="6350" b="13970"/>
            <wp:docPr id="83" name="图片 83" descr="资质页第一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资质页第一页"/>
                    <pic:cNvPicPr>
                      <a:picLocks noChangeAspect="1"/>
                    </pic:cNvPicPr>
                  </pic:nvPicPr>
                  <pic:blipFill>
                    <a:blip r:embed="rId15"/>
                    <a:srcRect t="6326" r="1563" b="8032"/>
                    <a:stretch>
                      <a:fillRect/>
                    </a:stretch>
                  </pic:blipFill>
                  <pic:spPr>
                    <a:xfrm>
                      <a:off x="0" y="0"/>
                      <a:ext cx="5575300" cy="8310880"/>
                    </a:xfrm>
                    <a:prstGeom prst="rect">
                      <a:avLst/>
                    </a:prstGeom>
                  </pic:spPr>
                </pic:pic>
              </a:graphicData>
            </a:graphic>
          </wp:inline>
        </w:drawing>
      </w:r>
    </w:p>
    <w:p>
      <w:r>
        <w:drawing>
          <wp:inline distT="0" distB="0" distL="114300" distR="114300">
            <wp:extent cx="5562600" cy="7931150"/>
            <wp:effectExtent l="0" t="0" r="0" b="12700"/>
            <wp:docPr id="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pic:cNvPicPr>
                      <a:picLocks noChangeAspect="1"/>
                    </pic:cNvPicPr>
                  </pic:nvPicPr>
                  <pic:blipFill>
                    <a:blip r:embed="rId16"/>
                    <a:stretch>
                      <a:fillRect/>
                    </a:stretch>
                  </pic:blipFill>
                  <pic:spPr>
                    <a:xfrm>
                      <a:off x="0" y="0"/>
                      <a:ext cx="5562600" cy="7931150"/>
                    </a:xfrm>
                    <a:prstGeom prst="rect">
                      <a:avLst/>
                    </a:prstGeom>
                    <a:noFill/>
                    <a:ln>
                      <a:noFill/>
                    </a:ln>
                  </pic:spPr>
                </pic:pic>
              </a:graphicData>
            </a:graphic>
          </wp:inline>
        </w:drawing>
      </w:r>
      <w:r>
        <w:drawing>
          <wp:inline distT="0" distB="0" distL="114300" distR="114300">
            <wp:extent cx="5353050" cy="7610475"/>
            <wp:effectExtent l="0" t="0" r="0" b="9525"/>
            <wp:docPr id="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
                    <pic:cNvPicPr>
                      <a:picLocks noChangeAspect="1"/>
                    </pic:cNvPicPr>
                  </pic:nvPicPr>
                  <pic:blipFill>
                    <a:blip r:embed="rId17"/>
                    <a:stretch>
                      <a:fillRect/>
                    </a:stretch>
                  </pic:blipFill>
                  <pic:spPr>
                    <a:xfrm>
                      <a:off x="0" y="0"/>
                      <a:ext cx="5353050" cy="7610475"/>
                    </a:xfrm>
                    <a:prstGeom prst="rect">
                      <a:avLst/>
                    </a:prstGeom>
                    <a:noFill/>
                    <a:ln>
                      <a:noFill/>
                    </a:ln>
                  </pic:spPr>
                </pic:pic>
              </a:graphicData>
            </a:graphic>
          </wp:inline>
        </w:drawing>
      </w:r>
      <w:r>
        <w:drawing>
          <wp:inline distT="0" distB="0" distL="114300" distR="114300">
            <wp:extent cx="4924425" cy="7229475"/>
            <wp:effectExtent l="0" t="0" r="9525" b="9525"/>
            <wp:docPr id="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
                    <pic:cNvPicPr>
                      <a:picLocks noChangeAspect="1"/>
                    </pic:cNvPicPr>
                  </pic:nvPicPr>
                  <pic:blipFill>
                    <a:blip r:embed="rId18"/>
                    <a:stretch>
                      <a:fillRect/>
                    </a:stretch>
                  </pic:blipFill>
                  <pic:spPr>
                    <a:xfrm>
                      <a:off x="0" y="0"/>
                      <a:ext cx="4924425" cy="7229475"/>
                    </a:xfrm>
                    <a:prstGeom prst="rect">
                      <a:avLst/>
                    </a:prstGeom>
                    <a:noFill/>
                    <a:ln>
                      <a:noFill/>
                    </a:ln>
                  </pic:spPr>
                </pic:pic>
              </a:graphicData>
            </a:graphic>
          </wp:inline>
        </w:drawing>
      </w:r>
      <w:r>
        <w:drawing>
          <wp:inline distT="0" distB="0" distL="114300" distR="114300">
            <wp:extent cx="5124450" cy="7286625"/>
            <wp:effectExtent l="0" t="0" r="0" b="9525"/>
            <wp:docPr id="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
                    <pic:cNvPicPr>
                      <a:picLocks noChangeAspect="1"/>
                    </pic:cNvPicPr>
                  </pic:nvPicPr>
                  <pic:blipFill>
                    <a:blip r:embed="rId19"/>
                    <a:stretch>
                      <a:fillRect/>
                    </a:stretch>
                  </pic:blipFill>
                  <pic:spPr>
                    <a:xfrm>
                      <a:off x="0" y="0"/>
                      <a:ext cx="5124450" cy="7286625"/>
                    </a:xfrm>
                    <a:prstGeom prst="rect">
                      <a:avLst/>
                    </a:prstGeom>
                    <a:noFill/>
                    <a:ln>
                      <a:noFill/>
                    </a:ln>
                  </pic:spPr>
                </pic:pic>
              </a:graphicData>
            </a:graphic>
          </wp:inline>
        </w:drawing>
      </w:r>
      <w:r>
        <w:drawing>
          <wp:inline distT="0" distB="0" distL="114300" distR="114300">
            <wp:extent cx="5038725" cy="6905625"/>
            <wp:effectExtent l="0" t="0" r="9525" b="9525"/>
            <wp:docPr id="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
                    <pic:cNvPicPr>
                      <a:picLocks noChangeAspect="1"/>
                    </pic:cNvPicPr>
                  </pic:nvPicPr>
                  <pic:blipFill>
                    <a:blip r:embed="rId20"/>
                    <a:stretch>
                      <a:fillRect/>
                    </a:stretch>
                  </pic:blipFill>
                  <pic:spPr>
                    <a:xfrm>
                      <a:off x="0" y="0"/>
                      <a:ext cx="5038725" cy="6905625"/>
                    </a:xfrm>
                    <a:prstGeom prst="rect">
                      <a:avLst/>
                    </a:prstGeom>
                    <a:noFill/>
                    <a:ln>
                      <a:noFill/>
                    </a:ln>
                  </pic:spPr>
                </pic:pic>
              </a:graphicData>
            </a:graphic>
          </wp:inline>
        </w:drawing>
      </w:r>
      <w:r>
        <w:drawing>
          <wp:inline distT="0" distB="0" distL="114300" distR="114300">
            <wp:extent cx="5191125" cy="6991350"/>
            <wp:effectExtent l="0" t="0" r="9525" b="0"/>
            <wp:docPr id="8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6"/>
                    <pic:cNvPicPr>
                      <a:picLocks noChangeAspect="1"/>
                    </pic:cNvPicPr>
                  </pic:nvPicPr>
                  <pic:blipFill>
                    <a:blip r:embed="rId21"/>
                    <a:stretch>
                      <a:fillRect/>
                    </a:stretch>
                  </pic:blipFill>
                  <pic:spPr>
                    <a:xfrm>
                      <a:off x="0" y="0"/>
                      <a:ext cx="5191125" cy="6991350"/>
                    </a:xfrm>
                    <a:prstGeom prst="rect">
                      <a:avLst/>
                    </a:prstGeom>
                    <a:noFill/>
                    <a:ln>
                      <a:noFill/>
                    </a:ln>
                  </pic:spPr>
                </pic:pic>
              </a:graphicData>
            </a:graphic>
          </wp:inline>
        </w:drawing>
      </w:r>
    </w:p>
    <w:p>
      <w:r>
        <w:br w:type="page"/>
      </w:r>
    </w:p>
    <w:p>
      <w:pPr>
        <w:rPr>
          <w:rFonts w:hint="eastAsia" w:ascii="仿宋_GB2312" w:eastAsia="仿宋_GB2312"/>
          <w:color w:val="auto"/>
          <w:sz w:val="36"/>
          <w:szCs w:val="36"/>
        </w:rPr>
      </w:pPr>
    </w:p>
    <w:p>
      <w:pPr>
        <w:adjustRightInd w:val="0"/>
        <w:snapToGrid w:val="0"/>
        <w:spacing w:line="288" w:lineRule="auto"/>
        <w:ind w:firstLine="0"/>
        <w:jc w:val="center"/>
        <w:rPr>
          <w:rFonts w:ascii="仿宋_GB2312" w:eastAsia="仿宋_GB2312"/>
          <w:b/>
          <w:bCs/>
          <w:color w:val="auto"/>
          <w:sz w:val="36"/>
          <w:szCs w:val="36"/>
        </w:rPr>
      </w:pPr>
      <w:r>
        <w:rPr>
          <w:rFonts w:hint="eastAsia" w:ascii="仿宋_GB2312" w:eastAsia="仿宋_GB2312"/>
          <w:b/>
          <w:bCs/>
          <w:color w:val="auto"/>
          <w:sz w:val="36"/>
          <w:szCs w:val="36"/>
        </w:rPr>
        <w:t>目录</w:t>
      </w:r>
    </w:p>
    <w:p>
      <w:pPr>
        <w:pStyle w:val="17"/>
        <w:tabs>
          <w:tab w:val="right" w:leader="dot" w:pos="8844"/>
        </w:tabs>
        <w:rPr>
          <w:sz w:val="24"/>
          <w:szCs w:val="24"/>
        </w:rPr>
      </w:pPr>
      <w:r>
        <w:rPr>
          <w:color w:val="auto"/>
          <w:sz w:val="24"/>
          <w:szCs w:val="24"/>
        </w:rPr>
        <w:fldChar w:fldCharType="begin"/>
      </w:r>
      <w:r>
        <w:rPr>
          <w:color w:val="auto"/>
          <w:sz w:val="24"/>
          <w:szCs w:val="24"/>
        </w:rPr>
        <w:instrText xml:space="preserve">TOC \o "1-2" \h \u </w:instrText>
      </w:r>
      <w:r>
        <w:rPr>
          <w:color w:val="auto"/>
          <w:sz w:val="24"/>
          <w:szCs w:val="24"/>
        </w:rPr>
        <w:fldChar w:fldCharType="separate"/>
      </w:r>
      <w:r>
        <w:rPr>
          <w:color w:val="auto"/>
          <w:sz w:val="24"/>
          <w:szCs w:val="24"/>
        </w:rPr>
        <w:fldChar w:fldCharType="begin"/>
      </w:r>
      <w:r>
        <w:rPr>
          <w:sz w:val="24"/>
          <w:szCs w:val="24"/>
        </w:rPr>
        <w:instrText xml:space="preserve"> HYPERLINK \l _Toc19136 </w:instrText>
      </w:r>
      <w:r>
        <w:rPr>
          <w:sz w:val="24"/>
          <w:szCs w:val="24"/>
        </w:rPr>
        <w:fldChar w:fldCharType="separate"/>
      </w:r>
      <w:r>
        <w:rPr>
          <w:rFonts w:hint="eastAsia" w:ascii="黑体" w:hAnsi="黑体" w:eastAsia="黑体"/>
          <w:snapToGrid w:val="0"/>
          <w:sz w:val="24"/>
          <w:szCs w:val="24"/>
        </w:rPr>
        <w:t>一、建设项目基本情况</w:t>
      </w:r>
      <w:r>
        <w:rPr>
          <w:sz w:val="24"/>
          <w:szCs w:val="24"/>
        </w:rPr>
        <w:tab/>
      </w:r>
      <w:r>
        <w:rPr>
          <w:sz w:val="24"/>
          <w:szCs w:val="24"/>
        </w:rPr>
        <w:fldChar w:fldCharType="begin"/>
      </w:r>
      <w:r>
        <w:rPr>
          <w:sz w:val="24"/>
          <w:szCs w:val="24"/>
        </w:rPr>
        <w:instrText xml:space="preserve"> PAGEREF _Toc19136 \h </w:instrText>
      </w:r>
      <w:r>
        <w:rPr>
          <w:sz w:val="24"/>
          <w:szCs w:val="24"/>
        </w:rPr>
        <w:fldChar w:fldCharType="separate"/>
      </w:r>
      <w:r>
        <w:rPr>
          <w:sz w:val="24"/>
          <w:szCs w:val="24"/>
        </w:rPr>
        <w:t>1</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_Toc4871 </w:instrText>
      </w:r>
      <w:r>
        <w:rPr>
          <w:sz w:val="24"/>
          <w:szCs w:val="24"/>
        </w:rPr>
        <w:fldChar w:fldCharType="separate"/>
      </w:r>
      <w:r>
        <w:rPr>
          <w:rFonts w:hint="eastAsia" w:ascii="黑体" w:hAnsi="黑体" w:eastAsia="黑体"/>
          <w:snapToGrid w:val="0"/>
          <w:sz w:val="24"/>
          <w:szCs w:val="24"/>
        </w:rPr>
        <w:t>二、建设</w:t>
      </w:r>
      <w:r>
        <w:rPr>
          <w:rFonts w:hint="eastAsia" w:ascii="黑体" w:hAnsi="黑体" w:eastAsia="黑体"/>
          <w:snapToGrid w:val="0"/>
          <w:sz w:val="24"/>
          <w:szCs w:val="24"/>
          <w:lang w:val="en-US" w:eastAsia="zh-CN"/>
        </w:rPr>
        <w:t>内容</w:t>
      </w:r>
      <w:r>
        <w:rPr>
          <w:sz w:val="24"/>
          <w:szCs w:val="24"/>
        </w:rPr>
        <w:tab/>
      </w:r>
      <w:r>
        <w:rPr>
          <w:sz w:val="24"/>
          <w:szCs w:val="24"/>
        </w:rPr>
        <w:fldChar w:fldCharType="begin"/>
      </w:r>
      <w:r>
        <w:rPr>
          <w:sz w:val="24"/>
          <w:szCs w:val="24"/>
        </w:rPr>
        <w:instrText xml:space="preserve"> PAGEREF _Toc4871 \h </w:instrText>
      </w:r>
      <w:r>
        <w:rPr>
          <w:sz w:val="24"/>
          <w:szCs w:val="24"/>
        </w:rPr>
        <w:fldChar w:fldCharType="separate"/>
      </w:r>
      <w:r>
        <w:rPr>
          <w:sz w:val="24"/>
          <w:szCs w:val="24"/>
        </w:rPr>
        <w:t>10</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_Toc22086 </w:instrText>
      </w:r>
      <w:r>
        <w:rPr>
          <w:sz w:val="24"/>
          <w:szCs w:val="24"/>
        </w:rPr>
        <w:fldChar w:fldCharType="separate"/>
      </w:r>
      <w:r>
        <w:rPr>
          <w:rFonts w:hint="eastAsia" w:ascii="黑体" w:hAnsi="黑体" w:eastAsia="黑体"/>
          <w:snapToGrid w:val="0"/>
          <w:sz w:val="24"/>
          <w:szCs w:val="24"/>
        </w:rPr>
        <w:t>三、</w:t>
      </w:r>
      <w:r>
        <w:rPr>
          <w:rFonts w:hint="eastAsia" w:ascii="黑体" w:hAnsi="黑体" w:eastAsia="黑体"/>
          <w:snapToGrid w:val="0"/>
          <w:sz w:val="24"/>
          <w:szCs w:val="24"/>
          <w:lang w:val="en-US" w:eastAsia="zh-CN"/>
        </w:rPr>
        <w:t>生态</w:t>
      </w:r>
      <w:r>
        <w:rPr>
          <w:rFonts w:hint="eastAsia" w:ascii="黑体" w:hAnsi="黑体" w:eastAsia="黑体"/>
          <w:snapToGrid w:val="0"/>
          <w:sz w:val="24"/>
          <w:szCs w:val="24"/>
        </w:rPr>
        <w:t>环境现状、环境保护目标及评价标准</w:t>
      </w:r>
      <w:r>
        <w:rPr>
          <w:sz w:val="24"/>
          <w:szCs w:val="24"/>
        </w:rPr>
        <w:tab/>
      </w:r>
      <w:r>
        <w:rPr>
          <w:sz w:val="24"/>
          <w:szCs w:val="24"/>
        </w:rPr>
        <w:fldChar w:fldCharType="begin"/>
      </w:r>
      <w:r>
        <w:rPr>
          <w:sz w:val="24"/>
          <w:szCs w:val="24"/>
        </w:rPr>
        <w:instrText xml:space="preserve"> PAGEREF _Toc22086 \h </w:instrText>
      </w:r>
      <w:r>
        <w:rPr>
          <w:sz w:val="24"/>
          <w:szCs w:val="24"/>
        </w:rPr>
        <w:fldChar w:fldCharType="separate"/>
      </w:r>
      <w:r>
        <w:rPr>
          <w:sz w:val="24"/>
          <w:szCs w:val="24"/>
        </w:rPr>
        <w:t>17</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_Toc14747 </w:instrText>
      </w:r>
      <w:r>
        <w:rPr>
          <w:sz w:val="24"/>
          <w:szCs w:val="24"/>
        </w:rPr>
        <w:fldChar w:fldCharType="separate"/>
      </w:r>
      <w:r>
        <w:rPr>
          <w:rFonts w:hint="eastAsia" w:ascii="黑体" w:hAnsi="黑体" w:eastAsia="黑体"/>
          <w:snapToGrid w:val="0"/>
          <w:sz w:val="24"/>
          <w:szCs w:val="24"/>
        </w:rPr>
        <w:t>四、</w:t>
      </w:r>
      <w:r>
        <w:rPr>
          <w:rFonts w:hint="eastAsia" w:ascii="黑体" w:hAnsi="黑体" w:eastAsia="黑体"/>
          <w:snapToGrid w:val="0"/>
          <w:sz w:val="24"/>
          <w:szCs w:val="24"/>
          <w:lang w:val="en-US" w:eastAsia="zh-CN"/>
        </w:rPr>
        <w:t>生态环境影响分析</w:t>
      </w:r>
      <w:r>
        <w:rPr>
          <w:sz w:val="24"/>
          <w:szCs w:val="24"/>
        </w:rPr>
        <w:tab/>
      </w:r>
      <w:r>
        <w:rPr>
          <w:sz w:val="24"/>
          <w:szCs w:val="24"/>
        </w:rPr>
        <w:fldChar w:fldCharType="begin"/>
      </w:r>
      <w:r>
        <w:rPr>
          <w:sz w:val="24"/>
          <w:szCs w:val="24"/>
        </w:rPr>
        <w:instrText xml:space="preserve"> PAGEREF _Toc14747 \h </w:instrText>
      </w:r>
      <w:r>
        <w:rPr>
          <w:sz w:val="24"/>
          <w:szCs w:val="24"/>
        </w:rPr>
        <w:fldChar w:fldCharType="separate"/>
      </w:r>
      <w:r>
        <w:rPr>
          <w:sz w:val="24"/>
          <w:szCs w:val="24"/>
        </w:rPr>
        <w:t>22</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_Toc17804 </w:instrText>
      </w:r>
      <w:r>
        <w:rPr>
          <w:sz w:val="24"/>
          <w:szCs w:val="24"/>
        </w:rPr>
        <w:fldChar w:fldCharType="separate"/>
      </w:r>
      <w:r>
        <w:rPr>
          <w:rFonts w:hint="eastAsia" w:ascii="黑体" w:hAnsi="黑体" w:eastAsia="黑体"/>
          <w:snapToGrid w:val="0"/>
          <w:sz w:val="24"/>
          <w:szCs w:val="24"/>
        </w:rPr>
        <w:t>五、</w:t>
      </w:r>
      <w:r>
        <w:rPr>
          <w:rFonts w:hint="eastAsia" w:ascii="黑体" w:hAnsi="黑体" w:eastAsia="黑体"/>
          <w:snapToGrid w:val="0"/>
          <w:sz w:val="24"/>
          <w:szCs w:val="24"/>
          <w:lang w:val="en-US" w:eastAsia="zh-CN"/>
        </w:rPr>
        <w:t>主要生态环境保护措施</w:t>
      </w:r>
      <w:r>
        <w:rPr>
          <w:sz w:val="24"/>
          <w:szCs w:val="24"/>
        </w:rPr>
        <w:tab/>
      </w:r>
      <w:r>
        <w:rPr>
          <w:sz w:val="24"/>
          <w:szCs w:val="24"/>
        </w:rPr>
        <w:fldChar w:fldCharType="begin"/>
      </w:r>
      <w:r>
        <w:rPr>
          <w:sz w:val="24"/>
          <w:szCs w:val="24"/>
        </w:rPr>
        <w:instrText xml:space="preserve"> PAGEREF _Toc17804 \h </w:instrText>
      </w:r>
      <w:r>
        <w:rPr>
          <w:sz w:val="24"/>
          <w:szCs w:val="24"/>
        </w:rPr>
        <w:fldChar w:fldCharType="separate"/>
      </w:r>
      <w:r>
        <w:rPr>
          <w:sz w:val="24"/>
          <w:szCs w:val="24"/>
        </w:rPr>
        <w:t>29</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_Toc18335 </w:instrText>
      </w:r>
      <w:r>
        <w:rPr>
          <w:sz w:val="24"/>
          <w:szCs w:val="24"/>
        </w:rPr>
        <w:fldChar w:fldCharType="separate"/>
      </w:r>
      <w:r>
        <w:rPr>
          <w:rFonts w:hint="eastAsia" w:ascii="Times New Roman" w:hAnsi="Times New Roman" w:eastAsia="黑体" w:cs="Times New Roman"/>
          <w:snapToGrid w:val="0"/>
          <w:sz w:val="24"/>
          <w:szCs w:val="24"/>
        </w:rPr>
        <w:t xml:space="preserve">六、 </w:t>
      </w:r>
      <w:r>
        <w:rPr>
          <w:rFonts w:hint="default" w:ascii="Times New Roman" w:hAnsi="Times New Roman" w:eastAsia="黑体" w:cs="Times New Roman"/>
          <w:snapToGrid w:val="0"/>
          <w:sz w:val="24"/>
          <w:szCs w:val="24"/>
        </w:rPr>
        <w:t>生态环境保护措施监督检查清单</w:t>
      </w:r>
      <w:r>
        <w:rPr>
          <w:sz w:val="24"/>
          <w:szCs w:val="24"/>
        </w:rPr>
        <w:tab/>
      </w:r>
      <w:r>
        <w:rPr>
          <w:sz w:val="24"/>
          <w:szCs w:val="24"/>
        </w:rPr>
        <w:fldChar w:fldCharType="begin"/>
      </w:r>
      <w:r>
        <w:rPr>
          <w:sz w:val="24"/>
          <w:szCs w:val="24"/>
        </w:rPr>
        <w:instrText xml:space="preserve"> PAGEREF _Toc18335 \h </w:instrText>
      </w:r>
      <w:r>
        <w:rPr>
          <w:sz w:val="24"/>
          <w:szCs w:val="24"/>
        </w:rPr>
        <w:fldChar w:fldCharType="separate"/>
      </w:r>
      <w:r>
        <w:rPr>
          <w:sz w:val="24"/>
          <w:szCs w:val="24"/>
        </w:rPr>
        <w:t>33</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_Toc14502 </w:instrText>
      </w:r>
      <w:r>
        <w:rPr>
          <w:sz w:val="24"/>
          <w:szCs w:val="24"/>
        </w:rPr>
        <w:fldChar w:fldCharType="separate"/>
      </w:r>
      <w:r>
        <w:rPr>
          <w:rFonts w:hint="eastAsia"/>
          <w:bCs/>
          <w:snapToGrid w:val="0"/>
          <w:sz w:val="24"/>
          <w:szCs w:val="24"/>
          <w:lang w:val="en-US" w:eastAsia="zh-CN"/>
        </w:rPr>
        <w:t>七</w:t>
      </w:r>
      <w:r>
        <w:rPr>
          <w:rFonts w:hint="eastAsia" w:ascii="黑体" w:hAnsi="黑体" w:eastAsia="黑体"/>
          <w:bCs/>
          <w:snapToGrid w:val="0"/>
          <w:sz w:val="24"/>
          <w:szCs w:val="24"/>
        </w:rPr>
        <w:t>、结论</w:t>
      </w:r>
      <w:r>
        <w:rPr>
          <w:sz w:val="24"/>
          <w:szCs w:val="24"/>
        </w:rPr>
        <w:tab/>
      </w:r>
      <w:r>
        <w:rPr>
          <w:sz w:val="24"/>
          <w:szCs w:val="24"/>
        </w:rPr>
        <w:fldChar w:fldCharType="begin"/>
      </w:r>
      <w:r>
        <w:rPr>
          <w:sz w:val="24"/>
          <w:szCs w:val="24"/>
        </w:rPr>
        <w:instrText xml:space="preserve"> PAGEREF _Toc14502 \h </w:instrText>
      </w:r>
      <w:r>
        <w:rPr>
          <w:sz w:val="24"/>
          <w:szCs w:val="24"/>
        </w:rPr>
        <w:fldChar w:fldCharType="separate"/>
      </w:r>
      <w:r>
        <w:rPr>
          <w:sz w:val="24"/>
          <w:szCs w:val="24"/>
        </w:rPr>
        <w:t>34</w:t>
      </w:r>
      <w:r>
        <w:rPr>
          <w:sz w:val="24"/>
          <w:szCs w:val="24"/>
        </w:rPr>
        <w:fldChar w:fldCharType="end"/>
      </w:r>
      <w:r>
        <w:rPr>
          <w:color w:val="auto"/>
          <w:sz w:val="24"/>
          <w:szCs w:val="24"/>
        </w:rPr>
        <w:fldChar w:fldCharType="end"/>
      </w:r>
    </w:p>
    <w:p>
      <w:pPr>
        <w:pStyle w:val="17"/>
        <w:tabs>
          <w:tab w:val="right" w:leader="dot" w:pos="8844"/>
        </w:tabs>
        <w:rPr>
          <w:color w:val="auto"/>
          <w:sz w:val="24"/>
          <w:szCs w:val="24"/>
        </w:rPr>
      </w:pPr>
    </w:p>
    <w:p>
      <w:pPr>
        <w:pStyle w:val="17"/>
        <w:tabs>
          <w:tab w:val="right" w:leader="dot" w:pos="8844"/>
        </w:tabs>
        <w:rPr>
          <w:sz w:val="24"/>
          <w:szCs w:val="24"/>
        </w:rPr>
      </w:pPr>
      <w:r>
        <w:rPr>
          <w:color w:val="auto"/>
          <w:sz w:val="24"/>
          <w:szCs w:val="24"/>
        </w:rPr>
        <w:fldChar w:fldCharType="begin"/>
      </w:r>
      <w:r>
        <w:rPr>
          <w:sz w:val="24"/>
          <w:szCs w:val="24"/>
        </w:rPr>
        <w:instrText xml:space="preserve"> HYPERLINK \l _Toc1282 </w:instrText>
      </w:r>
      <w:r>
        <w:rPr>
          <w:sz w:val="24"/>
          <w:szCs w:val="24"/>
        </w:rPr>
        <w:fldChar w:fldCharType="separate"/>
      </w:r>
      <w:r>
        <w:rPr>
          <w:rFonts w:hint="eastAsia" w:ascii="方正小标宋_GBK" w:hAnsi="黑体" w:eastAsia="方正小标宋_GBK"/>
          <w:snapToGrid w:val="0"/>
          <w:kern w:val="0"/>
          <w:sz w:val="24"/>
          <w:szCs w:val="24"/>
        </w:rPr>
        <w:t>附图</w:t>
      </w:r>
      <w:r>
        <w:rPr>
          <w:sz w:val="24"/>
          <w:szCs w:val="24"/>
        </w:rPr>
        <w:tab/>
      </w:r>
      <w:r>
        <w:rPr>
          <w:sz w:val="24"/>
          <w:szCs w:val="24"/>
        </w:rPr>
        <w:fldChar w:fldCharType="begin"/>
      </w:r>
      <w:r>
        <w:rPr>
          <w:sz w:val="24"/>
          <w:szCs w:val="24"/>
        </w:rPr>
        <w:instrText xml:space="preserve"> PAGEREF _Toc1282 \h </w:instrText>
      </w:r>
      <w:r>
        <w:rPr>
          <w:sz w:val="24"/>
          <w:szCs w:val="24"/>
        </w:rPr>
        <w:fldChar w:fldCharType="separate"/>
      </w:r>
      <w:r>
        <w:rPr>
          <w:sz w:val="24"/>
          <w:szCs w:val="24"/>
        </w:rPr>
        <w:t>35</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_Toc29193 </w:instrText>
      </w:r>
      <w:r>
        <w:rPr>
          <w:sz w:val="24"/>
          <w:szCs w:val="24"/>
        </w:rPr>
        <w:fldChar w:fldCharType="separate"/>
      </w:r>
      <w:r>
        <w:rPr>
          <w:bCs/>
          <w:sz w:val="24"/>
          <w:szCs w:val="24"/>
        </w:rPr>
        <w:t>附图1 项目地理位置图</w:t>
      </w:r>
      <w:r>
        <w:rPr>
          <w:sz w:val="24"/>
          <w:szCs w:val="24"/>
        </w:rPr>
        <w:tab/>
      </w:r>
      <w:r>
        <w:rPr>
          <w:sz w:val="24"/>
          <w:szCs w:val="24"/>
        </w:rPr>
        <w:fldChar w:fldCharType="begin"/>
      </w:r>
      <w:r>
        <w:rPr>
          <w:sz w:val="24"/>
          <w:szCs w:val="24"/>
        </w:rPr>
        <w:instrText xml:space="preserve"> PAGEREF _Toc29193 \h </w:instrText>
      </w:r>
      <w:r>
        <w:rPr>
          <w:sz w:val="24"/>
          <w:szCs w:val="24"/>
        </w:rPr>
        <w:fldChar w:fldCharType="separate"/>
      </w:r>
      <w:r>
        <w:rPr>
          <w:sz w:val="24"/>
          <w:szCs w:val="24"/>
        </w:rPr>
        <w:t>35</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_Toc25423 </w:instrText>
      </w:r>
      <w:r>
        <w:rPr>
          <w:sz w:val="24"/>
          <w:szCs w:val="24"/>
        </w:rPr>
        <w:fldChar w:fldCharType="separate"/>
      </w:r>
      <w:r>
        <w:rPr>
          <w:bCs/>
          <w:sz w:val="24"/>
          <w:szCs w:val="24"/>
        </w:rPr>
        <w:t>附图2 厂区平面布置图</w:t>
      </w:r>
      <w:r>
        <w:rPr>
          <w:sz w:val="24"/>
          <w:szCs w:val="24"/>
        </w:rPr>
        <w:tab/>
      </w:r>
      <w:r>
        <w:rPr>
          <w:sz w:val="24"/>
          <w:szCs w:val="24"/>
        </w:rPr>
        <w:fldChar w:fldCharType="begin"/>
      </w:r>
      <w:r>
        <w:rPr>
          <w:sz w:val="24"/>
          <w:szCs w:val="24"/>
        </w:rPr>
        <w:instrText xml:space="preserve"> PAGEREF _Toc25423 \h </w:instrText>
      </w:r>
      <w:r>
        <w:rPr>
          <w:sz w:val="24"/>
          <w:szCs w:val="24"/>
        </w:rPr>
        <w:fldChar w:fldCharType="separate"/>
      </w:r>
      <w:r>
        <w:rPr>
          <w:sz w:val="24"/>
          <w:szCs w:val="24"/>
        </w:rPr>
        <w:t>36</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_Toc6746 </w:instrText>
      </w:r>
      <w:r>
        <w:rPr>
          <w:sz w:val="24"/>
          <w:szCs w:val="24"/>
        </w:rPr>
        <w:fldChar w:fldCharType="separate"/>
      </w:r>
      <w:r>
        <w:rPr>
          <w:bCs/>
          <w:sz w:val="24"/>
          <w:szCs w:val="24"/>
        </w:rPr>
        <w:t>附图</w:t>
      </w:r>
      <w:r>
        <w:rPr>
          <w:rFonts w:hint="eastAsia"/>
          <w:bCs/>
          <w:sz w:val="24"/>
          <w:szCs w:val="24"/>
        </w:rPr>
        <w:t>3</w:t>
      </w:r>
      <w:r>
        <w:rPr>
          <w:bCs/>
          <w:sz w:val="24"/>
          <w:szCs w:val="24"/>
        </w:rPr>
        <w:t xml:space="preserve"> </w:t>
      </w:r>
      <w:r>
        <w:rPr>
          <w:rFonts w:hint="eastAsia"/>
          <w:bCs/>
          <w:sz w:val="24"/>
          <w:szCs w:val="24"/>
        </w:rPr>
        <w:t>项目周边环境及敏感目标</w:t>
      </w:r>
      <w:r>
        <w:rPr>
          <w:bCs/>
          <w:sz w:val="24"/>
          <w:szCs w:val="24"/>
        </w:rPr>
        <w:t>图</w:t>
      </w:r>
      <w:r>
        <w:rPr>
          <w:sz w:val="24"/>
          <w:szCs w:val="24"/>
        </w:rPr>
        <w:tab/>
      </w:r>
      <w:r>
        <w:rPr>
          <w:sz w:val="24"/>
          <w:szCs w:val="24"/>
        </w:rPr>
        <w:fldChar w:fldCharType="begin"/>
      </w:r>
      <w:r>
        <w:rPr>
          <w:sz w:val="24"/>
          <w:szCs w:val="24"/>
        </w:rPr>
        <w:instrText xml:space="preserve"> PAGEREF _Toc6746 \h </w:instrText>
      </w:r>
      <w:r>
        <w:rPr>
          <w:sz w:val="24"/>
          <w:szCs w:val="24"/>
        </w:rPr>
        <w:fldChar w:fldCharType="separate"/>
      </w:r>
      <w:r>
        <w:rPr>
          <w:sz w:val="24"/>
          <w:szCs w:val="24"/>
        </w:rPr>
        <w:t>37</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_Toc30936 </w:instrText>
      </w:r>
      <w:r>
        <w:rPr>
          <w:sz w:val="24"/>
          <w:szCs w:val="24"/>
        </w:rPr>
        <w:fldChar w:fldCharType="separate"/>
      </w:r>
      <w:r>
        <w:rPr>
          <w:bCs/>
          <w:sz w:val="24"/>
          <w:szCs w:val="24"/>
        </w:rPr>
        <w:t>附图</w:t>
      </w:r>
      <w:r>
        <w:rPr>
          <w:rFonts w:hint="eastAsia"/>
          <w:bCs/>
          <w:sz w:val="24"/>
          <w:szCs w:val="24"/>
          <w:lang w:val="en-US" w:eastAsia="zh-CN"/>
        </w:rPr>
        <w:t>4</w:t>
      </w:r>
      <w:r>
        <w:rPr>
          <w:bCs/>
          <w:sz w:val="24"/>
          <w:szCs w:val="24"/>
        </w:rPr>
        <w:t xml:space="preserve"> </w:t>
      </w:r>
      <w:r>
        <w:rPr>
          <w:rFonts w:hint="eastAsia"/>
          <w:bCs/>
          <w:sz w:val="24"/>
          <w:szCs w:val="24"/>
          <w:lang w:val="en-US" w:eastAsia="zh-CN"/>
        </w:rPr>
        <w:t>噪声监测布点</w:t>
      </w:r>
      <w:r>
        <w:rPr>
          <w:bCs/>
          <w:sz w:val="24"/>
          <w:szCs w:val="24"/>
        </w:rPr>
        <w:t>图</w:t>
      </w:r>
      <w:r>
        <w:rPr>
          <w:sz w:val="24"/>
          <w:szCs w:val="24"/>
        </w:rPr>
        <w:tab/>
      </w:r>
      <w:r>
        <w:rPr>
          <w:sz w:val="24"/>
          <w:szCs w:val="24"/>
        </w:rPr>
        <w:fldChar w:fldCharType="begin"/>
      </w:r>
      <w:r>
        <w:rPr>
          <w:sz w:val="24"/>
          <w:szCs w:val="24"/>
        </w:rPr>
        <w:instrText xml:space="preserve"> PAGEREF _Toc30936 \h </w:instrText>
      </w:r>
      <w:r>
        <w:rPr>
          <w:sz w:val="24"/>
          <w:szCs w:val="24"/>
        </w:rPr>
        <w:fldChar w:fldCharType="separate"/>
      </w:r>
      <w:r>
        <w:rPr>
          <w:sz w:val="24"/>
          <w:szCs w:val="24"/>
        </w:rPr>
        <w:t>38</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_Toc2703 </w:instrText>
      </w:r>
      <w:r>
        <w:rPr>
          <w:sz w:val="24"/>
          <w:szCs w:val="24"/>
        </w:rPr>
        <w:fldChar w:fldCharType="separate"/>
      </w:r>
      <w:r>
        <w:rPr>
          <w:bCs/>
          <w:sz w:val="24"/>
          <w:szCs w:val="24"/>
        </w:rPr>
        <w:t>附图</w:t>
      </w:r>
      <w:r>
        <w:rPr>
          <w:rFonts w:hint="eastAsia"/>
          <w:bCs/>
          <w:sz w:val="24"/>
          <w:szCs w:val="24"/>
          <w:lang w:val="en-US" w:eastAsia="zh-CN"/>
        </w:rPr>
        <w:t>5</w:t>
      </w:r>
      <w:r>
        <w:rPr>
          <w:bCs/>
          <w:sz w:val="24"/>
          <w:szCs w:val="24"/>
        </w:rPr>
        <w:t xml:space="preserve"> </w:t>
      </w:r>
      <w:r>
        <w:rPr>
          <w:rFonts w:hint="eastAsia"/>
          <w:bCs/>
          <w:sz w:val="24"/>
          <w:szCs w:val="24"/>
          <w:lang w:val="en-US" w:eastAsia="zh-CN"/>
        </w:rPr>
        <w:t>本项目与湖南东洞庭湖国家级自然保护区位置示意图（调整前及调整后）</w:t>
      </w:r>
      <w:r>
        <w:rPr>
          <w:sz w:val="24"/>
          <w:szCs w:val="24"/>
        </w:rPr>
        <w:tab/>
      </w:r>
      <w:r>
        <w:rPr>
          <w:sz w:val="24"/>
          <w:szCs w:val="24"/>
        </w:rPr>
        <w:fldChar w:fldCharType="begin"/>
      </w:r>
      <w:r>
        <w:rPr>
          <w:sz w:val="24"/>
          <w:szCs w:val="24"/>
        </w:rPr>
        <w:instrText xml:space="preserve"> PAGEREF _Toc2703 \h </w:instrText>
      </w:r>
      <w:r>
        <w:rPr>
          <w:sz w:val="24"/>
          <w:szCs w:val="24"/>
        </w:rPr>
        <w:fldChar w:fldCharType="separate"/>
      </w:r>
      <w:r>
        <w:rPr>
          <w:sz w:val="24"/>
          <w:szCs w:val="24"/>
        </w:rPr>
        <w:t>39</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_Toc2016 </w:instrText>
      </w:r>
      <w:r>
        <w:rPr>
          <w:sz w:val="24"/>
          <w:szCs w:val="24"/>
        </w:rPr>
        <w:fldChar w:fldCharType="separate"/>
      </w:r>
      <w:r>
        <w:rPr>
          <w:bCs/>
          <w:sz w:val="24"/>
          <w:szCs w:val="24"/>
        </w:rPr>
        <w:t>附图</w:t>
      </w:r>
      <w:r>
        <w:rPr>
          <w:rFonts w:hint="eastAsia"/>
          <w:bCs/>
          <w:sz w:val="24"/>
          <w:szCs w:val="24"/>
          <w:lang w:val="en-US" w:eastAsia="zh-CN"/>
        </w:rPr>
        <w:t>6</w:t>
      </w:r>
      <w:r>
        <w:rPr>
          <w:bCs/>
          <w:sz w:val="24"/>
          <w:szCs w:val="24"/>
        </w:rPr>
        <w:t xml:space="preserve"> </w:t>
      </w:r>
      <w:r>
        <w:rPr>
          <w:rFonts w:hint="eastAsia"/>
          <w:bCs/>
          <w:sz w:val="24"/>
          <w:szCs w:val="24"/>
          <w:lang w:val="en-US" w:eastAsia="zh-CN"/>
        </w:rPr>
        <w:t>项目及周边土地利用现状图</w:t>
      </w:r>
      <w:r>
        <w:rPr>
          <w:sz w:val="24"/>
          <w:szCs w:val="24"/>
        </w:rPr>
        <w:tab/>
      </w:r>
      <w:r>
        <w:rPr>
          <w:sz w:val="24"/>
          <w:szCs w:val="24"/>
        </w:rPr>
        <w:fldChar w:fldCharType="begin"/>
      </w:r>
      <w:r>
        <w:rPr>
          <w:sz w:val="24"/>
          <w:szCs w:val="24"/>
        </w:rPr>
        <w:instrText xml:space="preserve"> PAGEREF _Toc2016 \h </w:instrText>
      </w:r>
      <w:r>
        <w:rPr>
          <w:sz w:val="24"/>
          <w:szCs w:val="24"/>
        </w:rPr>
        <w:fldChar w:fldCharType="separate"/>
      </w:r>
      <w:r>
        <w:rPr>
          <w:sz w:val="24"/>
          <w:szCs w:val="24"/>
        </w:rPr>
        <w:t>41</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_Toc436 </w:instrText>
      </w:r>
      <w:r>
        <w:rPr>
          <w:sz w:val="24"/>
          <w:szCs w:val="24"/>
        </w:rPr>
        <w:fldChar w:fldCharType="separate"/>
      </w:r>
      <w:r>
        <w:rPr>
          <w:bCs/>
          <w:sz w:val="24"/>
          <w:szCs w:val="24"/>
        </w:rPr>
        <w:t>附图</w:t>
      </w:r>
      <w:r>
        <w:rPr>
          <w:rFonts w:hint="eastAsia"/>
          <w:bCs/>
          <w:sz w:val="24"/>
          <w:szCs w:val="24"/>
          <w:lang w:val="en-US" w:eastAsia="zh-CN"/>
        </w:rPr>
        <w:t>7</w:t>
      </w:r>
      <w:r>
        <w:rPr>
          <w:bCs/>
          <w:sz w:val="24"/>
          <w:szCs w:val="24"/>
        </w:rPr>
        <w:t xml:space="preserve"> </w:t>
      </w:r>
      <w:r>
        <w:rPr>
          <w:rFonts w:hint="eastAsia"/>
          <w:bCs/>
          <w:sz w:val="24"/>
          <w:szCs w:val="24"/>
          <w:lang w:val="en-US" w:eastAsia="zh-CN"/>
        </w:rPr>
        <w:t>项目及周边区域植被分布图</w:t>
      </w:r>
      <w:r>
        <w:rPr>
          <w:sz w:val="24"/>
          <w:szCs w:val="24"/>
        </w:rPr>
        <w:tab/>
      </w:r>
      <w:r>
        <w:rPr>
          <w:sz w:val="24"/>
          <w:szCs w:val="24"/>
        </w:rPr>
        <w:fldChar w:fldCharType="begin"/>
      </w:r>
      <w:r>
        <w:rPr>
          <w:sz w:val="24"/>
          <w:szCs w:val="24"/>
        </w:rPr>
        <w:instrText xml:space="preserve"> PAGEREF _Toc436 \h </w:instrText>
      </w:r>
      <w:r>
        <w:rPr>
          <w:sz w:val="24"/>
          <w:szCs w:val="24"/>
        </w:rPr>
        <w:fldChar w:fldCharType="separate"/>
      </w:r>
      <w:r>
        <w:rPr>
          <w:sz w:val="24"/>
          <w:szCs w:val="24"/>
        </w:rPr>
        <w:t>42</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_Toc9553 </w:instrText>
      </w:r>
      <w:r>
        <w:rPr>
          <w:sz w:val="24"/>
          <w:szCs w:val="24"/>
        </w:rPr>
        <w:fldChar w:fldCharType="separate"/>
      </w:r>
      <w:r>
        <w:rPr>
          <w:bCs/>
          <w:sz w:val="24"/>
          <w:szCs w:val="24"/>
        </w:rPr>
        <w:t>附图</w:t>
      </w:r>
      <w:r>
        <w:rPr>
          <w:rFonts w:hint="eastAsia"/>
          <w:bCs/>
          <w:sz w:val="24"/>
          <w:szCs w:val="24"/>
          <w:lang w:val="en-US" w:eastAsia="zh-CN"/>
        </w:rPr>
        <w:t>8</w:t>
      </w:r>
      <w:r>
        <w:rPr>
          <w:bCs/>
          <w:sz w:val="24"/>
          <w:szCs w:val="24"/>
        </w:rPr>
        <w:t xml:space="preserve"> </w:t>
      </w:r>
      <w:r>
        <w:rPr>
          <w:rFonts w:hint="eastAsia"/>
          <w:bCs/>
          <w:sz w:val="24"/>
          <w:szCs w:val="24"/>
          <w:lang w:val="en-US" w:eastAsia="zh-CN"/>
        </w:rPr>
        <w:t>项目三区三线套合图</w:t>
      </w:r>
      <w:r>
        <w:rPr>
          <w:sz w:val="24"/>
          <w:szCs w:val="24"/>
        </w:rPr>
        <w:tab/>
      </w:r>
      <w:r>
        <w:rPr>
          <w:sz w:val="24"/>
          <w:szCs w:val="24"/>
        </w:rPr>
        <w:fldChar w:fldCharType="begin"/>
      </w:r>
      <w:r>
        <w:rPr>
          <w:sz w:val="24"/>
          <w:szCs w:val="24"/>
        </w:rPr>
        <w:instrText xml:space="preserve"> PAGEREF _Toc9553 \h </w:instrText>
      </w:r>
      <w:r>
        <w:rPr>
          <w:sz w:val="24"/>
          <w:szCs w:val="24"/>
        </w:rPr>
        <w:fldChar w:fldCharType="separate"/>
      </w:r>
      <w:r>
        <w:rPr>
          <w:sz w:val="24"/>
          <w:szCs w:val="24"/>
        </w:rPr>
        <w:t>43</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_Toc5080 </w:instrText>
      </w:r>
      <w:r>
        <w:rPr>
          <w:sz w:val="24"/>
          <w:szCs w:val="24"/>
        </w:rPr>
        <w:fldChar w:fldCharType="separate"/>
      </w:r>
      <w:r>
        <w:rPr>
          <w:bCs/>
          <w:sz w:val="24"/>
          <w:szCs w:val="24"/>
        </w:rPr>
        <w:t>附图</w:t>
      </w:r>
      <w:r>
        <w:rPr>
          <w:rFonts w:hint="eastAsia"/>
          <w:bCs/>
          <w:sz w:val="24"/>
          <w:szCs w:val="24"/>
          <w:lang w:val="en-US" w:eastAsia="zh-CN"/>
        </w:rPr>
        <w:t>9</w:t>
      </w:r>
      <w:r>
        <w:rPr>
          <w:bCs/>
          <w:sz w:val="24"/>
          <w:szCs w:val="24"/>
        </w:rPr>
        <w:t xml:space="preserve"> </w:t>
      </w:r>
      <w:r>
        <w:rPr>
          <w:rFonts w:hint="eastAsia"/>
          <w:bCs/>
          <w:sz w:val="24"/>
          <w:szCs w:val="24"/>
          <w:lang w:val="en-US" w:eastAsia="zh-CN"/>
        </w:rPr>
        <w:t>项目调查样方调查分布图</w:t>
      </w:r>
      <w:r>
        <w:rPr>
          <w:sz w:val="24"/>
          <w:szCs w:val="24"/>
        </w:rPr>
        <w:tab/>
      </w:r>
      <w:r>
        <w:rPr>
          <w:sz w:val="24"/>
          <w:szCs w:val="24"/>
        </w:rPr>
        <w:fldChar w:fldCharType="begin"/>
      </w:r>
      <w:r>
        <w:rPr>
          <w:sz w:val="24"/>
          <w:szCs w:val="24"/>
        </w:rPr>
        <w:instrText xml:space="preserve"> PAGEREF _Toc5080 \h </w:instrText>
      </w:r>
      <w:r>
        <w:rPr>
          <w:sz w:val="24"/>
          <w:szCs w:val="24"/>
        </w:rPr>
        <w:fldChar w:fldCharType="separate"/>
      </w:r>
      <w:r>
        <w:rPr>
          <w:sz w:val="24"/>
          <w:szCs w:val="24"/>
        </w:rPr>
        <w:t>44</w:t>
      </w:r>
      <w:r>
        <w:rPr>
          <w:sz w:val="24"/>
          <w:szCs w:val="24"/>
        </w:rPr>
        <w:fldChar w:fldCharType="end"/>
      </w:r>
      <w:r>
        <w:rPr>
          <w:color w:val="auto"/>
          <w:sz w:val="24"/>
          <w:szCs w:val="24"/>
        </w:rPr>
        <w:fldChar w:fldCharType="end"/>
      </w:r>
    </w:p>
    <w:p>
      <w:pPr>
        <w:pStyle w:val="17"/>
        <w:tabs>
          <w:tab w:val="right" w:leader="dot" w:pos="8844"/>
        </w:tabs>
        <w:rPr>
          <w:color w:val="auto"/>
          <w:sz w:val="24"/>
          <w:szCs w:val="24"/>
        </w:rPr>
      </w:pPr>
    </w:p>
    <w:p>
      <w:pPr>
        <w:pStyle w:val="17"/>
        <w:tabs>
          <w:tab w:val="right" w:leader="dot" w:pos="8844"/>
        </w:tabs>
        <w:rPr>
          <w:sz w:val="24"/>
          <w:szCs w:val="24"/>
        </w:rPr>
      </w:pPr>
      <w:r>
        <w:rPr>
          <w:color w:val="auto"/>
          <w:sz w:val="24"/>
          <w:szCs w:val="24"/>
        </w:rPr>
        <w:fldChar w:fldCharType="begin"/>
      </w:r>
      <w:r>
        <w:rPr>
          <w:sz w:val="24"/>
          <w:szCs w:val="24"/>
        </w:rPr>
        <w:instrText xml:space="preserve"> HYPERLINK \l _Toc22042 </w:instrText>
      </w:r>
      <w:r>
        <w:rPr>
          <w:sz w:val="24"/>
          <w:szCs w:val="24"/>
        </w:rPr>
        <w:fldChar w:fldCharType="separate"/>
      </w:r>
      <w:r>
        <w:rPr>
          <w:rFonts w:hint="eastAsia" w:ascii="方正小标宋_GBK" w:hAnsi="黑体" w:eastAsia="方正小标宋_GBK"/>
          <w:snapToGrid w:val="0"/>
          <w:kern w:val="0"/>
          <w:sz w:val="24"/>
          <w:szCs w:val="24"/>
        </w:rPr>
        <w:t>附件</w:t>
      </w:r>
      <w:r>
        <w:rPr>
          <w:sz w:val="24"/>
          <w:szCs w:val="24"/>
        </w:rPr>
        <w:tab/>
      </w:r>
      <w:r>
        <w:rPr>
          <w:sz w:val="24"/>
          <w:szCs w:val="24"/>
        </w:rPr>
        <w:fldChar w:fldCharType="begin"/>
      </w:r>
      <w:r>
        <w:rPr>
          <w:sz w:val="24"/>
          <w:szCs w:val="24"/>
        </w:rPr>
        <w:instrText xml:space="preserve"> PAGEREF _Toc22042 \h </w:instrText>
      </w:r>
      <w:r>
        <w:rPr>
          <w:sz w:val="24"/>
          <w:szCs w:val="24"/>
        </w:rPr>
        <w:fldChar w:fldCharType="separate"/>
      </w:r>
      <w:r>
        <w:rPr>
          <w:sz w:val="24"/>
          <w:szCs w:val="24"/>
        </w:rPr>
        <w:t>45</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_Toc22529 </w:instrText>
      </w:r>
      <w:r>
        <w:rPr>
          <w:sz w:val="24"/>
          <w:szCs w:val="24"/>
        </w:rPr>
        <w:fldChar w:fldCharType="separate"/>
      </w:r>
      <w:r>
        <w:rPr>
          <w:bCs/>
          <w:sz w:val="24"/>
          <w:szCs w:val="24"/>
        </w:rPr>
        <w:t>附</w:t>
      </w:r>
      <w:r>
        <w:rPr>
          <w:rFonts w:hint="eastAsia"/>
          <w:bCs/>
          <w:sz w:val="24"/>
          <w:szCs w:val="24"/>
        </w:rPr>
        <w:t>件</w:t>
      </w:r>
      <w:r>
        <w:rPr>
          <w:bCs/>
          <w:sz w:val="24"/>
          <w:szCs w:val="24"/>
        </w:rPr>
        <w:t xml:space="preserve">1 </w:t>
      </w:r>
      <w:r>
        <w:rPr>
          <w:rFonts w:hint="eastAsia"/>
          <w:bCs/>
          <w:sz w:val="24"/>
          <w:szCs w:val="24"/>
        </w:rPr>
        <w:t>环评委托书</w:t>
      </w:r>
      <w:r>
        <w:rPr>
          <w:sz w:val="24"/>
          <w:szCs w:val="24"/>
        </w:rPr>
        <w:tab/>
      </w:r>
      <w:r>
        <w:rPr>
          <w:sz w:val="24"/>
          <w:szCs w:val="24"/>
        </w:rPr>
        <w:fldChar w:fldCharType="begin"/>
      </w:r>
      <w:r>
        <w:rPr>
          <w:sz w:val="24"/>
          <w:szCs w:val="24"/>
        </w:rPr>
        <w:instrText xml:space="preserve"> PAGEREF _Toc22529 \h </w:instrText>
      </w:r>
      <w:r>
        <w:rPr>
          <w:sz w:val="24"/>
          <w:szCs w:val="24"/>
        </w:rPr>
        <w:fldChar w:fldCharType="separate"/>
      </w:r>
      <w:r>
        <w:rPr>
          <w:sz w:val="24"/>
          <w:szCs w:val="24"/>
        </w:rPr>
        <w:t>45</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_Toc25018 </w:instrText>
      </w:r>
      <w:r>
        <w:rPr>
          <w:sz w:val="24"/>
          <w:szCs w:val="24"/>
        </w:rPr>
        <w:fldChar w:fldCharType="separate"/>
      </w:r>
      <w:r>
        <w:rPr>
          <w:bCs/>
          <w:sz w:val="24"/>
          <w:szCs w:val="24"/>
          <w:highlight w:val="none"/>
        </w:rPr>
        <w:t>附</w:t>
      </w:r>
      <w:r>
        <w:rPr>
          <w:rFonts w:hint="eastAsia"/>
          <w:bCs/>
          <w:sz w:val="24"/>
          <w:szCs w:val="24"/>
          <w:highlight w:val="none"/>
        </w:rPr>
        <w:t>件2</w:t>
      </w:r>
      <w:r>
        <w:rPr>
          <w:bCs/>
          <w:sz w:val="24"/>
          <w:szCs w:val="24"/>
          <w:highlight w:val="none"/>
        </w:rPr>
        <w:t xml:space="preserve"> </w:t>
      </w:r>
      <w:r>
        <w:rPr>
          <w:rFonts w:hint="eastAsia"/>
          <w:bCs/>
          <w:sz w:val="24"/>
          <w:szCs w:val="24"/>
          <w:highlight w:val="none"/>
        </w:rPr>
        <w:t>营业执照</w:t>
      </w:r>
      <w:r>
        <w:rPr>
          <w:sz w:val="24"/>
          <w:szCs w:val="24"/>
        </w:rPr>
        <w:tab/>
      </w:r>
      <w:r>
        <w:rPr>
          <w:sz w:val="24"/>
          <w:szCs w:val="24"/>
        </w:rPr>
        <w:fldChar w:fldCharType="begin"/>
      </w:r>
      <w:r>
        <w:rPr>
          <w:sz w:val="24"/>
          <w:szCs w:val="24"/>
        </w:rPr>
        <w:instrText xml:space="preserve"> PAGEREF _Toc25018 \h </w:instrText>
      </w:r>
      <w:r>
        <w:rPr>
          <w:sz w:val="24"/>
          <w:szCs w:val="24"/>
        </w:rPr>
        <w:fldChar w:fldCharType="separate"/>
      </w:r>
      <w:r>
        <w:rPr>
          <w:sz w:val="24"/>
          <w:szCs w:val="24"/>
        </w:rPr>
        <w:t>46</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_Toc6647 </w:instrText>
      </w:r>
      <w:r>
        <w:rPr>
          <w:sz w:val="24"/>
          <w:szCs w:val="24"/>
        </w:rPr>
        <w:fldChar w:fldCharType="separate"/>
      </w:r>
      <w:r>
        <w:rPr>
          <w:bCs/>
          <w:sz w:val="24"/>
          <w:szCs w:val="24"/>
        </w:rPr>
        <w:t>附</w:t>
      </w:r>
      <w:r>
        <w:rPr>
          <w:rFonts w:hint="eastAsia"/>
          <w:bCs/>
          <w:sz w:val="24"/>
          <w:szCs w:val="24"/>
        </w:rPr>
        <w:t>件3</w:t>
      </w:r>
      <w:r>
        <w:rPr>
          <w:bCs/>
          <w:sz w:val="24"/>
          <w:szCs w:val="24"/>
        </w:rPr>
        <w:t xml:space="preserve"> </w:t>
      </w:r>
      <w:r>
        <w:rPr>
          <w:rFonts w:hint="eastAsia"/>
          <w:bCs/>
          <w:sz w:val="24"/>
          <w:szCs w:val="24"/>
          <w:lang w:val="en-US" w:eastAsia="zh-CN"/>
        </w:rPr>
        <w:t>用地预审意见书</w:t>
      </w:r>
      <w:r>
        <w:rPr>
          <w:sz w:val="24"/>
          <w:szCs w:val="24"/>
        </w:rPr>
        <w:tab/>
      </w:r>
      <w:r>
        <w:rPr>
          <w:sz w:val="24"/>
          <w:szCs w:val="24"/>
        </w:rPr>
        <w:fldChar w:fldCharType="begin"/>
      </w:r>
      <w:r>
        <w:rPr>
          <w:sz w:val="24"/>
          <w:szCs w:val="24"/>
        </w:rPr>
        <w:instrText xml:space="preserve"> PAGEREF _Toc6647 \h </w:instrText>
      </w:r>
      <w:r>
        <w:rPr>
          <w:sz w:val="24"/>
          <w:szCs w:val="24"/>
        </w:rPr>
        <w:fldChar w:fldCharType="separate"/>
      </w:r>
      <w:r>
        <w:rPr>
          <w:sz w:val="24"/>
          <w:szCs w:val="24"/>
        </w:rPr>
        <w:t>47</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_Toc9717 </w:instrText>
      </w:r>
      <w:r>
        <w:rPr>
          <w:sz w:val="24"/>
          <w:szCs w:val="24"/>
        </w:rPr>
        <w:fldChar w:fldCharType="separate"/>
      </w:r>
      <w:r>
        <w:rPr>
          <w:rFonts w:hint="eastAsia" w:ascii="Times New Roman" w:hAnsi="Times New Roman" w:eastAsia="宋体" w:cs="Times New Roman"/>
          <w:bCs/>
          <w:sz w:val="24"/>
          <w:szCs w:val="24"/>
          <w:lang w:val="en-US" w:eastAsia="zh-CN"/>
        </w:rPr>
        <w:t>附件4华容县住房和城乡建设局关于华容县团洲垸灾后重建安置房建设项目</w:t>
      </w:r>
      <w:r>
        <w:rPr>
          <w:rFonts w:hint="eastAsia" w:cs="Times New Roman"/>
          <w:bCs/>
          <w:sz w:val="24"/>
          <w:szCs w:val="24"/>
          <w:lang w:val="en-US" w:eastAsia="zh-CN"/>
        </w:rPr>
        <w:t>（二期）</w:t>
      </w:r>
      <w:r>
        <w:rPr>
          <w:rFonts w:hint="eastAsia" w:ascii="Times New Roman" w:hAnsi="Times New Roman" w:eastAsia="宋体" w:cs="Times New Roman"/>
          <w:bCs/>
          <w:sz w:val="24"/>
          <w:szCs w:val="24"/>
          <w:lang w:val="en-US" w:eastAsia="zh-CN"/>
        </w:rPr>
        <w:t>的审查意见</w:t>
      </w:r>
      <w:r>
        <w:rPr>
          <w:sz w:val="24"/>
          <w:szCs w:val="24"/>
        </w:rPr>
        <w:tab/>
      </w:r>
      <w:r>
        <w:rPr>
          <w:sz w:val="24"/>
          <w:szCs w:val="24"/>
        </w:rPr>
        <w:fldChar w:fldCharType="begin"/>
      </w:r>
      <w:r>
        <w:rPr>
          <w:sz w:val="24"/>
          <w:szCs w:val="24"/>
        </w:rPr>
        <w:instrText xml:space="preserve"> PAGEREF _Toc9717 \h </w:instrText>
      </w:r>
      <w:r>
        <w:rPr>
          <w:sz w:val="24"/>
          <w:szCs w:val="24"/>
        </w:rPr>
        <w:fldChar w:fldCharType="separate"/>
      </w:r>
      <w:r>
        <w:rPr>
          <w:sz w:val="24"/>
          <w:szCs w:val="24"/>
        </w:rPr>
        <w:t>49</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_Toc1289 </w:instrText>
      </w:r>
      <w:r>
        <w:rPr>
          <w:sz w:val="24"/>
          <w:szCs w:val="24"/>
        </w:rPr>
        <w:fldChar w:fldCharType="separate"/>
      </w:r>
      <w:r>
        <w:rPr>
          <w:rFonts w:hint="eastAsia" w:ascii="Times New Roman" w:hAnsi="Times New Roman" w:eastAsia="宋体" w:cs="Times New Roman"/>
          <w:bCs/>
          <w:sz w:val="24"/>
          <w:szCs w:val="24"/>
        </w:rPr>
        <w:t xml:space="preserve">附件5 </w:t>
      </w:r>
      <w:r>
        <w:rPr>
          <w:rFonts w:hint="eastAsia" w:cs="Times New Roman"/>
          <w:bCs/>
          <w:sz w:val="24"/>
          <w:szCs w:val="24"/>
          <w:lang w:val="en-US" w:eastAsia="zh-CN"/>
        </w:rPr>
        <w:t>生物多样性影响评价报告</w:t>
      </w:r>
      <w:r>
        <w:rPr>
          <w:sz w:val="24"/>
          <w:szCs w:val="24"/>
        </w:rPr>
        <w:tab/>
      </w:r>
      <w:r>
        <w:rPr>
          <w:sz w:val="24"/>
          <w:szCs w:val="24"/>
        </w:rPr>
        <w:fldChar w:fldCharType="begin"/>
      </w:r>
      <w:r>
        <w:rPr>
          <w:sz w:val="24"/>
          <w:szCs w:val="24"/>
        </w:rPr>
        <w:instrText xml:space="preserve"> PAGEREF _Toc1289 \h </w:instrText>
      </w:r>
      <w:r>
        <w:rPr>
          <w:sz w:val="24"/>
          <w:szCs w:val="24"/>
        </w:rPr>
        <w:fldChar w:fldCharType="separate"/>
      </w:r>
      <w:r>
        <w:rPr>
          <w:sz w:val="24"/>
          <w:szCs w:val="24"/>
        </w:rPr>
        <w:t>78</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_Toc15126 </w:instrText>
      </w:r>
      <w:r>
        <w:rPr>
          <w:sz w:val="24"/>
          <w:szCs w:val="24"/>
        </w:rPr>
        <w:fldChar w:fldCharType="separate"/>
      </w:r>
      <w:r>
        <w:rPr>
          <w:rFonts w:hint="eastAsia" w:cs="Times New Roman"/>
          <w:bCs/>
          <w:sz w:val="24"/>
          <w:szCs w:val="24"/>
          <w:lang w:val="en-US" w:eastAsia="zh-CN"/>
        </w:rPr>
        <w:t>附件6 林业局关于</w:t>
      </w:r>
      <w:r>
        <w:rPr>
          <w:rFonts w:hint="eastAsia" w:ascii="Times New Roman" w:hAnsi="Times New Roman" w:eastAsia="宋体" w:cs="Times New Roman"/>
          <w:bCs/>
          <w:sz w:val="24"/>
          <w:szCs w:val="24"/>
          <w:lang w:val="en-US" w:eastAsia="zh-CN"/>
        </w:rPr>
        <w:t>华容县团洲垸灾后重建安置房建设项目的</w:t>
      </w:r>
      <w:r>
        <w:rPr>
          <w:rFonts w:hint="eastAsia" w:cs="Times New Roman"/>
          <w:bCs/>
          <w:sz w:val="24"/>
          <w:szCs w:val="24"/>
          <w:lang w:val="en-US" w:eastAsia="zh-CN"/>
        </w:rPr>
        <w:t>意见</w:t>
      </w:r>
      <w:r>
        <w:rPr>
          <w:sz w:val="24"/>
          <w:szCs w:val="24"/>
        </w:rPr>
        <w:tab/>
      </w:r>
      <w:r>
        <w:rPr>
          <w:sz w:val="24"/>
          <w:szCs w:val="24"/>
        </w:rPr>
        <w:fldChar w:fldCharType="begin"/>
      </w:r>
      <w:r>
        <w:rPr>
          <w:sz w:val="24"/>
          <w:szCs w:val="24"/>
        </w:rPr>
        <w:instrText xml:space="preserve"> PAGEREF _Toc15126 \h </w:instrText>
      </w:r>
      <w:r>
        <w:rPr>
          <w:sz w:val="24"/>
          <w:szCs w:val="24"/>
        </w:rPr>
        <w:fldChar w:fldCharType="separate"/>
      </w:r>
      <w:r>
        <w:rPr>
          <w:sz w:val="24"/>
          <w:szCs w:val="24"/>
        </w:rPr>
        <w:t>83</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_Toc19273 </w:instrText>
      </w:r>
      <w:r>
        <w:rPr>
          <w:sz w:val="24"/>
          <w:szCs w:val="24"/>
        </w:rPr>
        <w:fldChar w:fldCharType="separate"/>
      </w:r>
      <w:r>
        <w:rPr>
          <w:rFonts w:hint="eastAsia" w:cs="Times New Roman"/>
          <w:bCs/>
          <w:sz w:val="24"/>
          <w:szCs w:val="24"/>
          <w:lang w:val="en-US" w:eastAsia="zh-CN"/>
        </w:rPr>
        <w:t xml:space="preserve">附件7 </w:t>
      </w:r>
      <w:r>
        <w:rPr>
          <w:rFonts w:hint="eastAsia" w:ascii="Times New Roman" w:hAnsi="Times New Roman" w:eastAsia="宋体" w:cs="Times New Roman"/>
          <w:bCs/>
          <w:sz w:val="24"/>
          <w:szCs w:val="24"/>
          <w:lang w:val="en-US" w:eastAsia="zh-CN"/>
        </w:rPr>
        <w:t>华容县人民政府县长办公会议纪要</w:t>
      </w:r>
      <w:r>
        <w:rPr>
          <w:sz w:val="24"/>
          <w:szCs w:val="24"/>
        </w:rPr>
        <w:tab/>
      </w:r>
      <w:r>
        <w:rPr>
          <w:sz w:val="24"/>
          <w:szCs w:val="24"/>
        </w:rPr>
        <w:fldChar w:fldCharType="begin"/>
      </w:r>
      <w:r>
        <w:rPr>
          <w:sz w:val="24"/>
          <w:szCs w:val="24"/>
        </w:rPr>
        <w:instrText xml:space="preserve"> PAGEREF _Toc19273 \h </w:instrText>
      </w:r>
      <w:r>
        <w:rPr>
          <w:sz w:val="24"/>
          <w:szCs w:val="24"/>
        </w:rPr>
        <w:fldChar w:fldCharType="separate"/>
      </w:r>
      <w:r>
        <w:rPr>
          <w:sz w:val="24"/>
          <w:szCs w:val="24"/>
        </w:rPr>
        <w:t>87</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_Toc15955 </w:instrText>
      </w:r>
      <w:r>
        <w:rPr>
          <w:sz w:val="24"/>
          <w:szCs w:val="24"/>
        </w:rPr>
        <w:fldChar w:fldCharType="separate"/>
      </w:r>
      <w:r>
        <w:rPr>
          <w:rFonts w:hint="eastAsia"/>
          <w:bCs/>
          <w:sz w:val="24"/>
          <w:szCs w:val="24"/>
          <w:lang w:val="en-US" w:eastAsia="zh-CN"/>
        </w:rPr>
        <w:t>附件8 备案文件</w:t>
      </w:r>
      <w:r>
        <w:rPr>
          <w:sz w:val="24"/>
          <w:szCs w:val="24"/>
        </w:rPr>
        <w:tab/>
      </w:r>
      <w:r>
        <w:rPr>
          <w:sz w:val="24"/>
          <w:szCs w:val="24"/>
        </w:rPr>
        <w:fldChar w:fldCharType="begin"/>
      </w:r>
      <w:r>
        <w:rPr>
          <w:sz w:val="24"/>
          <w:szCs w:val="24"/>
        </w:rPr>
        <w:instrText xml:space="preserve"> PAGEREF _Toc15955 \h </w:instrText>
      </w:r>
      <w:r>
        <w:rPr>
          <w:sz w:val="24"/>
          <w:szCs w:val="24"/>
        </w:rPr>
        <w:fldChar w:fldCharType="separate"/>
      </w:r>
      <w:r>
        <w:rPr>
          <w:sz w:val="24"/>
          <w:szCs w:val="24"/>
        </w:rPr>
        <w:t>92</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_Toc15785 </w:instrText>
      </w:r>
      <w:r>
        <w:rPr>
          <w:sz w:val="24"/>
          <w:szCs w:val="24"/>
        </w:rPr>
        <w:fldChar w:fldCharType="separate"/>
      </w:r>
      <w:r>
        <w:rPr>
          <w:rFonts w:hint="eastAsia"/>
          <w:bCs/>
          <w:sz w:val="24"/>
          <w:szCs w:val="24"/>
          <w:lang w:val="en-US" w:eastAsia="zh-CN"/>
        </w:rPr>
        <w:t xml:space="preserve">附件9 </w:t>
      </w:r>
      <w:r>
        <w:rPr>
          <w:bCs/>
          <w:sz w:val="24"/>
          <w:szCs w:val="24"/>
        </w:rPr>
        <w:t>环境现状监测报告</w:t>
      </w:r>
      <w:r>
        <w:rPr>
          <w:sz w:val="24"/>
          <w:szCs w:val="24"/>
        </w:rPr>
        <w:tab/>
      </w:r>
      <w:r>
        <w:rPr>
          <w:sz w:val="24"/>
          <w:szCs w:val="24"/>
        </w:rPr>
        <w:fldChar w:fldCharType="begin"/>
      </w:r>
      <w:r>
        <w:rPr>
          <w:sz w:val="24"/>
          <w:szCs w:val="24"/>
        </w:rPr>
        <w:instrText xml:space="preserve"> PAGEREF _Toc15785 \h </w:instrText>
      </w:r>
      <w:r>
        <w:rPr>
          <w:sz w:val="24"/>
          <w:szCs w:val="24"/>
        </w:rPr>
        <w:fldChar w:fldCharType="separate"/>
      </w:r>
      <w:r>
        <w:rPr>
          <w:sz w:val="24"/>
          <w:szCs w:val="24"/>
        </w:rPr>
        <w:t>95</w:t>
      </w:r>
      <w:r>
        <w:rPr>
          <w:sz w:val="24"/>
          <w:szCs w:val="24"/>
        </w:rPr>
        <w:fldChar w:fldCharType="end"/>
      </w:r>
      <w:r>
        <w:rPr>
          <w:color w:val="auto"/>
          <w:sz w:val="24"/>
          <w:szCs w:val="24"/>
        </w:rPr>
        <w:fldChar w:fldCharType="end"/>
      </w:r>
    </w:p>
    <w:p>
      <w:pPr>
        <w:pStyle w:val="17"/>
        <w:tabs>
          <w:tab w:val="right" w:leader="dot" w:pos="8844"/>
        </w:tabs>
        <w:rPr>
          <w:color w:val="auto"/>
          <w:sz w:val="24"/>
          <w:szCs w:val="24"/>
        </w:rPr>
      </w:pPr>
    </w:p>
    <w:p>
      <w:pPr>
        <w:pStyle w:val="17"/>
        <w:tabs>
          <w:tab w:val="right" w:leader="dot" w:pos="8844"/>
        </w:tabs>
        <w:rPr>
          <w:sz w:val="24"/>
          <w:szCs w:val="24"/>
        </w:rPr>
      </w:pPr>
      <w:r>
        <w:rPr>
          <w:color w:val="auto"/>
          <w:sz w:val="24"/>
          <w:szCs w:val="24"/>
        </w:rPr>
        <w:fldChar w:fldCharType="begin"/>
      </w:r>
      <w:r>
        <w:rPr>
          <w:sz w:val="24"/>
          <w:szCs w:val="24"/>
        </w:rPr>
        <w:instrText xml:space="preserve"> HYPERLINK \l _Toc14330 </w:instrText>
      </w:r>
      <w:r>
        <w:rPr>
          <w:sz w:val="24"/>
          <w:szCs w:val="24"/>
        </w:rPr>
        <w:fldChar w:fldCharType="separate"/>
      </w:r>
      <w:r>
        <w:rPr>
          <w:rFonts w:hint="eastAsia" w:ascii="方正小标宋_GBK" w:hAnsi="黑体" w:eastAsia="方正小标宋_GBK" w:cs="Times New Roman"/>
          <w:snapToGrid w:val="0"/>
          <w:kern w:val="0"/>
          <w:sz w:val="24"/>
          <w:szCs w:val="24"/>
          <w:lang w:val="en-US" w:eastAsia="zh-CN"/>
        </w:rPr>
        <w:t>华容县团洲垸灾后重建安置房建设项目（二期）</w:t>
      </w:r>
      <w:r>
        <w:rPr>
          <w:color w:val="auto"/>
          <w:sz w:val="24"/>
          <w:szCs w:val="24"/>
        </w:rPr>
        <w:fldChar w:fldCharType="end"/>
      </w:r>
      <w:r>
        <w:rPr>
          <w:color w:val="auto"/>
          <w:sz w:val="24"/>
          <w:szCs w:val="24"/>
        </w:rPr>
        <w:fldChar w:fldCharType="begin"/>
      </w:r>
      <w:r>
        <w:rPr>
          <w:sz w:val="24"/>
          <w:szCs w:val="24"/>
        </w:rPr>
        <w:instrText xml:space="preserve"> HYPERLINK \l _Toc6912 </w:instrText>
      </w:r>
      <w:r>
        <w:rPr>
          <w:sz w:val="24"/>
          <w:szCs w:val="24"/>
        </w:rPr>
        <w:fldChar w:fldCharType="separate"/>
      </w:r>
      <w:r>
        <w:rPr>
          <w:rFonts w:hint="eastAsia" w:ascii="方正小标宋_GBK" w:hAnsi="黑体" w:eastAsia="方正小标宋_GBK" w:cs="Times New Roman"/>
          <w:snapToGrid w:val="0"/>
          <w:kern w:val="0"/>
          <w:sz w:val="24"/>
          <w:szCs w:val="24"/>
          <w:lang w:eastAsia="zh-CN"/>
        </w:rPr>
        <w:t>生态</w:t>
      </w:r>
      <w:r>
        <w:rPr>
          <w:rFonts w:hint="default" w:ascii="方正小标宋_GBK" w:hAnsi="黑体" w:eastAsia="方正小标宋_GBK" w:cs="Times New Roman"/>
          <w:snapToGrid w:val="0"/>
          <w:kern w:val="0"/>
          <w:sz w:val="24"/>
          <w:szCs w:val="24"/>
        </w:rPr>
        <w:t>环境影响专项报告</w:t>
      </w:r>
      <w:r>
        <w:rPr>
          <w:sz w:val="24"/>
          <w:szCs w:val="24"/>
        </w:rPr>
        <w:tab/>
      </w:r>
      <w:r>
        <w:rPr>
          <w:sz w:val="24"/>
          <w:szCs w:val="24"/>
        </w:rPr>
        <w:fldChar w:fldCharType="begin"/>
      </w:r>
      <w:r>
        <w:rPr>
          <w:sz w:val="24"/>
          <w:szCs w:val="24"/>
        </w:rPr>
        <w:instrText xml:space="preserve"> PAGEREF _Toc6912 \h </w:instrText>
      </w:r>
      <w:r>
        <w:rPr>
          <w:sz w:val="24"/>
          <w:szCs w:val="24"/>
        </w:rPr>
        <w:fldChar w:fldCharType="separate"/>
      </w:r>
      <w:r>
        <w:rPr>
          <w:sz w:val="24"/>
          <w:szCs w:val="24"/>
        </w:rPr>
        <w:t>96</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_Toc2863 </w:instrText>
      </w:r>
      <w:r>
        <w:rPr>
          <w:sz w:val="24"/>
          <w:szCs w:val="24"/>
        </w:rPr>
        <w:fldChar w:fldCharType="separate"/>
      </w:r>
      <w:r>
        <w:rPr>
          <w:rFonts w:ascii="Times New Roman" w:hAnsi="Times New Roman" w:eastAsia="宋体" w:cs="Times New Roman"/>
          <w:snapToGrid w:val="0"/>
          <w:kern w:val="0"/>
          <w:sz w:val="24"/>
          <w:szCs w:val="24"/>
          <w:lang w:val="en-US" w:eastAsia="zh-CN" w:bidi="ar-SA"/>
        </w:rPr>
        <w:t>1总则</w:t>
      </w:r>
      <w:r>
        <w:rPr>
          <w:sz w:val="24"/>
          <w:szCs w:val="24"/>
        </w:rPr>
        <w:tab/>
      </w:r>
      <w:r>
        <w:rPr>
          <w:sz w:val="24"/>
          <w:szCs w:val="24"/>
        </w:rPr>
        <w:fldChar w:fldCharType="begin"/>
      </w:r>
      <w:r>
        <w:rPr>
          <w:sz w:val="24"/>
          <w:szCs w:val="24"/>
        </w:rPr>
        <w:instrText xml:space="preserve"> PAGEREF _Toc2863 \h </w:instrText>
      </w:r>
      <w:r>
        <w:rPr>
          <w:sz w:val="24"/>
          <w:szCs w:val="24"/>
        </w:rPr>
        <w:fldChar w:fldCharType="separate"/>
      </w:r>
      <w:r>
        <w:rPr>
          <w:sz w:val="24"/>
          <w:szCs w:val="24"/>
        </w:rPr>
        <w:t>1</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_Toc333 </w:instrText>
      </w:r>
      <w:r>
        <w:rPr>
          <w:sz w:val="24"/>
          <w:szCs w:val="24"/>
        </w:rPr>
        <w:fldChar w:fldCharType="separate"/>
      </w:r>
      <w:r>
        <w:rPr>
          <w:rFonts w:ascii="Times New Roman" w:hAnsi="Times New Roman" w:eastAsia="宋体" w:cs="Times New Roman"/>
          <w:bCs/>
          <w:kern w:val="2"/>
          <w:sz w:val="24"/>
          <w:szCs w:val="24"/>
          <w:lang w:val="en-US" w:eastAsia="zh-CN" w:bidi="ar-SA"/>
        </w:rPr>
        <w:t>1.1项目由来</w:t>
      </w:r>
      <w:r>
        <w:rPr>
          <w:sz w:val="24"/>
          <w:szCs w:val="24"/>
        </w:rPr>
        <w:tab/>
      </w:r>
      <w:r>
        <w:rPr>
          <w:sz w:val="24"/>
          <w:szCs w:val="24"/>
        </w:rPr>
        <w:fldChar w:fldCharType="begin"/>
      </w:r>
      <w:r>
        <w:rPr>
          <w:sz w:val="24"/>
          <w:szCs w:val="24"/>
        </w:rPr>
        <w:instrText xml:space="preserve"> PAGEREF _Toc333 \h </w:instrText>
      </w:r>
      <w:r>
        <w:rPr>
          <w:sz w:val="24"/>
          <w:szCs w:val="24"/>
        </w:rPr>
        <w:fldChar w:fldCharType="separate"/>
      </w:r>
      <w:r>
        <w:rPr>
          <w:sz w:val="24"/>
          <w:szCs w:val="24"/>
        </w:rPr>
        <w:t>1</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_Toc21413 </w:instrText>
      </w:r>
      <w:r>
        <w:rPr>
          <w:sz w:val="24"/>
          <w:szCs w:val="24"/>
        </w:rPr>
        <w:fldChar w:fldCharType="separate"/>
      </w:r>
      <w:r>
        <w:rPr>
          <w:rFonts w:ascii="Times New Roman" w:hAnsi="Times New Roman" w:eastAsia="宋体" w:cs="Times New Roman"/>
          <w:bCs/>
          <w:kern w:val="2"/>
          <w:sz w:val="24"/>
          <w:szCs w:val="24"/>
          <w:lang w:val="en-US" w:eastAsia="zh-CN" w:bidi="ar-SA"/>
        </w:rPr>
        <w:t>1.2评价目的和评价原则</w:t>
      </w:r>
      <w:r>
        <w:rPr>
          <w:sz w:val="24"/>
          <w:szCs w:val="24"/>
        </w:rPr>
        <w:tab/>
      </w:r>
      <w:r>
        <w:rPr>
          <w:sz w:val="24"/>
          <w:szCs w:val="24"/>
        </w:rPr>
        <w:fldChar w:fldCharType="begin"/>
      </w:r>
      <w:r>
        <w:rPr>
          <w:sz w:val="24"/>
          <w:szCs w:val="24"/>
        </w:rPr>
        <w:instrText xml:space="preserve"> PAGEREF _Toc21413 \h </w:instrText>
      </w:r>
      <w:r>
        <w:rPr>
          <w:sz w:val="24"/>
          <w:szCs w:val="24"/>
        </w:rPr>
        <w:fldChar w:fldCharType="separate"/>
      </w:r>
      <w:r>
        <w:rPr>
          <w:sz w:val="24"/>
          <w:szCs w:val="24"/>
        </w:rPr>
        <w:t>1</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_Toc25723 </w:instrText>
      </w:r>
      <w:r>
        <w:rPr>
          <w:sz w:val="24"/>
          <w:szCs w:val="24"/>
        </w:rPr>
        <w:fldChar w:fldCharType="separate"/>
      </w:r>
      <w:r>
        <w:rPr>
          <w:rFonts w:ascii="Times New Roman" w:hAnsi="Times New Roman" w:eastAsia="宋体" w:cs="Times New Roman"/>
          <w:bCs/>
          <w:kern w:val="2"/>
          <w:sz w:val="24"/>
          <w:szCs w:val="24"/>
          <w:lang w:val="en-US" w:eastAsia="zh-CN" w:bidi="ar-SA"/>
        </w:rPr>
        <w:t>1.3工作原则</w:t>
      </w:r>
      <w:r>
        <w:rPr>
          <w:sz w:val="24"/>
          <w:szCs w:val="24"/>
        </w:rPr>
        <w:tab/>
      </w:r>
      <w:r>
        <w:rPr>
          <w:sz w:val="24"/>
          <w:szCs w:val="24"/>
        </w:rPr>
        <w:fldChar w:fldCharType="begin"/>
      </w:r>
      <w:r>
        <w:rPr>
          <w:sz w:val="24"/>
          <w:szCs w:val="24"/>
        </w:rPr>
        <w:instrText xml:space="preserve"> PAGEREF _Toc25723 \h </w:instrText>
      </w:r>
      <w:r>
        <w:rPr>
          <w:sz w:val="24"/>
          <w:szCs w:val="24"/>
        </w:rPr>
        <w:fldChar w:fldCharType="separate"/>
      </w:r>
      <w:r>
        <w:rPr>
          <w:sz w:val="24"/>
          <w:szCs w:val="24"/>
        </w:rPr>
        <w:t>2</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_Toc26767 </w:instrText>
      </w:r>
      <w:r>
        <w:rPr>
          <w:sz w:val="24"/>
          <w:szCs w:val="24"/>
        </w:rPr>
        <w:fldChar w:fldCharType="separate"/>
      </w:r>
      <w:r>
        <w:rPr>
          <w:rFonts w:ascii="Times New Roman" w:hAnsi="Times New Roman" w:eastAsia="宋体" w:cs="Times New Roman"/>
          <w:bCs/>
          <w:kern w:val="2"/>
          <w:sz w:val="24"/>
          <w:szCs w:val="24"/>
          <w:lang w:val="en-US" w:eastAsia="zh-CN" w:bidi="ar-SA"/>
        </w:rPr>
        <w:t>1.4评价依据</w:t>
      </w:r>
      <w:r>
        <w:rPr>
          <w:sz w:val="24"/>
          <w:szCs w:val="24"/>
        </w:rPr>
        <w:tab/>
      </w:r>
      <w:r>
        <w:rPr>
          <w:sz w:val="24"/>
          <w:szCs w:val="24"/>
        </w:rPr>
        <w:fldChar w:fldCharType="begin"/>
      </w:r>
      <w:r>
        <w:rPr>
          <w:sz w:val="24"/>
          <w:szCs w:val="24"/>
        </w:rPr>
        <w:instrText xml:space="preserve"> PAGEREF _Toc26767 \h </w:instrText>
      </w:r>
      <w:r>
        <w:rPr>
          <w:sz w:val="24"/>
          <w:szCs w:val="24"/>
        </w:rPr>
        <w:fldChar w:fldCharType="separate"/>
      </w:r>
      <w:r>
        <w:rPr>
          <w:sz w:val="24"/>
          <w:szCs w:val="24"/>
        </w:rPr>
        <w:t>2</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_Toc3582 </w:instrText>
      </w:r>
      <w:r>
        <w:rPr>
          <w:sz w:val="24"/>
          <w:szCs w:val="24"/>
        </w:rPr>
        <w:fldChar w:fldCharType="separate"/>
      </w:r>
      <w:r>
        <w:rPr>
          <w:rFonts w:ascii="Times New Roman" w:hAnsi="Times New Roman" w:eastAsia="宋体" w:cs="Times New Roman"/>
          <w:bCs/>
          <w:kern w:val="2"/>
          <w:sz w:val="24"/>
          <w:szCs w:val="24"/>
          <w:lang w:val="en-US" w:eastAsia="zh-CN" w:bidi="ar-SA"/>
        </w:rPr>
        <w:t>1.5生态环境评价工作等级及范围</w:t>
      </w:r>
      <w:r>
        <w:rPr>
          <w:sz w:val="24"/>
          <w:szCs w:val="24"/>
        </w:rPr>
        <w:tab/>
      </w:r>
      <w:r>
        <w:rPr>
          <w:sz w:val="24"/>
          <w:szCs w:val="24"/>
        </w:rPr>
        <w:fldChar w:fldCharType="begin"/>
      </w:r>
      <w:r>
        <w:rPr>
          <w:sz w:val="24"/>
          <w:szCs w:val="24"/>
        </w:rPr>
        <w:instrText xml:space="preserve"> PAGEREF _Toc3582 \h </w:instrText>
      </w:r>
      <w:r>
        <w:rPr>
          <w:sz w:val="24"/>
          <w:szCs w:val="24"/>
        </w:rPr>
        <w:fldChar w:fldCharType="separate"/>
      </w:r>
      <w:r>
        <w:rPr>
          <w:sz w:val="24"/>
          <w:szCs w:val="24"/>
        </w:rPr>
        <w:t>5</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_Toc18524 </w:instrText>
      </w:r>
      <w:r>
        <w:rPr>
          <w:sz w:val="24"/>
          <w:szCs w:val="24"/>
        </w:rPr>
        <w:fldChar w:fldCharType="separate"/>
      </w:r>
      <w:r>
        <w:rPr>
          <w:rFonts w:hint="eastAsia" w:ascii="Times New Roman" w:hAnsi="Times New Roman" w:eastAsia="宋体" w:cs="Times New Roman"/>
          <w:bCs/>
          <w:kern w:val="2"/>
          <w:sz w:val="24"/>
          <w:szCs w:val="24"/>
          <w:lang w:val="en-US" w:eastAsia="zh-CN" w:bidi="ar-SA"/>
        </w:rPr>
        <w:t>1.6评价因子筛选及评价重点</w:t>
      </w:r>
      <w:r>
        <w:rPr>
          <w:sz w:val="24"/>
          <w:szCs w:val="24"/>
        </w:rPr>
        <w:tab/>
      </w:r>
      <w:r>
        <w:rPr>
          <w:sz w:val="24"/>
          <w:szCs w:val="24"/>
        </w:rPr>
        <w:fldChar w:fldCharType="begin"/>
      </w:r>
      <w:r>
        <w:rPr>
          <w:sz w:val="24"/>
          <w:szCs w:val="24"/>
        </w:rPr>
        <w:instrText xml:space="preserve"> PAGEREF _Toc18524 \h </w:instrText>
      </w:r>
      <w:r>
        <w:rPr>
          <w:sz w:val="24"/>
          <w:szCs w:val="24"/>
        </w:rPr>
        <w:fldChar w:fldCharType="separate"/>
      </w:r>
      <w:r>
        <w:rPr>
          <w:sz w:val="24"/>
          <w:szCs w:val="24"/>
        </w:rPr>
        <w:t>6</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_Toc6705 </w:instrText>
      </w:r>
      <w:r>
        <w:rPr>
          <w:sz w:val="24"/>
          <w:szCs w:val="24"/>
        </w:rPr>
        <w:fldChar w:fldCharType="separate"/>
      </w:r>
      <w:r>
        <w:rPr>
          <w:rFonts w:ascii="Times New Roman" w:hAnsi="Times New Roman" w:eastAsia="宋体" w:cs="Times New Roman"/>
          <w:kern w:val="2"/>
          <w:sz w:val="24"/>
          <w:szCs w:val="24"/>
          <w:lang w:val="en-US" w:eastAsia="zh-CN" w:bidi="ar-SA"/>
        </w:rPr>
        <w:t>1.</w:t>
      </w:r>
      <w:r>
        <w:rPr>
          <w:rFonts w:hint="eastAsia" w:ascii="Times New Roman" w:hAnsi="Times New Roman" w:eastAsia="宋体" w:cs="Times New Roman"/>
          <w:kern w:val="2"/>
          <w:sz w:val="24"/>
          <w:szCs w:val="24"/>
          <w:lang w:val="en-US" w:eastAsia="zh-CN" w:bidi="ar-SA"/>
        </w:rPr>
        <w:t>7</w:t>
      </w:r>
      <w:r>
        <w:rPr>
          <w:rFonts w:ascii="Times New Roman" w:hAnsi="Times New Roman" w:eastAsia="宋体" w:cs="Times New Roman"/>
          <w:kern w:val="2"/>
          <w:sz w:val="24"/>
          <w:szCs w:val="24"/>
          <w:lang w:val="en-US" w:eastAsia="zh-CN" w:bidi="ar-SA"/>
        </w:rPr>
        <w:t>生态环境保护目标</w:t>
      </w:r>
      <w:r>
        <w:rPr>
          <w:sz w:val="24"/>
          <w:szCs w:val="24"/>
        </w:rPr>
        <w:tab/>
      </w:r>
      <w:r>
        <w:rPr>
          <w:sz w:val="24"/>
          <w:szCs w:val="24"/>
        </w:rPr>
        <w:fldChar w:fldCharType="begin"/>
      </w:r>
      <w:r>
        <w:rPr>
          <w:sz w:val="24"/>
          <w:szCs w:val="24"/>
        </w:rPr>
        <w:instrText xml:space="preserve"> PAGEREF _Toc6705 \h </w:instrText>
      </w:r>
      <w:r>
        <w:rPr>
          <w:sz w:val="24"/>
          <w:szCs w:val="24"/>
        </w:rPr>
        <w:fldChar w:fldCharType="separate"/>
      </w:r>
      <w:r>
        <w:rPr>
          <w:sz w:val="24"/>
          <w:szCs w:val="24"/>
        </w:rPr>
        <w:t>7</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_Toc24344 </w:instrText>
      </w:r>
      <w:r>
        <w:rPr>
          <w:sz w:val="24"/>
          <w:szCs w:val="24"/>
        </w:rPr>
        <w:fldChar w:fldCharType="separate"/>
      </w:r>
      <w:r>
        <w:rPr>
          <w:rFonts w:ascii="Times New Roman" w:hAnsi="Times New Roman" w:eastAsia="宋体" w:cs="Times New Roman"/>
          <w:snapToGrid w:val="0"/>
          <w:kern w:val="0"/>
          <w:sz w:val="24"/>
          <w:szCs w:val="24"/>
          <w:lang w:val="en-US" w:eastAsia="zh-CN" w:bidi="ar-SA"/>
        </w:rPr>
        <w:t>2项目工程分析</w:t>
      </w:r>
      <w:r>
        <w:rPr>
          <w:sz w:val="24"/>
          <w:szCs w:val="24"/>
        </w:rPr>
        <w:tab/>
      </w:r>
      <w:r>
        <w:rPr>
          <w:sz w:val="24"/>
          <w:szCs w:val="24"/>
        </w:rPr>
        <w:fldChar w:fldCharType="begin"/>
      </w:r>
      <w:r>
        <w:rPr>
          <w:sz w:val="24"/>
          <w:szCs w:val="24"/>
        </w:rPr>
        <w:instrText xml:space="preserve"> PAGEREF _Toc24344 \h </w:instrText>
      </w:r>
      <w:r>
        <w:rPr>
          <w:sz w:val="24"/>
          <w:szCs w:val="24"/>
        </w:rPr>
        <w:fldChar w:fldCharType="separate"/>
      </w:r>
      <w:r>
        <w:rPr>
          <w:sz w:val="24"/>
          <w:szCs w:val="24"/>
        </w:rPr>
        <w:t>8</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_Toc27036 </w:instrText>
      </w:r>
      <w:r>
        <w:rPr>
          <w:sz w:val="24"/>
          <w:szCs w:val="24"/>
        </w:rPr>
        <w:fldChar w:fldCharType="separate"/>
      </w:r>
      <w:r>
        <w:rPr>
          <w:rFonts w:ascii="Times New Roman" w:hAnsi="Times New Roman" w:eastAsia="宋体" w:cs="Times New Roman"/>
          <w:bCs/>
          <w:kern w:val="2"/>
          <w:sz w:val="24"/>
          <w:szCs w:val="24"/>
          <w:lang w:val="en-US" w:eastAsia="zh-CN" w:bidi="ar-SA"/>
        </w:rPr>
        <w:t>2.1</w:t>
      </w:r>
      <w:r>
        <w:rPr>
          <w:rFonts w:hint="eastAsia" w:ascii="Times New Roman" w:hAnsi="Times New Roman" w:eastAsia="宋体" w:cs="Times New Roman"/>
          <w:bCs/>
          <w:kern w:val="2"/>
          <w:sz w:val="24"/>
          <w:szCs w:val="24"/>
          <w:lang w:val="en-US" w:eastAsia="zh-CN" w:bidi="ar-SA"/>
        </w:rPr>
        <w:t>项目概况</w:t>
      </w:r>
      <w:r>
        <w:rPr>
          <w:sz w:val="24"/>
          <w:szCs w:val="24"/>
        </w:rPr>
        <w:tab/>
      </w:r>
      <w:r>
        <w:rPr>
          <w:sz w:val="24"/>
          <w:szCs w:val="24"/>
        </w:rPr>
        <w:fldChar w:fldCharType="begin"/>
      </w:r>
      <w:r>
        <w:rPr>
          <w:sz w:val="24"/>
          <w:szCs w:val="24"/>
        </w:rPr>
        <w:instrText xml:space="preserve"> PAGEREF _Toc27036 \h </w:instrText>
      </w:r>
      <w:r>
        <w:rPr>
          <w:sz w:val="24"/>
          <w:szCs w:val="24"/>
        </w:rPr>
        <w:fldChar w:fldCharType="separate"/>
      </w:r>
      <w:r>
        <w:rPr>
          <w:sz w:val="24"/>
          <w:szCs w:val="24"/>
        </w:rPr>
        <w:t>8</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_Toc25875 </w:instrText>
      </w:r>
      <w:r>
        <w:rPr>
          <w:sz w:val="24"/>
          <w:szCs w:val="24"/>
        </w:rPr>
        <w:fldChar w:fldCharType="separate"/>
      </w:r>
      <w:r>
        <w:rPr>
          <w:rFonts w:hint="eastAsia" w:ascii="Times New Roman" w:hAnsi="Times New Roman" w:eastAsia="宋体" w:cs="Times New Roman"/>
          <w:bCs/>
          <w:kern w:val="2"/>
          <w:sz w:val="24"/>
          <w:szCs w:val="24"/>
          <w:lang w:val="en-US" w:eastAsia="zh-CN" w:bidi="ar-SA"/>
        </w:rPr>
        <w:t>2.2</w:t>
      </w:r>
      <w:r>
        <w:rPr>
          <w:rFonts w:ascii="Times New Roman" w:hAnsi="Times New Roman" w:eastAsia="宋体" w:cs="Times New Roman"/>
          <w:bCs/>
          <w:kern w:val="2"/>
          <w:sz w:val="24"/>
          <w:szCs w:val="24"/>
          <w:lang w:val="en-US" w:eastAsia="zh-CN" w:bidi="ar-SA"/>
        </w:rPr>
        <w:t>工程建设内容</w:t>
      </w:r>
      <w:r>
        <w:rPr>
          <w:sz w:val="24"/>
          <w:szCs w:val="24"/>
        </w:rPr>
        <w:tab/>
      </w:r>
      <w:r>
        <w:rPr>
          <w:sz w:val="24"/>
          <w:szCs w:val="24"/>
        </w:rPr>
        <w:fldChar w:fldCharType="begin"/>
      </w:r>
      <w:r>
        <w:rPr>
          <w:sz w:val="24"/>
          <w:szCs w:val="24"/>
        </w:rPr>
        <w:instrText xml:space="preserve"> PAGEREF _Toc25875 \h </w:instrText>
      </w:r>
      <w:r>
        <w:rPr>
          <w:sz w:val="24"/>
          <w:szCs w:val="24"/>
        </w:rPr>
        <w:fldChar w:fldCharType="separate"/>
      </w:r>
      <w:r>
        <w:rPr>
          <w:sz w:val="24"/>
          <w:szCs w:val="24"/>
        </w:rPr>
        <w:t>8</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_Toc28057 </w:instrText>
      </w:r>
      <w:r>
        <w:rPr>
          <w:sz w:val="24"/>
          <w:szCs w:val="24"/>
        </w:rPr>
        <w:fldChar w:fldCharType="separate"/>
      </w:r>
      <w:r>
        <w:rPr>
          <w:rFonts w:ascii="Times New Roman" w:hAnsi="Times New Roman" w:eastAsia="宋体" w:cs="Times New Roman"/>
          <w:bCs w:val="0"/>
          <w:snapToGrid w:val="0"/>
          <w:kern w:val="0"/>
          <w:sz w:val="24"/>
          <w:szCs w:val="24"/>
          <w:lang w:val="en-US" w:eastAsia="zh-CN" w:bidi="ar-SA"/>
        </w:rPr>
        <w:t>3生态环境现状调查与评价</w:t>
      </w:r>
      <w:r>
        <w:rPr>
          <w:sz w:val="24"/>
          <w:szCs w:val="24"/>
        </w:rPr>
        <w:tab/>
      </w:r>
      <w:r>
        <w:rPr>
          <w:sz w:val="24"/>
          <w:szCs w:val="24"/>
        </w:rPr>
        <w:fldChar w:fldCharType="begin"/>
      </w:r>
      <w:r>
        <w:rPr>
          <w:sz w:val="24"/>
          <w:szCs w:val="24"/>
        </w:rPr>
        <w:instrText xml:space="preserve"> PAGEREF _Toc28057 \h </w:instrText>
      </w:r>
      <w:r>
        <w:rPr>
          <w:sz w:val="24"/>
          <w:szCs w:val="24"/>
        </w:rPr>
        <w:fldChar w:fldCharType="separate"/>
      </w:r>
      <w:r>
        <w:rPr>
          <w:sz w:val="24"/>
          <w:szCs w:val="24"/>
        </w:rPr>
        <w:t>9</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_Toc16249 </w:instrText>
      </w:r>
      <w:r>
        <w:rPr>
          <w:sz w:val="24"/>
          <w:szCs w:val="24"/>
        </w:rPr>
        <w:fldChar w:fldCharType="separate"/>
      </w:r>
      <w:r>
        <w:rPr>
          <w:rFonts w:ascii="Times New Roman" w:hAnsi="Times New Roman" w:eastAsia="宋体" w:cs="Times New Roman"/>
          <w:bCs/>
          <w:kern w:val="2"/>
          <w:sz w:val="24"/>
          <w:szCs w:val="24"/>
          <w:lang w:val="en-US" w:eastAsia="zh-CN" w:bidi="ar-SA"/>
        </w:rPr>
        <w:t>3.1</w:t>
      </w:r>
      <w:r>
        <w:rPr>
          <w:rFonts w:hint="eastAsia" w:ascii="Times New Roman" w:hAnsi="Times New Roman" w:eastAsia="宋体" w:cs="Times New Roman"/>
          <w:bCs/>
          <w:kern w:val="2"/>
          <w:sz w:val="24"/>
          <w:szCs w:val="24"/>
          <w:lang w:val="en-US" w:eastAsia="zh-CN" w:bidi="ar-SA"/>
        </w:rPr>
        <w:t>土地利用现状</w:t>
      </w:r>
      <w:r>
        <w:rPr>
          <w:sz w:val="24"/>
          <w:szCs w:val="24"/>
        </w:rPr>
        <w:tab/>
      </w:r>
      <w:r>
        <w:rPr>
          <w:sz w:val="24"/>
          <w:szCs w:val="24"/>
        </w:rPr>
        <w:fldChar w:fldCharType="begin"/>
      </w:r>
      <w:r>
        <w:rPr>
          <w:sz w:val="24"/>
          <w:szCs w:val="24"/>
        </w:rPr>
        <w:instrText xml:space="preserve"> PAGEREF _Toc16249 \h </w:instrText>
      </w:r>
      <w:r>
        <w:rPr>
          <w:sz w:val="24"/>
          <w:szCs w:val="24"/>
        </w:rPr>
        <w:fldChar w:fldCharType="separate"/>
      </w:r>
      <w:r>
        <w:rPr>
          <w:sz w:val="24"/>
          <w:szCs w:val="24"/>
        </w:rPr>
        <w:t>9</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_Toc13037 </w:instrText>
      </w:r>
      <w:r>
        <w:rPr>
          <w:sz w:val="24"/>
          <w:szCs w:val="24"/>
        </w:rPr>
        <w:fldChar w:fldCharType="separate"/>
      </w:r>
      <w:r>
        <w:rPr>
          <w:rFonts w:hint="eastAsia" w:ascii="Times New Roman" w:hAnsi="Times New Roman" w:eastAsia="宋体" w:cs="Times New Roman"/>
          <w:bCs/>
          <w:kern w:val="2"/>
          <w:sz w:val="24"/>
          <w:szCs w:val="24"/>
          <w:lang w:val="en-US" w:eastAsia="zh-CN" w:bidi="ar-SA"/>
        </w:rPr>
        <w:t>3</w:t>
      </w:r>
      <w:r>
        <w:rPr>
          <w:rFonts w:hint="default" w:ascii="Times New Roman" w:hAnsi="Times New Roman" w:eastAsia="宋体" w:cs="Times New Roman"/>
          <w:bCs/>
          <w:kern w:val="2"/>
          <w:sz w:val="24"/>
          <w:szCs w:val="24"/>
          <w:lang w:val="en-US" w:eastAsia="zh-CN" w:bidi="ar-SA"/>
        </w:rPr>
        <w:t>.2生态环境</w:t>
      </w:r>
      <w:r>
        <w:rPr>
          <w:rFonts w:hint="eastAsia" w:ascii="Times New Roman" w:hAnsi="Times New Roman" w:eastAsia="宋体" w:cs="Times New Roman"/>
          <w:bCs/>
          <w:kern w:val="2"/>
          <w:sz w:val="24"/>
          <w:szCs w:val="24"/>
          <w:lang w:val="en-US" w:eastAsia="zh-CN" w:bidi="ar-SA"/>
        </w:rPr>
        <w:t>调查与评价</w:t>
      </w:r>
      <w:r>
        <w:rPr>
          <w:sz w:val="24"/>
          <w:szCs w:val="24"/>
        </w:rPr>
        <w:tab/>
      </w:r>
      <w:r>
        <w:rPr>
          <w:sz w:val="24"/>
          <w:szCs w:val="24"/>
        </w:rPr>
        <w:fldChar w:fldCharType="begin"/>
      </w:r>
      <w:r>
        <w:rPr>
          <w:sz w:val="24"/>
          <w:szCs w:val="24"/>
        </w:rPr>
        <w:instrText xml:space="preserve"> PAGEREF _Toc13037 \h </w:instrText>
      </w:r>
      <w:r>
        <w:rPr>
          <w:sz w:val="24"/>
          <w:szCs w:val="24"/>
        </w:rPr>
        <w:fldChar w:fldCharType="separate"/>
      </w:r>
      <w:r>
        <w:rPr>
          <w:sz w:val="24"/>
          <w:szCs w:val="24"/>
        </w:rPr>
        <w:t>9</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_Toc23303 </w:instrText>
      </w:r>
      <w:r>
        <w:rPr>
          <w:sz w:val="24"/>
          <w:szCs w:val="24"/>
        </w:rPr>
        <w:fldChar w:fldCharType="separate"/>
      </w:r>
      <w:r>
        <w:rPr>
          <w:rFonts w:hint="eastAsia" w:ascii="Times New Roman" w:hAnsi="Times New Roman" w:eastAsia="宋体" w:cs="Times New Roman"/>
          <w:bCs/>
          <w:kern w:val="2"/>
          <w:sz w:val="24"/>
          <w:szCs w:val="24"/>
          <w:lang w:val="en-US" w:eastAsia="zh-CN" w:bidi="ar-SA"/>
        </w:rPr>
        <w:t>3</w:t>
      </w:r>
      <w:r>
        <w:rPr>
          <w:rFonts w:hint="default" w:ascii="Times New Roman" w:hAnsi="Times New Roman" w:eastAsia="宋体" w:cs="Times New Roman"/>
          <w:bCs/>
          <w:kern w:val="2"/>
          <w:sz w:val="24"/>
          <w:szCs w:val="24"/>
          <w:lang w:val="en-US" w:eastAsia="zh-CN" w:bidi="ar-SA"/>
        </w:rPr>
        <w:t>.</w:t>
      </w:r>
      <w:r>
        <w:rPr>
          <w:rFonts w:hint="eastAsia" w:ascii="Times New Roman" w:hAnsi="Times New Roman" w:eastAsia="宋体" w:cs="Times New Roman"/>
          <w:bCs/>
          <w:kern w:val="2"/>
          <w:sz w:val="24"/>
          <w:szCs w:val="24"/>
          <w:lang w:val="en-US" w:eastAsia="zh-CN" w:bidi="ar-SA"/>
        </w:rPr>
        <w:t>3湖南东洞庭湖国家级自然保护区</w:t>
      </w:r>
      <w:r>
        <w:rPr>
          <w:sz w:val="24"/>
          <w:szCs w:val="24"/>
        </w:rPr>
        <w:tab/>
      </w:r>
      <w:r>
        <w:rPr>
          <w:sz w:val="24"/>
          <w:szCs w:val="24"/>
        </w:rPr>
        <w:fldChar w:fldCharType="begin"/>
      </w:r>
      <w:r>
        <w:rPr>
          <w:sz w:val="24"/>
          <w:szCs w:val="24"/>
        </w:rPr>
        <w:instrText xml:space="preserve"> PAGEREF _Toc23303 \h </w:instrText>
      </w:r>
      <w:r>
        <w:rPr>
          <w:sz w:val="24"/>
          <w:szCs w:val="24"/>
        </w:rPr>
        <w:fldChar w:fldCharType="separate"/>
      </w:r>
      <w:r>
        <w:rPr>
          <w:sz w:val="24"/>
          <w:szCs w:val="24"/>
        </w:rPr>
        <w:t>29</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_Toc25163 </w:instrText>
      </w:r>
      <w:r>
        <w:rPr>
          <w:sz w:val="24"/>
          <w:szCs w:val="24"/>
        </w:rPr>
        <w:fldChar w:fldCharType="separate"/>
      </w:r>
      <w:r>
        <w:rPr>
          <w:rFonts w:hint="eastAsia" w:ascii="Times New Roman" w:hAnsi="Times New Roman" w:eastAsia="宋体" w:cs="Times New Roman"/>
          <w:bCs w:val="0"/>
          <w:snapToGrid w:val="0"/>
          <w:kern w:val="0"/>
          <w:sz w:val="24"/>
          <w:szCs w:val="24"/>
          <w:lang w:val="en-US" w:eastAsia="zh-CN" w:bidi="ar-SA"/>
        </w:rPr>
        <w:t>4</w:t>
      </w:r>
      <w:r>
        <w:rPr>
          <w:rFonts w:ascii="Times New Roman" w:hAnsi="Times New Roman" w:eastAsia="宋体" w:cs="Times New Roman"/>
          <w:bCs w:val="0"/>
          <w:snapToGrid w:val="0"/>
          <w:kern w:val="0"/>
          <w:sz w:val="24"/>
          <w:szCs w:val="24"/>
          <w:lang w:val="en-US" w:eastAsia="zh-CN" w:bidi="ar-SA"/>
        </w:rPr>
        <w:t>生态环境</w:t>
      </w:r>
      <w:r>
        <w:rPr>
          <w:rFonts w:hint="eastAsia" w:ascii="Times New Roman" w:hAnsi="Times New Roman" w:eastAsia="宋体" w:cs="Times New Roman"/>
          <w:bCs w:val="0"/>
          <w:snapToGrid w:val="0"/>
          <w:kern w:val="0"/>
          <w:sz w:val="24"/>
          <w:szCs w:val="24"/>
          <w:lang w:val="en-US" w:eastAsia="zh-CN" w:bidi="ar-SA"/>
        </w:rPr>
        <w:t>影响</w:t>
      </w:r>
      <w:r>
        <w:rPr>
          <w:rFonts w:ascii="Times New Roman" w:hAnsi="Times New Roman" w:eastAsia="宋体" w:cs="Times New Roman"/>
          <w:bCs w:val="0"/>
          <w:snapToGrid w:val="0"/>
          <w:kern w:val="0"/>
          <w:sz w:val="24"/>
          <w:szCs w:val="24"/>
          <w:lang w:val="en-US" w:eastAsia="zh-CN" w:bidi="ar-SA"/>
        </w:rPr>
        <w:t>评价</w:t>
      </w:r>
      <w:r>
        <w:rPr>
          <w:sz w:val="24"/>
          <w:szCs w:val="24"/>
        </w:rPr>
        <w:tab/>
      </w:r>
      <w:r>
        <w:rPr>
          <w:sz w:val="24"/>
          <w:szCs w:val="24"/>
        </w:rPr>
        <w:fldChar w:fldCharType="begin"/>
      </w:r>
      <w:r>
        <w:rPr>
          <w:sz w:val="24"/>
          <w:szCs w:val="24"/>
        </w:rPr>
        <w:instrText xml:space="preserve"> PAGEREF _Toc25163 \h </w:instrText>
      </w:r>
      <w:r>
        <w:rPr>
          <w:sz w:val="24"/>
          <w:szCs w:val="24"/>
        </w:rPr>
        <w:fldChar w:fldCharType="separate"/>
      </w:r>
      <w:r>
        <w:rPr>
          <w:sz w:val="24"/>
          <w:szCs w:val="24"/>
        </w:rPr>
        <w:t>34</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_Toc30972 </w:instrText>
      </w:r>
      <w:r>
        <w:rPr>
          <w:sz w:val="24"/>
          <w:szCs w:val="24"/>
        </w:rPr>
        <w:fldChar w:fldCharType="separate"/>
      </w:r>
      <w:r>
        <w:rPr>
          <w:rFonts w:ascii="Times New Roman" w:hAnsi="Times New Roman" w:eastAsia="宋体" w:cs="Times New Roman"/>
          <w:bCs/>
          <w:kern w:val="2"/>
          <w:sz w:val="24"/>
          <w:szCs w:val="24"/>
          <w:lang w:val="en-US" w:eastAsia="zh-CN" w:bidi="ar-SA"/>
        </w:rPr>
        <w:t xml:space="preserve">4.1 </w:t>
      </w:r>
      <w:r>
        <w:rPr>
          <w:rFonts w:hint="eastAsia" w:ascii="Times New Roman" w:hAnsi="Times New Roman" w:eastAsia="宋体" w:cs="Times New Roman"/>
          <w:bCs/>
          <w:kern w:val="2"/>
          <w:sz w:val="24"/>
          <w:szCs w:val="24"/>
          <w:lang w:val="en-US" w:eastAsia="zh-CN" w:bidi="ar-SA"/>
        </w:rPr>
        <w:t>施工期生态环境影响分析与评价</w:t>
      </w:r>
      <w:r>
        <w:rPr>
          <w:sz w:val="24"/>
          <w:szCs w:val="24"/>
        </w:rPr>
        <w:tab/>
      </w:r>
      <w:r>
        <w:rPr>
          <w:sz w:val="24"/>
          <w:szCs w:val="24"/>
        </w:rPr>
        <w:fldChar w:fldCharType="begin"/>
      </w:r>
      <w:r>
        <w:rPr>
          <w:sz w:val="24"/>
          <w:szCs w:val="24"/>
        </w:rPr>
        <w:instrText xml:space="preserve"> PAGEREF _Toc30972 \h </w:instrText>
      </w:r>
      <w:r>
        <w:rPr>
          <w:sz w:val="24"/>
          <w:szCs w:val="24"/>
        </w:rPr>
        <w:fldChar w:fldCharType="separate"/>
      </w:r>
      <w:r>
        <w:rPr>
          <w:sz w:val="24"/>
          <w:szCs w:val="24"/>
        </w:rPr>
        <w:t>34</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_Toc28130 </w:instrText>
      </w:r>
      <w:r>
        <w:rPr>
          <w:sz w:val="24"/>
          <w:szCs w:val="24"/>
        </w:rPr>
        <w:fldChar w:fldCharType="separate"/>
      </w:r>
      <w:r>
        <w:rPr>
          <w:rFonts w:ascii="Times New Roman" w:hAnsi="Times New Roman" w:eastAsia="宋体" w:cs="Times New Roman"/>
          <w:bCs/>
          <w:kern w:val="2"/>
          <w:sz w:val="24"/>
          <w:szCs w:val="24"/>
          <w:lang w:val="en-US" w:eastAsia="zh-CN" w:bidi="ar-SA"/>
        </w:rPr>
        <w:t>4.</w:t>
      </w:r>
      <w:r>
        <w:rPr>
          <w:rFonts w:hint="eastAsia" w:ascii="Times New Roman" w:hAnsi="Times New Roman" w:eastAsia="宋体" w:cs="Times New Roman"/>
          <w:bCs/>
          <w:kern w:val="2"/>
          <w:sz w:val="24"/>
          <w:szCs w:val="24"/>
          <w:lang w:val="en-US" w:eastAsia="zh-CN" w:bidi="ar-SA"/>
        </w:rPr>
        <w:t>2</w:t>
      </w:r>
      <w:r>
        <w:rPr>
          <w:rFonts w:ascii="Times New Roman" w:hAnsi="Times New Roman" w:eastAsia="宋体" w:cs="Times New Roman"/>
          <w:bCs/>
          <w:kern w:val="2"/>
          <w:sz w:val="24"/>
          <w:szCs w:val="24"/>
          <w:lang w:val="en-US" w:eastAsia="zh-CN" w:bidi="ar-SA"/>
        </w:rPr>
        <w:t xml:space="preserve"> </w:t>
      </w:r>
      <w:r>
        <w:rPr>
          <w:rFonts w:hint="eastAsia" w:ascii="Times New Roman" w:hAnsi="Times New Roman" w:eastAsia="宋体" w:cs="Times New Roman"/>
          <w:bCs/>
          <w:kern w:val="2"/>
          <w:sz w:val="24"/>
          <w:szCs w:val="24"/>
          <w:lang w:val="en-US" w:eastAsia="zh-CN" w:bidi="ar-SA"/>
        </w:rPr>
        <w:t>运营期生态环境影响分析与评价</w:t>
      </w:r>
      <w:r>
        <w:rPr>
          <w:sz w:val="24"/>
          <w:szCs w:val="24"/>
        </w:rPr>
        <w:tab/>
      </w:r>
      <w:r>
        <w:rPr>
          <w:sz w:val="24"/>
          <w:szCs w:val="24"/>
        </w:rPr>
        <w:fldChar w:fldCharType="begin"/>
      </w:r>
      <w:r>
        <w:rPr>
          <w:sz w:val="24"/>
          <w:szCs w:val="24"/>
        </w:rPr>
        <w:instrText xml:space="preserve"> PAGEREF _Toc28130 \h </w:instrText>
      </w:r>
      <w:r>
        <w:rPr>
          <w:sz w:val="24"/>
          <w:szCs w:val="24"/>
        </w:rPr>
        <w:fldChar w:fldCharType="separate"/>
      </w:r>
      <w:r>
        <w:rPr>
          <w:sz w:val="24"/>
          <w:szCs w:val="24"/>
        </w:rPr>
        <w:t>37</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_Toc26868 </w:instrText>
      </w:r>
      <w:r>
        <w:rPr>
          <w:sz w:val="24"/>
          <w:szCs w:val="24"/>
        </w:rPr>
        <w:fldChar w:fldCharType="separate"/>
      </w:r>
      <w:r>
        <w:rPr>
          <w:rFonts w:ascii="Times New Roman" w:hAnsi="Times New Roman" w:eastAsia="宋体" w:cs="Times New Roman"/>
          <w:bCs w:val="0"/>
          <w:snapToGrid w:val="0"/>
          <w:kern w:val="0"/>
          <w:sz w:val="24"/>
          <w:szCs w:val="24"/>
          <w:lang w:val="en-US" w:eastAsia="zh-CN" w:bidi="ar-SA"/>
        </w:rPr>
        <w:t>5生态保护对策措施</w:t>
      </w:r>
      <w:r>
        <w:rPr>
          <w:sz w:val="24"/>
          <w:szCs w:val="24"/>
        </w:rPr>
        <w:tab/>
      </w:r>
      <w:r>
        <w:rPr>
          <w:sz w:val="24"/>
          <w:szCs w:val="24"/>
        </w:rPr>
        <w:fldChar w:fldCharType="begin"/>
      </w:r>
      <w:r>
        <w:rPr>
          <w:sz w:val="24"/>
          <w:szCs w:val="24"/>
        </w:rPr>
        <w:instrText xml:space="preserve"> PAGEREF _Toc26868 \h </w:instrText>
      </w:r>
      <w:r>
        <w:rPr>
          <w:sz w:val="24"/>
          <w:szCs w:val="24"/>
        </w:rPr>
        <w:fldChar w:fldCharType="separate"/>
      </w:r>
      <w:r>
        <w:rPr>
          <w:sz w:val="24"/>
          <w:szCs w:val="24"/>
        </w:rPr>
        <w:t>39</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_Toc7266 </w:instrText>
      </w:r>
      <w:r>
        <w:rPr>
          <w:sz w:val="24"/>
          <w:szCs w:val="24"/>
        </w:rPr>
        <w:fldChar w:fldCharType="separate"/>
      </w:r>
      <w:r>
        <w:rPr>
          <w:rFonts w:ascii="Times New Roman" w:hAnsi="Times New Roman" w:eastAsia="宋体" w:cs="Times New Roman"/>
          <w:bCs/>
          <w:kern w:val="2"/>
          <w:sz w:val="24"/>
          <w:szCs w:val="24"/>
          <w:lang w:val="en-US" w:eastAsia="zh-CN" w:bidi="ar-SA"/>
        </w:rPr>
        <w:t>5.1施工期生态保护措施</w:t>
      </w:r>
      <w:r>
        <w:rPr>
          <w:sz w:val="24"/>
          <w:szCs w:val="24"/>
        </w:rPr>
        <w:tab/>
      </w:r>
      <w:r>
        <w:rPr>
          <w:sz w:val="24"/>
          <w:szCs w:val="24"/>
        </w:rPr>
        <w:fldChar w:fldCharType="begin"/>
      </w:r>
      <w:r>
        <w:rPr>
          <w:sz w:val="24"/>
          <w:szCs w:val="24"/>
        </w:rPr>
        <w:instrText xml:space="preserve"> PAGEREF _Toc7266 \h </w:instrText>
      </w:r>
      <w:r>
        <w:rPr>
          <w:sz w:val="24"/>
          <w:szCs w:val="24"/>
        </w:rPr>
        <w:fldChar w:fldCharType="separate"/>
      </w:r>
      <w:r>
        <w:rPr>
          <w:sz w:val="24"/>
          <w:szCs w:val="24"/>
        </w:rPr>
        <w:t>39</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_Toc15962 </w:instrText>
      </w:r>
      <w:r>
        <w:rPr>
          <w:sz w:val="24"/>
          <w:szCs w:val="24"/>
        </w:rPr>
        <w:fldChar w:fldCharType="separate"/>
      </w:r>
      <w:r>
        <w:rPr>
          <w:rFonts w:ascii="Times New Roman" w:hAnsi="Times New Roman" w:eastAsia="宋体" w:cs="Times New Roman"/>
          <w:bCs/>
          <w:kern w:val="2"/>
          <w:sz w:val="24"/>
          <w:szCs w:val="24"/>
          <w:lang w:val="en-US" w:eastAsia="zh-CN" w:bidi="ar-SA"/>
        </w:rPr>
        <w:t>5.2营运期生态保护措施</w:t>
      </w:r>
      <w:r>
        <w:rPr>
          <w:sz w:val="24"/>
          <w:szCs w:val="24"/>
        </w:rPr>
        <w:tab/>
      </w:r>
      <w:r>
        <w:rPr>
          <w:sz w:val="24"/>
          <w:szCs w:val="24"/>
        </w:rPr>
        <w:fldChar w:fldCharType="begin"/>
      </w:r>
      <w:r>
        <w:rPr>
          <w:sz w:val="24"/>
          <w:szCs w:val="24"/>
        </w:rPr>
        <w:instrText xml:space="preserve"> PAGEREF _Toc15962 \h </w:instrText>
      </w:r>
      <w:r>
        <w:rPr>
          <w:sz w:val="24"/>
          <w:szCs w:val="24"/>
        </w:rPr>
        <w:fldChar w:fldCharType="separate"/>
      </w:r>
      <w:r>
        <w:rPr>
          <w:sz w:val="24"/>
          <w:szCs w:val="24"/>
        </w:rPr>
        <w:t>41</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_Toc25883 </w:instrText>
      </w:r>
      <w:r>
        <w:rPr>
          <w:sz w:val="24"/>
          <w:szCs w:val="24"/>
        </w:rPr>
        <w:fldChar w:fldCharType="separate"/>
      </w:r>
      <w:r>
        <w:rPr>
          <w:rFonts w:ascii="Times New Roman" w:hAnsi="Times New Roman" w:eastAsia="宋体" w:cs="Times New Roman"/>
          <w:snapToGrid w:val="0"/>
          <w:kern w:val="0"/>
          <w:sz w:val="24"/>
          <w:szCs w:val="24"/>
          <w:lang w:val="en-US" w:eastAsia="zh-CN" w:bidi="ar-SA"/>
        </w:rPr>
        <w:t>6评价结论和建议</w:t>
      </w:r>
      <w:r>
        <w:rPr>
          <w:sz w:val="24"/>
          <w:szCs w:val="24"/>
        </w:rPr>
        <w:tab/>
      </w:r>
      <w:r>
        <w:rPr>
          <w:sz w:val="24"/>
          <w:szCs w:val="24"/>
        </w:rPr>
        <w:fldChar w:fldCharType="begin"/>
      </w:r>
      <w:r>
        <w:rPr>
          <w:sz w:val="24"/>
          <w:szCs w:val="24"/>
        </w:rPr>
        <w:instrText xml:space="preserve"> PAGEREF _Toc25883 \h </w:instrText>
      </w:r>
      <w:r>
        <w:rPr>
          <w:sz w:val="24"/>
          <w:szCs w:val="24"/>
        </w:rPr>
        <w:fldChar w:fldCharType="separate"/>
      </w:r>
      <w:r>
        <w:rPr>
          <w:sz w:val="24"/>
          <w:szCs w:val="24"/>
        </w:rPr>
        <w:t>42</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_Toc18056 </w:instrText>
      </w:r>
      <w:r>
        <w:rPr>
          <w:sz w:val="24"/>
          <w:szCs w:val="24"/>
        </w:rPr>
        <w:fldChar w:fldCharType="separate"/>
      </w:r>
      <w:r>
        <w:rPr>
          <w:rFonts w:ascii="Times New Roman" w:hAnsi="Times New Roman" w:eastAsia="宋体" w:cs="Times New Roman"/>
          <w:bCs/>
          <w:kern w:val="2"/>
          <w:sz w:val="24"/>
          <w:szCs w:val="24"/>
          <w:lang w:val="en-US" w:eastAsia="zh-CN" w:bidi="ar-SA"/>
        </w:rPr>
        <w:t>6.1评价结论</w:t>
      </w:r>
      <w:r>
        <w:rPr>
          <w:sz w:val="24"/>
          <w:szCs w:val="24"/>
        </w:rPr>
        <w:tab/>
      </w:r>
      <w:r>
        <w:rPr>
          <w:sz w:val="24"/>
          <w:szCs w:val="24"/>
        </w:rPr>
        <w:fldChar w:fldCharType="begin"/>
      </w:r>
      <w:r>
        <w:rPr>
          <w:sz w:val="24"/>
          <w:szCs w:val="24"/>
        </w:rPr>
        <w:instrText xml:space="preserve"> PAGEREF _Toc18056 \h </w:instrText>
      </w:r>
      <w:r>
        <w:rPr>
          <w:sz w:val="24"/>
          <w:szCs w:val="24"/>
        </w:rPr>
        <w:fldChar w:fldCharType="separate"/>
      </w:r>
      <w:r>
        <w:rPr>
          <w:sz w:val="24"/>
          <w:szCs w:val="24"/>
        </w:rPr>
        <w:t>42</w:t>
      </w:r>
      <w:r>
        <w:rPr>
          <w:sz w:val="24"/>
          <w:szCs w:val="24"/>
        </w:rPr>
        <w:fldChar w:fldCharType="end"/>
      </w:r>
      <w:r>
        <w:rPr>
          <w:color w:val="auto"/>
          <w:sz w:val="24"/>
          <w:szCs w:val="24"/>
        </w:rPr>
        <w:fldChar w:fldCharType="end"/>
      </w:r>
    </w:p>
    <w:p>
      <w:pPr>
        <w:pStyle w:val="18"/>
        <w:tabs>
          <w:tab w:val="right" w:leader="dot" w:pos="8844"/>
        </w:tabs>
        <w:rPr>
          <w:sz w:val="24"/>
          <w:szCs w:val="24"/>
        </w:rPr>
      </w:pPr>
      <w:r>
        <w:rPr>
          <w:color w:val="auto"/>
          <w:sz w:val="24"/>
          <w:szCs w:val="24"/>
        </w:rPr>
        <w:fldChar w:fldCharType="begin"/>
      </w:r>
      <w:r>
        <w:rPr>
          <w:sz w:val="24"/>
          <w:szCs w:val="24"/>
        </w:rPr>
        <w:instrText xml:space="preserve"> HYPERLINK \l _Toc28196 </w:instrText>
      </w:r>
      <w:r>
        <w:rPr>
          <w:sz w:val="24"/>
          <w:szCs w:val="24"/>
        </w:rPr>
        <w:fldChar w:fldCharType="separate"/>
      </w:r>
      <w:r>
        <w:rPr>
          <w:rFonts w:ascii="Times New Roman" w:hAnsi="Times New Roman" w:eastAsia="宋体" w:cs="Times New Roman"/>
          <w:bCs/>
          <w:kern w:val="2"/>
          <w:sz w:val="24"/>
          <w:szCs w:val="24"/>
          <w:lang w:val="en-US" w:eastAsia="zh-CN" w:bidi="ar-SA"/>
        </w:rPr>
        <w:t>6.2评价建议</w:t>
      </w:r>
      <w:r>
        <w:rPr>
          <w:sz w:val="24"/>
          <w:szCs w:val="24"/>
        </w:rPr>
        <w:tab/>
      </w:r>
      <w:r>
        <w:rPr>
          <w:sz w:val="24"/>
          <w:szCs w:val="24"/>
        </w:rPr>
        <w:fldChar w:fldCharType="begin"/>
      </w:r>
      <w:r>
        <w:rPr>
          <w:sz w:val="24"/>
          <w:szCs w:val="24"/>
        </w:rPr>
        <w:instrText xml:space="preserve"> PAGEREF _Toc28196 \h </w:instrText>
      </w:r>
      <w:r>
        <w:rPr>
          <w:sz w:val="24"/>
          <w:szCs w:val="24"/>
        </w:rPr>
        <w:fldChar w:fldCharType="separate"/>
      </w:r>
      <w:r>
        <w:rPr>
          <w:sz w:val="24"/>
          <w:szCs w:val="24"/>
        </w:rPr>
        <w:t>42</w:t>
      </w:r>
      <w:r>
        <w:rPr>
          <w:sz w:val="24"/>
          <w:szCs w:val="24"/>
        </w:rPr>
        <w:fldChar w:fldCharType="end"/>
      </w:r>
      <w:r>
        <w:rPr>
          <w:color w:val="auto"/>
          <w:sz w:val="24"/>
          <w:szCs w:val="24"/>
        </w:rPr>
        <w:fldChar w:fldCharType="end"/>
      </w:r>
    </w:p>
    <w:p>
      <w:pPr>
        <w:pStyle w:val="18"/>
        <w:tabs>
          <w:tab w:val="right" w:leader="dot" w:pos="8844"/>
        </w:tabs>
      </w:pPr>
      <w:r>
        <w:rPr>
          <w:color w:val="auto"/>
          <w:sz w:val="24"/>
          <w:szCs w:val="24"/>
        </w:rPr>
        <w:fldChar w:fldCharType="begin"/>
      </w:r>
      <w:r>
        <w:rPr>
          <w:sz w:val="24"/>
          <w:szCs w:val="24"/>
        </w:rPr>
        <w:instrText xml:space="preserve"> HYPERLINK \l _Toc27860 </w:instrText>
      </w:r>
      <w:r>
        <w:rPr>
          <w:sz w:val="24"/>
          <w:szCs w:val="24"/>
        </w:rPr>
        <w:fldChar w:fldCharType="separate"/>
      </w:r>
      <w:r>
        <w:rPr>
          <w:rFonts w:hint="default" w:ascii="Times New Roman" w:hAnsi="Times New Roman" w:eastAsia="宋体" w:cs="Times New Roman"/>
          <w:bCs/>
          <w:sz w:val="24"/>
          <w:szCs w:val="24"/>
          <w:lang w:val="en-US" w:eastAsia="zh-CN"/>
        </w:rPr>
        <w:t>生态影响评价自查表</w:t>
      </w:r>
      <w:r>
        <w:rPr>
          <w:sz w:val="24"/>
          <w:szCs w:val="24"/>
        </w:rPr>
        <w:tab/>
      </w:r>
      <w:r>
        <w:rPr>
          <w:sz w:val="24"/>
          <w:szCs w:val="24"/>
        </w:rPr>
        <w:fldChar w:fldCharType="begin"/>
      </w:r>
      <w:r>
        <w:rPr>
          <w:sz w:val="24"/>
          <w:szCs w:val="24"/>
        </w:rPr>
        <w:instrText xml:space="preserve"> PAGEREF _Toc27860 \h </w:instrText>
      </w:r>
      <w:r>
        <w:rPr>
          <w:sz w:val="24"/>
          <w:szCs w:val="24"/>
        </w:rPr>
        <w:fldChar w:fldCharType="separate"/>
      </w:r>
      <w:r>
        <w:rPr>
          <w:sz w:val="24"/>
          <w:szCs w:val="24"/>
        </w:rPr>
        <w:t>43</w:t>
      </w:r>
      <w:r>
        <w:rPr>
          <w:sz w:val="24"/>
          <w:szCs w:val="24"/>
        </w:rPr>
        <w:fldChar w:fldCharType="end"/>
      </w:r>
      <w:r>
        <w:rPr>
          <w:color w:val="auto"/>
          <w:sz w:val="24"/>
          <w:szCs w:val="24"/>
        </w:rPr>
        <w:fldChar w:fldCharType="end"/>
      </w:r>
    </w:p>
    <w:p>
      <w:pPr>
        <w:rPr>
          <w:color w:val="auto"/>
          <w:sz w:val="24"/>
          <w:szCs w:val="24"/>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color w:val="auto"/>
          <w:szCs w:val="24"/>
        </w:rPr>
        <w:fldChar w:fldCharType="end"/>
      </w:r>
    </w:p>
    <w:p>
      <w:pPr>
        <w:pStyle w:val="19"/>
        <w:jc w:val="center"/>
        <w:outlineLvl w:val="0"/>
        <w:rPr>
          <w:rFonts w:ascii="黑体" w:hAnsi="黑体" w:eastAsia="黑体"/>
          <w:snapToGrid w:val="0"/>
          <w:color w:val="auto"/>
          <w:sz w:val="30"/>
          <w:szCs w:val="30"/>
        </w:rPr>
      </w:pPr>
      <w:bookmarkStart w:id="8" w:name="_Toc19136"/>
      <w:bookmarkStart w:id="9" w:name="_Toc29286"/>
      <w:r>
        <w:rPr>
          <w:rFonts w:hint="eastAsia" w:ascii="黑体" w:hAnsi="黑体" w:eastAsia="黑体"/>
          <w:snapToGrid w:val="0"/>
          <w:color w:val="auto"/>
          <w:sz w:val="30"/>
          <w:szCs w:val="30"/>
        </w:rPr>
        <w:t>一、建设项目基本情况</w:t>
      </w:r>
      <w:bookmarkEnd w:id="8"/>
      <w:bookmarkEnd w:id="9"/>
    </w:p>
    <w:tbl>
      <w:tblPr>
        <w:tblStyle w:val="22"/>
        <w:tblW w:w="902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182"/>
        <w:gridCol w:w="2837"/>
        <w:gridCol w:w="2212"/>
        <w:gridCol w:w="278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建设项目</w:t>
            </w:r>
          </w:p>
          <w:p>
            <w:pPr>
              <w:adjustRightInd w:val="0"/>
              <w:snapToGrid w:val="0"/>
              <w:jc w:val="center"/>
              <w:rPr>
                <w:rFonts w:cs="宋体"/>
                <w:color w:val="auto"/>
                <w:sz w:val="24"/>
                <w:szCs w:val="21"/>
              </w:rPr>
            </w:pPr>
            <w:r>
              <w:rPr>
                <w:rFonts w:hint="eastAsia" w:cs="宋体"/>
                <w:color w:val="auto"/>
                <w:sz w:val="24"/>
                <w:szCs w:val="21"/>
              </w:rPr>
              <w:t>名称</w:t>
            </w:r>
          </w:p>
        </w:tc>
        <w:tc>
          <w:tcPr>
            <w:tcW w:w="7838" w:type="dxa"/>
            <w:gridSpan w:val="3"/>
            <w:vAlign w:val="center"/>
          </w:tcPr>
          <w:p>
            <w:pPr>
              <w:adjustRightInd w:val="0"/>
              <w:snapToGrid w:val="0"/>
              <w:jc w:val="center"/>
              <w:rPr>
                <w:rFonts w:cs="宋体"/>
                <w:color w:val="auto"/>
                <w:sz w:val="24"/>
                <w:szCs w:val="21"/>
              </w:rPr>
            </w:pPr>
            <w:r>
              <w:rPr>
                <w:rFonts w:hint="eastAsia" w:ascii="Times New Roman" w:hAnsi="Times New Roman" w:cs="宋体"/>
                <w:color w:val="auto"/>
                <w:sz w:val="24"/>
                <w:szCs w:val="21"/>
                <w:lang w:val="en-US" w:eastAsia="zh-CN"/>
              </w:rPr>
              <w:t>华容县团洲垸灾后重建安置房建设项目（</w:t>
            </w:r>
            <w:r>
              <w:rPr>
                <w:rFonts w:hint="eastAsia" w:cs="宋体"/>
                <w:color w:val="auto"/>
                <w:sz w:val="24"/>
                <w:szCs w:val="21"/>
                <w:lang w:val="en-US" w:eastAsia="zh-CN"/>
              </w:rPr>
              <w:t>二</w:t>
            </w:r>
            <w:r>
              <w:rPr>
                <w:rFonts w:hint="eastAsia" w:ascii="Times New Roman" w:hAnsi="Times New Roman" w:cs="宋体"/>
                <w:color w:val="auto"/>
                <w:sz w:val="24"/>
                <w:szCs w:val="21"/>
                <w:lang w:val="en-US" w:eastAsia="zh-CN"/>
              </w:rPr>
              <w:t>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项目代码</w:t>
            </w:r>
          </w:p>
        </w:tc>
        <w:tc>
          <w:tcPr>
            <w:tcW w:w="7838" w:type="dxa"/>
            <w:gridSpan w:val="3"/>
            <w:vAlign w:val="center"/>
          </w:tcPr>
          <w:p>
            <w:pPr>
              <w:adjustRightInd w:val="0"/>
              <w:snapToGrid w:val="0"/>
              <w:jc w:val="center"/>
              <w:rPr>
                <w:rFonts w:hint="default" w:eastAsia="宋体" w:cs="宋体"/>
                <w:color w:val="auto"/>
                <w:sz w:val="24"/>
                <w:szCs w:val="21"/>
                <w:lang w:val="en-US" w:eastAsia="zh-CN"/>
              </w:rPr>
            </w:pPr>
            <w:r>
              <w:rPr>
                <w:rFonts w:hint="eastAsia" w:cs="宋体"/>
                <w:color w:val="auto"/>
                <w:sz w:val="24"/>
                <w:szCs w:val="21"/>
                <w:lang w:val="en-US" w:eastAsia="zh-CN"/>
              </w:rPr>
              <w:t>2503-430623-04-01-245306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建设单位</w:t>
            </w:r>
          </w:p>
          <w:p>
            <w:pPr>
              <w:adjustRightInd w:val="0"/>
              <w:snapToGrid w:val="0"/>
              <w:jc w:val="center"/>
              <w:rPr>
                <w:rFonts w:cs="宋体"/>
                <w:color w:val="auto"/>
                <w:sz w:val="24"/>
                <w:szCs w:val="21"/>
              </w:rPr>
            </w:pPr>
            <w:r>
              <w:rPr>
                <w:rFonts w:hint="eastAsia" w:cs="宋体"/>
                <w:color w:val="auto"/>
                <w:sz w:val="24"/>
                <w:szCs w:val="21"/>
              </w:rPr>
              <w:t>联系人</w:t>
            </w:r>
          </w:p>
        </w:tc>
        <w:tc>
          <w:tcPr>
            <w:tcW w:w="2837" w:type="dxa"/>
            <w:vAlign w:val="center"/>
          </w:tcPr>
          <w:p>
            <w:pPr>
              <w:adjustRightInd w:val="0"/>
              <w:snapToGrid w:val="0"/>
              <w:jc w:val="center"/>
              <w:rPr>
                <w:rFonts w:hint="default" w:eastAsia="宋体" w:cs="宋体"/>
                <w:color w:val="auto"/>
                <w:sz w:val="24"/>
                <w:szCs w:val="21"/>
                <w:lang w:val="en-US" w:eastAsia="zh-CN"/>
              </w:rPr>
            </w:pPr>
            <w:r>
              <w:rPr>
                <w:rFonts w:hint="eastAsia" w:cs="宋体"/>
                <w:color w:val="auto"/>
                <w:sz w:val="24"/>
                <w:szCs w:val="21"/>
                <w:lang w:val="en-US" w:eastAsia="zh-CN"/>
              </w:rPr>
              <w:t>蔡祥</w:t>
            </w:r>
          </w:p>
        </w:tc>
        <w:tc>
          <w:tcPr>
            <w:tcW w:w="2212" w:type="dxa"/>
            <w:vAlign w:val="center"/>
          </w:tcPr>
          <w:p>
            <w:pPr>
              <w:adjustRightInd w:val="0"/>
              <w:snapToGrid w:val="0"/>
              <w:jc w:val="center"/>
              <w:rPr>
                <w:rFonts w:cs="宋体"/>
                <w:color w:val="auto"/>
                <w:sz w:val="24"/>
                <w:szCs w:val="21"/>
              </w:rPr>
            </w:pPr>
            <w:r>
              <w:rPr>
                <w:rFonts w:hint="eastAsia" w:cs="宋体"/>
                <w:color w:val="auto"/>
                <w:sz w:val="24"/>
                <w:szCs w:val="21"/>
              </w:rPr>
              <w:t>联系方式</w:t>
            </w:r>
          </w:p>
        </w:tc>
        <w:tc>
          <w:tcPr>
            <w:tcW w:w="2789" w:type="dxa"/>
            <w:vAlign w:val="center"/>
          </w:tcPr>
          <w:p>
            <w:pPr>
              <w:adjustRightInd w:val="0"/>
              <w:snapToGrid w:val="0"/>
              <w:jc w:val="center"/>
              <w:rPr>
                <w:rFonts w:hint="default" w:eastAsia="宋体" w:cs="宋体"/>
                <w:color w:val="auto"/>
                <w:sz w:val="24"/>
                <w:szCs w:val="21"/>
                <w:lang w:val="en-US" w:eastAsia="zh-CN"/>
              </w:rPr>
            </w:pPr>
            <w:r>
              <w:rPr>
                <w:rFonts w:hint="eastAsia" w:cs="宋体"/>
                <w:color w:val="auto"/>
                <w:sz w:val="24"/>
                <w:szCs w:val="21"/>
                <w:highlight w:val="none"/>
                <w:lang w:val="en-US" w:eastAsia="zh-CN"/>
              </w:rPr>
              <w:t>13337301653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建设地点</w:t>
            </w:r>
          </w:p>
        </w:tc>
        <w:tc>
          <w:tcPr>
            <w:tcW w:w="7838" w:type="dxa"/>
            <w:gridSpan w:val="3"/>
            <w:vAlign w:val="center"/>
          </w:tcPr>
          <w:p>
            <w:pPr>
              <w:adjustRightInd w:val="0"/>
              <w:snapToGrid w:val="0"/>
              <w:jc w:val="center"/>
              <w:rPr>
                <w:rFonts w:hint="default" w:ascii="Times New Roman" w:hAnsi="Times New Roman" w:cs="宋体"/>
                <w:color w:val="auto"/>
                <w:sz w:val="24"/>
                <w:szCs w:val="21"/>
                <w:lang w:val="en-US" w:eastAsia="zh-CN"/>
              </w:rPr>
            </w:pPr>
            <w:r>
              <w:rPr>
                <w:rFonts w:hint="eastAsia" w:ascii="Times New Roman" w:hAnsi="Times New Roman" w:cs="宋体"/>
                <w:color w:val="auto"/>
                <w:sz w:val="24"/>
                <w:szCs w:val="21"/>
                <w:lang w:val="en-US" w:eastAsia="zh-CN"/>
              </w:rPr>
              <w:t>位于</w:t>
            </w:r>
            <w:r>
              <w:rPr>
                <w:rFonts w:hint="eastAsia" w:cs="宋体"/>
                <w:color w:val="auto"/>
                <w:sz w:val="24"/>
                <w:szCs w:val="21"/>
                <w:lang w:val="en-US" w:eastAsia="zh-CN"/>
              </w:rPr>
              <w:t>湖南省岳阳市</w:t>
            </w:r>
            <w:r>
              <w:rPr>
                <w:rFonts w:hint="eastAsia" w:ascii="Times New Roman" w:hAnsi="Times New Roman" w:cs="宋体"/>
                <w:color w:val="auto"/>
                <w:sz w:val="24"/>
                <w:szCs w:val="21"/>
                <w:lang w:val="en-US" w:eastAsia="zh-CN"/>
              </w:rPr>
              <w:t>华容县团洲安全垸内团洲花园小区</w:t>
            </w:r>
            <w:r>
              <w:rPr>
                <w:rFonts w:hint="eastAsia" w:cs="宋体"/>
                <w:color w:val="auto"/>
                <w:sz w:val="24"/>
                <w:szCs w:val="21"/>
                <w:lang w:val="en-US" w:eastAsia="zh-CN"/>
              </w:rPr>
              <w:t>东侧，南电排渠西侧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60" w:hRule="atLeast"/>
          <w:jc w:val="center"/>
        </w:trPr>
        <w:tc>
          <w:tcPr>
            <w:tcW w:w="118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地理坐标</w:t>
            </w:r>
          </w:p>
        </w:tc>
        <w:tc>
          <w:tcPr>
            <w:tcW w:w="7838" w:type="dxa"/>
            <w:gridSpan w:val="3"/>
            <w:vAlign w:val="center"/>
          </w:tcPr>
          <w:p>
            <w:pPr>
              <w:pStyle w:val="2"/>
              <w:ind w:left="0" w:leftChars="0" w:firstLine="0" w:firstLineChars="0"/>
              <w:rPr>
                <w:rFonts w:hint="default"/>
                <w:lang w:val="en-US" w:eastAsia="zh-CN"/>
              </w:rPr>
            </w:pPr>
            <w:r>
              <w:rPr>
                <w:rFonts w:hint="eastAsia" w:ascii="Times New Roman" w:hAnsi="Times New Roman" w:cs="宋体"/>
                <w:color w:val="auto"/>
                <w:sz w:val="24"/>
                <w:szCs w:val="21"/>
                <w:highlight w:val="none"/>
                <w:lang w:val="en-US" w:eastAsia="zh-CN"/>
              </w:rPr>
              <w:t>东经</w:t>
            </w:r>
            <w:r>
              <w:rPr>
                <w:rFonts w:hint="eastAsia" w:cs="宋体"/>
                <w:color w:val="auto"/>
                <w:sz w:val="24"/>
                <w:szCs w:val="21"/>
                <w:highlight w:val="none"/>
                <w:lang w:val="en-US" w:eastAsia="zh-CN"/>
              </w:rPr>
              <w:t>：</w:t>
            </w:r>
            <w:r>
              <w:rPr>
                <w:rFonts w:hint="default" w:ascii="Times New Roman" w:hAnsi="Times New Roman" w:cs="Times New Roman"/>
                <w:szCs w:val="21"/>
                <w:u w:val="single"/>
              </w:rPr>
              <w:t xml:space="preserve"> 112  </w:t>
            </w:r>
            <w:r>
              <w:rPr>
                <w:rFonts w:hint="default" w:ascii="Times New Roman" w:hAnsi="Times New Roman" w:cs="Times New Roman"/>
                <w:szCs w:val="21"/>
              </w:rPr>
              <w:t>度</w:t>
            </w:r>
            <w:r>
              <w:rPr>
                <w:rFonts w:hint="default" w:ascii="Times New Roman" w:hAnsi="Times New Roman" w:cs="Times New Roman"/>
                <w:szCs w:val="21"/>
                <w:u w:val="single"/>
              </w:rPr>
              <w:t xml:space="preserve"> </w:t>
            </w:r>
            <w:r>
              <w:rPr>
                <w:rFonts w:hint="default" w:ascii="Times New Roman" w:hAnsi="Times New Roman" w:cs="Times New Roman"/>
                <w:szCs w:val="21"/>
                <w:u w:val="single"/>
                <w:lang w:val="en-US" w:eastAsia="zh-CN"/>
              </w:rPr>
              <w:t>47</w:t>
            </w:r>
            <w:r>
              <w:rPr>
                <w:rFonts w:hint="default" w:ascii="Times New Roman" w:hAnsi="Times New Roman" w:cs="Times New Roman"/>
                <w:szCs w:val="21"/>
                <w:u w:val="single"/>
              </w:rPr>
              <w:t xml:space="preserve"> </w:t>
            </w:r>
            <w:r>
              <w:rPr>
                <w:rFonts w:hint="default" w:ascii="Times New Roman" w:hAnsi="Times New Roman" w:cs="Times New Roman"/>
                <w:szCs w:val="21"/>
              </w:rPr>
              <w:t>分</w:t>
            </w:r>
            <w:r>
              <w:rPr>
                <w:rFonts w:hint="default" w:ascii="Times New Roman" w:hAnsi="Times New Roman" w:cs="Times New Roman"/>
                <w:szCs w:val="21"/>
                <w:u w:val="single"/>
              </w:rPr>
              <w:t xml:space="preserve">  </w:t>
            </w:r>
            <w:r>
              <w:rPr>
                <w:rFonts w:hint="default" w:ascii="Times New Roman" w:hAnsi="Times New Roman" w:cs="Times New Roman"/>
                <w:szCs w:val="21"/>
                <w:u w:val="single"/>
                <w:lang w:val="en-US" w:eastAsia="zh-CN"/>
              </w:rPr>
              <w:t>53.34</w:t>
            </w:r>
            <w:r>
              <w:rPr>
                <w:rFonts w:hint="default" w:ascii="Times New Roman" w:hAnsi="Times New Roman" w:cs="Times New Roman"/>
                <w:szCs w:val="21"/>
                <w:u w:val="single"/>
              </w:rPr>
              <w:t xml:space="preserve">000 </w:t>
            </w:r>
            <w:r>
              <w:rPr>
                <w:rFonts w:hint="default" w:ascii="Times New Roman" w:hAnsi="Times New Roman" w:cs="Times New Roman"/>
                <w:szCs w:val="21"/>
              </w:rPr>
              <w:t>秒</w:t>
            </w:r>
            <w:r>
              <w:rPr>
                <w:rFonts w:hint="default" w:ascii="Times New Roman" w:hAnsi="Times New Roman" w:cs="Times New Roman"/>
                <w:color w:val="auto"/>
                <w:sz w:val="24"/>
                <w:szCs w:val="21"/>
                <w:highlight w:val="none"/>
                <w:lang w:val="en-US" w:eastAsia="zh-CN"/>
              </w:rPr>
              <w:t>；北纬：</w:t>
            </w:r>
            <w:r>
              <w:rPr>
                <w:rFonts w:hint="default" w:ascii="Times New Roman" w:hAnsi="Times New Roman" w:cs="Times New Roman"/>
                <w:szCs w:val="21"/>
                <w:u w:val="single"/>
              </w:rPr>
              <w:t xml:space="preserve"> </w:t>
            </w:r>
            <w:r>
              <w:rPr>
                <w:rFonts w:hint="default" w:ascii="Times New Roman" w:hAnsi="Times New Roman" w:cs="Times New Roman"/>
                <w:szCs w:val="21"/>
                <w:u w:val="single"/>
                <w:lang w:val="en-US" w:eastAsia="zh-CN"/>
              </w:rPr>
              <w:t>29</w:t>
            </w:r>
            <w:r>
              <w:rPr>
                <w:rFonts w:hint="default" w:ascii="Times New Roman" w:hAnsi="Times New Roman" w:cs="Times New Roman"/>
                <w:szCs w:val="21"/>
                <w:u w:val="single"/>
              </w:rPr>
              <w:t xml:space="preserve">  </w:t>
            </w:r>
            <w:r>
              <w:rPr>
                <w:rFonts w:hint="default" w:ascii="Times New Roman" w:hAnsi="Times New Roman" w:cs="Times New Roman"/>
                <w:szCs w:val="21"/>
              </w:rPr>
              <w:t>度</w:t>
            </w:r>
            <w:r>
              <w:rPr>
                <w:rFonts w:hint="default" w:ascii="Times New Roman" w:hAnsi="Times New Roman" w:cs="Times New Roman"/>
                <w:szCs w:val="21"/>
                <w:u w:val="single"/>
              </w:rPr>
              <w:t xml:space="preserve"> </w:t>
            </w:r>
            <w:r>
              <w:rPr>
                <w:rFonts w:hint="default" w:ascii="Times New Roman" w:hAnsi="Times New Roman" w:cs="Times New Roman"/>
                <w:szCs w:val="21"/>
                <w:u w:val="single"/>
                <w:lang w:val="en-US" w:eastAsia="zh-CN"/>
              </w:rPr>
              <w:t>20</w:t>
            </w:r>
            <w:r>
              <w:rPr>
                <w:rFonts w:hint="default" w:ascii="Times New Roman" w:hAnsi="Times New Roman" w:cs="Times New Roman"/>
                <w:szCs w:val="21"/>
                <w:u w:val="single"/>
              </w:rPr>
              <w:t xml:space="preserve"> </w:t>
            </w:r>
            <w:r>
              <w:rPr>
                <w:rFonts w:hint="default" w:ascii="Times New Roman" w:hAnsi="Times New Roman" w:cs="Times New Roman"/>
                <w:szCs w:val="21"/>
              </w:rPr>
              <w:t>分</w:t>
            </w:r>
            <w:r>
              <w:rPr>
                <w:rFonts w:hint="default" w:ascii="Times New Roman" w:hAnsi="Times New Roman" w:cs="Times New Roman"/>
                <w:szCs w:val="21"/>
                <w:u w:val="single"/>
              </w:rPr>
              <w:t xml:space="preserve"> </w:t>
            </w:r>
            <w:r>
              <w:rPr>
                <w:rFonts w:hint="default" w:ascii="Times New Roman" w:hAnsi="Times New Roman" w:cs="Times New Roman"/>
                <w:szCs w:val="21"/>
                <w:u w:val="single"/>
                <w:lang w:val="en-US" w:eastAsia="zh-CN"/>
              </w:rPr>
              <w:t>11.19840</w:t>
            </w:r>
            <w:r>
              <w:rPr>
                <w:rFonts w:hint="default" w:ascii="Times New Roman" w:hAnsi="Times New Roman" w:cs="Times New Roman"/>
                <w:szCs w:val="21"/>
                <w:u w:val="single"/>
              </w:rPr>
              <w:t xml:space="preserve"> </w:t>
            </w:r>
            <w:r>
              <w:rPr>
                <w:rFonts w:hint="default" w:ascii="Times New Roman" w:hAnsi="Times New Roman" w:cs="Times New Roman"/>
                <w:szCs w:val="21"/>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18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国民经济</w:t>
            </w:r>
          </w:p>
          <w:p>
            <w:pPr>
              <w:adjustRightInd w:val="0"/>
              <w:snapToGrid w:val="0"/>
              <w:jc w:val="center"/>
              <w:rPr>
                <w:rFonts w:cs="宋体"/>
                <w:color w:val="auto"/>
                <w:sz w:val="24"/>
                <w:szCs w:val="21"/>
              </w:rPr>
            </w:pPr>
            <w:r>
              <w:rPr>
                <w:rFonts w:hint="eastAsia" w:cs="宋体"/>
                <w:color w:val="auto"/>
                <w:sz w:val="24"/>
                <w:szCs w:val="21"/>
              </w:rPr>
              <w:t>行业类别</w:t>
            </w:r>
          </w:p>
        </w:tc>
        <w:tc>
          <w:tcPr>
            <w:tcW w:w="2837" w:type="dxa"/>
            <w:vAlign w:val="center"/>
          </w:tcPr>
          <w:p>
            <w:pPr>
              <w:adjustRightInd w:val="0"/>
              <w:snapToGrid w:val="0"/>
              <w:jc w:val="center"/>
              <w:rPr>
                <w:rFonts w:hint="default" w:eastAsia="宋体" w:cs="宋体"/>
                <w:color w:val="auto"/>
                <w:sz w:val="24"/>
                <w:szCs w:val="21"/>
                <w:highlight w:val="none"/>
                <w:lang w:val="en-US" w:eastAsia="zh-CN"/>
              </w:rPr>
            </w:pPr>
            <w:r>
              <w:rPr>
                <w:rFonts w:hint="eastAsia" w:cs="宋体"/>
                <w:color w:val="auto"/>
                <w:sz w:val="24"/>
                <w:szCs w:val="21"/>
                <w:highlight w:val="none"/>
                <w:lang w:val="en-US" w:eastAsia="zh-CN"/>
              </w:rPr>
              <w:t>K7010房地产开发经营</w:t>
            </w:r>
          </w:p>
        </w:tc>
        <w:tc>
          <w:tcPr>
            <w:tcW w:w="2212" w:type="dxa"/>
            <w:vAlign w:val="center"/>
          </w:tcPr>
          <w:p>
            <w:pPr>
              <w:adjustRightInd w:val="0"/>
              <w:snapToGrid w:val="0"/>
              <w:jc w:val="center"/>
              <w:rPr>
                <w:rFonts w:cs="宋体"/>
                <w:color w:val="auto"/>
                <w:spacing w:val="-6"/>
                <w:sz w:val="24"/>
                <w:szCs w:val="21"/>
              </w:rPr>
            </w:pPr>
            <w:r>
              <w:rPr>
                <w:rFonts w:hint="eastAsia" w:cs="宋体"/>
                <w:color w:val="auto"/>
                <w:spacing w:val="-6"/>
                <w:sz w:val="24"/>
                <w:szCs w:val="21"/>
              </w:rPr>
              <w:t>用地（用海）</w:t>
            </w:r>
          </w:p>
          <w:p>
            <w:pPr>
              <w:adjustRightInd w:val="0"/>
              <w:snapToGrid w:val="0"/>
              <w:jc w:val="center"/>
              <w:rPr>
                <w:rFonts w:cs="宋体"/>
                <w:color w:val="auto"/>
                <w:sz w:val="24"/>
                <w:szCs w:val="21"/>
                <w:highlight w:val="none"/>
              </w:rPr>
            </w:pPr>
            <w:r>
              <w:rPr>
                <w:rFonts w:hint="eastAsia" w:cs="宋体"/>
                <w:color w:val="auto"/>
                <w:spacing w:val="-6"/>
                <w:sz w:val="24"/>
                <w:szCs w:val="21"/>
              </w:rPr>
              <w:t>面积（</w:t>
            </w:r>
            <w:r>
              <w:rPr>
                <w:rFonts w:cs="宋体"/>
                <w:color w:val="auto"/>
                <w:spacing w:val="-6"/>
                <w:sz w:val="24"/>
                <w:szCs w:val="21"/>
              </w:rPr>
              <w:t>m</w:t>
            </w:r>
            <w:r>
              <w:rPr>
                <w:rFonts w:cs="宋体"/>
                <w:color w:val="auto"/>
                <w:spacing w:val="-6"/>
                <w:sz w:val="24"/>
                <w:szCs w:val="21"/>
                <w:vertAlign w:val="superscript"/>
              </w:rPr>
              <w:t>2</w:t>
            </w:r>
            <w:r>
              <w:rPr>
                <w:rFonts w:hint="eastAsia" w:cs="宋体"/>
                <w:color w:val="auto"/>
                <w:spacing w:val="-6"/>
                <w:sz w:val="24"/>
                <w:szCs w:val="21"/>
              </w:rPr>
              <w:t>）</w:t>
            </w:r>
          </w:p>
        </w:tc>
        <w:tc>
          <w:tcPr>
            <w:tcW w:w="2789" w:type="dxa"/>
            <w:vAlign w:val="center"/>
          </w:tcPr>
          <w:p>
            <w:pPr>
              <w:adjustRightInd w:val="0"/>
              <w:snapToGrid w:val="0"/>
              <w:jc w:val="center"/>
              <w:rPr>
                <w:rFonts w:cs="宋体"/>
                <w:color w:val="auto"/>
                <w:sz w:val="24"/>
                <w:szCs w:val="21"/>
                <w:highlight w:val="none"/>
              </w:rPr>
            </w:pPr>
            <w:r>
              <w:rPr>
                <w:rFonts w:hint="eastAsia" w:cs="宋体"/>
                <w:color w:val="auto"/>
                <w:sz w:val="24"/>
                <w:szCs w:val="21"/>
                <w:lang w:val="en-US" w:eastAsia="zh-CN"/>
              </w:rPr>
              <w:t>57672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18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建设性质</w:t>
            </w:r>
          </w:p>
        </w:tc>
        <w:tc>
          <w:tcPr>
            <w:tcW w:w="2837" w:type="dxa"/>
            <w:vAlign w:val="center"/>
          </w:tcPr>
          <w:p>
            <w:pPr>
              <w:jc w:val="left"/>
              <w:rPr>
                <w:rFonts w:cs="宋体"/>
                <w:color w:val="auto"/>
                <w:sz w:val="24"/>
                <w:szCs w:val="21"/>
              </w:rPr>
            </w:pPr>
            <w:r>
              <w:rPr>
                <w:rFonts w:hint="eastAsia" w:cs="宋体"/>
                <w:color w:val="auto"/>
                <w:sz w:val="24"/>
                <w:szCs w:val="21"/>
              </w:rPr>
              <w:sym w:font="Wingdings 2" w:char="0052"/>
            </w:r>
            <w:r>
              <w:rPr>
                <w:rFonts w:hint="eastAsia" w:cs="宋体"/>
                <w:color w:val="auto"/>
                <w:sz w:val="24"/>
                <w:szCs w:val="21"/>
              </w:rPr>
              <w:t>新建（迁建）</w:t>
            </w:r>
          </w:p>
          <w:p>
            <w:pPr>
              <w:jc w:val="left"/>
              <w:rPr>
                <w:rFonts w:cs="宋体"/>
                <w:color w:val="auto"/>
                <w:sz w:val="24"/>
                <w:szCs w:val="21"/>
              </w:rPr>
            </w:pPr>
            <w:r>
              <w:rPr>
                <w:rFonts w:hint="eastAsia" w:cs="宋体"/>
                <w:color w:val="auto"/>
                <w:sz w:val="24"/>
                <w:szCs w:val="21"/>
              </w:rPr>
              <w:t>□改建</w:t>
            </w:r>
          </w:p>
          <w:p>
            <w:pPr>
              <w:jc w:val="left"/>
              <w:rPr>
                <w:rFonts w:cs="宋体"/>
                <w:color w:val="auto"/>
                <w:sz w:val="24"/>
                <w:szCs w:val="21"/>
              </w:rPr>
            </w:pPr>
            <w:r>
              <w:rPr>
                <w:rFonts w:hint="eastAsia" w:cs="宋体"/>
                <w:color w:val="auto"/>
                <w:sz w:val="24"/>
                <w:szCs w:val="21"/>
              </w:rPr>
              <w:t>□扩建</w:t>
            </w:r>
          </w:p>
          <w:p>
            <w:pPr>
              <w:jc w:val="left"/>
              <w:rPr>
                <w:rFonts w:cs="宋体"/>
                <w:color w:val="auto"/>
                <w:sz w:val="24"/>
                <w:szCs w:val="21"/>
              </w:rPr>
            </w:pPr>
            <w:r>
              <w:rPr>
                <w:rFonts w:hint="eastAsia" w:cs="宋体"/>
                <w:color w:val="auto"/>
                <w:sz w:val="24"/>
                <w:szCs w:val="21"/>
              </w:rPr>
              <w:t>□技术改造</w:t>
            </w:r>
          </w:p>
        </w:tc>
        <w:tc>
          <w:tcPr>
            <w:tcW w:w="2212" w:type="dxa"/>
            <w:vAlign w:val="center"/>
          </w:tcPr>
          <w:p>
            <w:pPr>
              <w:adjustRightInd w:val="0"/>
              <w:snapToGrid w:val="0"/>
              <w:jc w:val="center"/>
              <w:rPr>
                <w:rFonts w:cs="宋体"/>
                <w:color w:val="auto"/>
                <w:sz w:val="24"/>
                <w:szCs w:val="21"/>
              </w:rPr>
            </w:pPr>
            <w:r>
              <w:rPr>
                <w:rFonts w:hint="eastAsia" w:cs="宋体"/>
                <w:color w:val="auto"/>
                <w:sz w:val="24"/>
                <w:szCs w:val="21"/>
              </w:rPr>
              <w:t>建设项目</w:t>
            </w:r>
          </w:p>
          <w:p>
            <w:pPr>
              <w:adjustRightInd w:val="0"/>
              <w:snapToGrid w:val="0"/>
              <w:jc w:val="center"/>
              <w:rPr>
                <w:rFonts w:cs="宋体"/>
                <w:color w:val="auto"/>
                <w:sz w:val="24"/>
                <w:szCs w:val="21"/>
              </w:rPr>
            </w:pPr>
            <w:r>
              <w:rPr>
                <w:rFonts w:hint="eastAsia" w:cs="宋体"/>
                <w:color w:val="auto"/>
                <w:sz w:val="24"/>
                <w:szCs w:val="21"/>
              </w:rPr>
              <w:t>申报情形</w:t>
            </w:r>
          </w:p>
        </w:tc>
        <w:tc>
          <w:tcPr>
            <w:tcW w:w="2789" w:type="dxa"/>
            <w:vAlign w:val="center"/>
          </w:tcPr>
          <w:p>
            <w:pPr>
              <w:jc w:val="left"/>
              <w:rPr>
                <w:rFonts w:cs="宋体"/>
                <w:color w:val="auto"/>
                <w:sz w:val="24"/>
                <w:szCs w:val="21"/>
              </w:rPr>
            </w:pPr>
            <w:r>
              <w:rPr>
                <w:rFonts w:hint="eastAsia" w:cs="宋体"/>
                <w:color w:val="auto"/>
                <w:sz w:val="24"/>
                <w:szCs w:val="21"/>
              </w:rPr>
              <w:sym w:font="Wingdings 2" w:char="0052"/>
            </w:r>
            <w:r>
              <w:rPr>
                <w:rFonts w:hint="eastAsia" w:cs="宋体"/>
                <w:color w:val="auto"/>
                <w:sz w:val="24"/>
                <w:szCs w:val="21"/>
              </w:rPr>
              <w:t>首次申报项目</w:t>
            </w:r>
            <w:r>
              <w:rPr>
                <w:rFonts w:cs="宋体"/>
                <w:color w:val="auto"/>
                <w:sz w:val="24"/>
                <w:szCs w:val="21"/>
              </w:rPr>
              <w:t xml:space="preserve">             </w:t>
            </w:r>
          </w:p>
          <w:p>
            <w:pPr>
              <w:jc w:val="left"/>
              <w:rPr>
                <w:rFonts w:cs="宋体"/>
                <w:color w:val="auto"/>
                <w:sz w:val="24"/>
                <w:szCs w:val="21"/>
              </w:rPr>
            </w:pPr>
            <w:r>
              <w:rPr>
                <w:rFonts w:hint="eastAsia" w:cs="宋体"/>
                <w:color w:val="auto"/>
                <w:sz w:val="24"/>
                <w:szCs w:val="21"/>
                <w:lang w:eastAsia="zh-CN"/>
              </w:rPr>
              <w:t>☑</w:t>
            </w:r>
            <w:r>
              <w:rPr>
                <w:rFonts w:hint="eastAsia" w:cs="宋体"/>
                <w:color w:val="auto"/>
                <w:sz w:val="24"/>
                <w:szCs w:val="21"/>
              </w:rPr>
              <w:t>不予批准后再次申报项目</w:t>
            </w:r>
          </w:p>
          <w:p>
            <w:pPr>
              <w:jc w:val="left"/>
              <w:rPr>
                <w:rFonts w:cs="宋体"/>
                <w:color w:val="auto"/>
                <w:sz w:val="24"/>
                <w:szCs w:val="21"/>
              </w:rPr>
            </w:pPr>
            <w:r>
              <w:rPr>
                <w:rFonts w:hint="eastAsia" w:cs="宋体"/>
                <w:color w:val="auto"/>
                <w:sz w:val="24"/>
                <w:szCs w:val="21"/>
              </w:rPr>
              <w:sym w:font="Wingdings 2" w:char="00A3"/>
            </w:r>
            <w:r>
              <w:rPr>
                <w:rFonts w:hint="eastAsia" w:cs="宋体"/>
                <w:color w:val="auto"/>
                <w:sz w:val="24"/>
                <w:szCs w:val="21"/>
              </w:rPr>
              <w:t>超五年重新审核项目</w:t>
            </w:r>
            <w:r>
              <w:rPr>
                <w:rFonts w:cs="宋体"/>
                <w:color w:val="auto"/>
                <w:sz w:val="24"/>
                <w:szCs w:val="21"/>
              </w:rPr>
              <w:t xml:space="preserve">     </w:t>
            </w:r>
          </w:p>
          <w:p>
            <w:pPr>
              <w:jc w:val="left"/>
              <w:rPr>
                <w:rFonts w:cs="宋体"/>
                <w:color w:val="auto"/>
                <w:sz w:val="24"/>
                <w:szCs w:val="21"/>
              </w:rPr>
            </w:pPr>
            <w:r>
              <w:rPr>
                <w:rFonts w:hint="eastAsia" w:cs="宋体"/>
                <w:color w:val="auto"/>
                <w:sz w:val="24"/>
                <w:szCs w:val="21"/>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18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项目审批（核准</w:t>
            </w:r>
            <w:r>
              <w:rPr>
                <w:rFonts w:cs="宋体"/>
                <w:color w:val="auto"/>
                <w:sz w:val="24"/>
                <w:szCs w:val="21"/>
              </w:rPr>
              <w:t>/</w:t>
            </w:r>
          </w:p>
          <w:p>
            <w:pPr>
              <w:adjustRightInd w:val="0"/>
              <w:snapToGrid w:val="0"/>
              <w:jc w:val="center"/>
              <w:rPr>
                <w:rFonts w:cs="宋体"/>
                <w:color w:val="auto"/>
                <w:sz w:val="24"/>
                <w:szCs w:val="21"/>
              </w:rPr>
            </w:pPr>
            <w:r>
              <w:rPr>
                <w:rFonts w:hint="eastAsia" w:cs="宋体"/>
                <w:color w:val="auto"/>
                <w:sz w:val="24"/>
                <w:szCs w:val="21"/>
              </w:rPr>
              <w:t>备案）</w:t>
            </w:r>
          </w:p>
          <w:p>
            <w:pPr>
              <w:adjustRightInd w:val="0"/>
              <w:snapToGrid w:val="0"/>
              <w:jc w:val="center"/>
              <w:rPr>
                <w:rFonts w:cs="宋体"/>
                <w:color w:val="auto"/>
                <w:sz w:val="24"/>
                <w:szCs w:val="21"/>
              </w:rPr>
            </w:pPr>
            <w:r>
              <w:rPr>
                <w:rFonts w:hint="eastAsia" w:cs="宋体"/>
                <w:color w:val="auto"/>
                <w:sz w:val="24"/>
                <w:szCs w:val="21"/>
              </w:rPr>
              <w:t>部门（选填）</w:t>
            </w:r>
          </w:p>
        </w:tc>
        <w:tc>
          <w:tcPr>
            <w:tcW w:w="2837" w:type="dxa"/>
            <w:vAlign w:val="center"/>
          </w:tcPr>
          <w:p>
            <w:pPr>
              <w:adjustRightInd w:val="0"/>
              <w:snapToGrid w:val="0"/>
              <w:jc w:val="center"/>
              <w:rPr>
                <w:rFonts w:cs="宋体"/>
                <w:color w:val="auto"/>
                <w:sz w:val="24"/>
                <w:szCs w:val="21"/>
              </w:rPr>
            </w:pPr>
            <w:r>
              <w:rPr>
                <w:rFonts w:hint="default" w:ascii="Times New Roman" w:hAnsi="Times New Roman" w:cs="Times New Roman"/>
                <w:color w:val="auto"/>
                <w:kern w:val="21"/>
                <w:sz w:val="24"/>
                <w:szCs w:val="24"/>
              </w:rPr>
              <w:t>华容县发展和改革局</w:t>
            </w:r>
          </w:p>
        </w:tc>
        <w:tc>
          <w:tcPr>
            <w:tcW w:w="2212" w:type="dxa"/>
            <w:vAlign w:val="center"/>
          </w:tcPr>
          <w:p>
            <w:pPr>
              <w:adjustRightInd w:val="0"/>
              <w:snapToGrid w:val="0"/>
              <w:jc w:val="center"/>
              <w:rPr>
                <w:rFonts w:cs="宋体"/>
                <w:color w:val="auto"/>
                <w:sz w:val="24"/>
                <w:szCs w:val="21"/>
              </w:rPr>
            </w:pPr>
            <w:r>
              <w:rPr>
                <w:rFonts w:hint="eastAsia" w:cs="宋体"/>
                <w:color w:val="auto"/>
                <w:sz w:val="24"/>
                <w:szCs w:val="21"/>
              </w:rPr>
              <w:t>项目审批（核准</w:t>
            </w:r>
            <w:r>
              <w:rPr>
                <w:rFonts w:cs="宋体"/>
                <w:color w:val="auto"/>
                <w:sz w:val="24"/>
                <w:szCs w:val="21"/>
              </w:rPr>
              <w:t>/</w:t>
            </w:r>
          </w:p>
          <w:p>
            <w:pPr>
              <w:adjustRightInd w:val="0"/>
              <w:snapToGrid w:val="0"/>
              <w:jc w:val="center"/>
              <w:rPr>
                <w:rFonts w:cs="宋体"/>
                <w:color w:val="auto"/>
                <w:sz w:val="24"/>
                <w:szCs w:val="21"/>
              </w:rPr>
            </w:pPr>
            <w:r>
              <w:rPr>
                <w:rFonts w:hint="eastAsia" w:cs="宋体"/>
                <w:color w:val="auto"/>
                <w:sz w:val="24"/>
                <w:szCs w:val="21"/>
              </w:rPr>
              <w:t>备案）文号（选填）</w:t>
            </w:r>
          </w:p>
        </w:tc>
        <w:tc>
          <w:tcPr>
            <w:tcW w:w="2789" w:type="dxa"/>
            <w:vAlign w:val="center"/>
          </w:tcPr>
          <w:p>
            <w:pPr>
              <w:adjustRightInd w:val="0"/>
              <w:snapToGrid w:val="0"/>
              <w:jc w:val="center"/>
              <w:rPr>
                <w:rFonts w:cs="宋体"/>
                <w:color w:val="auto"/>
                <w:sz w:val="24"/>
                <w:szCs w:val="21"/>
              </w:rPr>
            </w:pPr>
            <w:r>
              <w:rPr>
                <w:rFonts w:hint="eastAsia" w:cs="宋体"/>
                <w:color w:val="auto"/>
                <w:sz w:val="24"/>
                <w:szCs w:val="21"/>
                <w:lang w:val="en-US" w:eastAsia="zh-CN"/>
              </w:rPr>
              <w:t>华发改投审[2025]45号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11" w:hRule="atLeast"/>
          <w:jc w:val="center"/>
        </w:trPr>
        <w:tc>
          <w:tcPr>
            <w:tcW w:w="118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总投资</w:t>
            </w:r>
          </w:p>
          <w:p>
            <w:pPr>
              <w:adjustRightInd w:val="0"/>
              <w:snapToGrid w:val="0"/>
              <w:jc w:val="center"/>
              <w:rPr>
                <w:rFonts w:cs="宋体"/>
                <w:color w:val="auto"/>
                <w:sz w:val="24"/>
                <w:szCs w:val="21"/>
              </w:rPr>
            </w:pPr>
            <w:r>
              <w:rPr>
                <w:rFonts w:hint="eastAsia" w:cs="宋体"/>
                <w:color w:val="auto"/>
                <w:sz w:val="24"/>
                <w:szCs w:val="21"/>
              </w:rPr>
              <w:t>（万元）</w:t>
            </w:r>
          </w:p>
        </w:tc>
        <w:tc>
          <w:tcPr>
            <w:tcW w:w="2837" w:type="dxa"/>
            <w:vAlign w:val="center"/>
          </w:tcPr>
          <w:p>
            <w:pPr>
              <w:adjustRightInd w:val="0"/>
              <w:snapToGrid w:val="0"/>
              <w:jc w:val="center"/>
              <w:rPr>
                <w:rFonts w:hint="default" w:eastAsia="宋体" w:cs="宋体"/>
                <w:color w:val="auto"/>
                <w:sz w:val="24"/>
                <w:szCs w:val="21"/>
                <w:lang w:val="en-US" w:eastAsia="zh-CN"/>
              </w:rPr>
            </w:pPr>
            <w:r>
              <w:rPr>
                <w:rFonts w:hint="eastAsia" w:cs="宋体"/>
                <w:color w:val="auto"/>
                <w:sz w:val="24"/>
                <w:szCs w:val="21"/>
                <w:lang w:val="en-US" w:eastAsia="zh-CN"/>
              </w:rPr>
              <w:t>19995</w:t>
            </w:r>
          </w:p>
        </w:tc>
        <w:tc>
          <w:tcPr>
            <w:tcW w:w="221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环保投资（万元）</w:t>
            </w:r>
          </w:p>
        </w:tc>
        <w:tc>
          <w:tcPr>
            <w:tcW w:w="2789" w:type="dxa"/>
            <w:vAlign w:val="center"/>
          </w:tcPr>
          <w:p>
            <w:pPr>
              <w:adjustRightInd w:val="0"/>
              <w:snapToGrid w:val="0"/>
              <w:jc w:val="center"/>
              <w:rPr>
                <w:rFonts w:hint="default" w:eastAsia="宋体" w:cs="宋体"/>
                <w:color w:val="auto"/>
                <w:sz w:val="24"/>
                <w:szCs w:val="21"/>
                <w:lang w:val="en-US" w:eastAsia="zh-CN"/>
              </w:rPr>
            </w:pPr>
            <w:r>
              <w:rPr>
                <w:rFonts w:hint="eastAsia" w:cs="宋体"/>
                <w:color w:val="auto"/>
                <w:sz w:val="24"/>
                <w:szCs w:val="21"/>
                <w:lang w:val="en-US" w:eastAsia="zh-CN"/>
              </w:rPr>
              <w:t>158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环保投资</w:t>
            </w:r>
          </w:p>
          <w:p>
            <w:pPr>
              <w:adjustRightInd w:val="0"/>
              <w:snapToGrid w:val="0"/>
              <w:jc w:val="center"/>
              <w:rPr>
                <w:rFonts w:cs="宋体"/>
                <w:color w:val="auto"/>
                <w:sz w:val="24"/>
                <w:szCs w:val="21"/>
              </w:rPr>
            </w:pPr>
            <w:r>
              <w:rPr>
                <w:rFonts w:hint="eastAsia" w:cs="宋体"/>
                <w:color w:val="auto"/>
                <w:sz w:val="24"/>
                <w:szCs w:val="21"/>
              </w:rPr>
              <w:t>占比（</w:t>
            </w:r>
            <w:r>
              <w:rPr>
                <w:rFonts w:cs="宋体"/>
                <w:color w:val="auto"/>
                <w:sz w:val="24"/>
                <w:szCs w:val="21"/>
              </w:rPr>
              <w:t>%</w:t>
            </w:r>
            <w:r>
              <w:rPr>
                <w:rFonts w:hint="eastAsia" w:cs="宋体"/>
                <w:color w:val="auto"/>
                <w:sz w:val="24"/>
                <w:szCs w:val="21"/>
              </w:rPr>
              <w:t>）</w:t>
            </w:r>
          </w:p>
        </w:tc>
        <w:tc>
          <w:tcPr>
            <w:tcW w:w="2837" w:type="dxa"/>
            <w:vAlign w:val="center"/>
          </w:tcPr>
          <w:p>
            <w:pPr>
              <w:adjustRightInd w:val="0"/>
              <w:snapToGrid w:val="0"/>
              <w:jc w:val="center"/>
              <w:rPr>
                <w:rFonts w:hint="default" w:eastAsia="宋体" w:cs="宋体"/>
                <w:color w:val="auto"/>
                <w:sz w:val="24"/>
                <w:szCs w:val="21"/>
                <w:lang w:val="en-US" w:eastAsia="zh-CN"/>
              </w:rPr>
            </w:pPr>
            <w:r>
              <w:rPr>
                <w:rFonts w:hint="eastAsia" w:cs="宋体"/>
                <w:color w:val="auto"/>
                <w:sz w:val="24"/>
                <w:szCs w:val="21"/>
                <w:lang w:val="en-US" w:eastAsia="zh-CN"/>
              </w:rPr>
              <w:t>0.79</w:t>
            </w:r>
          </w:p>
        </w:tc>
        <w:tc>
          <w:tcPr>
            <w:tcW w:w="221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施工工期</w:t>
            </w:r>
          </w:p>
        </w:tc>
        <w:tc>
          <w:tcPr>
            <w:tcW w:w="2789" w:type="dxa"/>
            <w:vAlign w:val="center"/>
          </w:tcPr>
          <w:p>
            <w:pPr>
              <w:adjustRightInd w:val="0"/>
              <w:snapToGrid w:val="0"/>
              <w:jc w:val="center"/>
              <w:rPr>
                <w:rFonts w:hint="eastAsia" w:eastAsia="宋体" w:cs="宋体"/>
                <w:color w:val="auto"/>
                <w:sz w:val="24"/>
                <w:szCs w:val="21"/>
                <w:lang w:val="en-US" w:eastAsia="zh-CN"/>
              </w:rPr>
            </w:pPr>
            <w:r>
              <w:rPr>
                <w:rFonts w:hint="eastAsia" w:cs="宋体"/>
                <w:color w:val="auto"/>
                <w:sz w:val="24"/>
                <w:szCs w:val="21"/>
                <w:lang w:val="en-US" w:eastAsia="zh-CN"/>
              </w:rPr>
              <w:t>已建成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是否开工</w:t>
            </w:r>
          </w:p>
          <w:p>
            <w:pPr>
              <w:adjustRightInd w:val="0"/>
              <w:snapToGrid w:val="0"/>
              <w:jc w:val="center"/>
              <w:rPr>
                <w:rFonts w:cs="宋体"/>
                <w:color w:val="auto"/>
                <w:sz w:val="24"/>
                <w:szCs w:val="21"/>
              </w:rPr>
            </w:pPr>
            <w:r>
              <w:rPr>
                <w:rFonts w:hint="eastAsia" w:cs="宋体"/>
                <w:color w:val="auto"/>
                <w:sz w:val="24"/>
                <w:szCs w:val="21"/>
              </w:rPr>
              <w:t>建设</w:t>
            </w:r>
          </w:p>
        </w:tc>
        <w:tc>
          <w:tcPr>
            <w:tcW w:w="7838" w:type="dxa"/>
            <w:gridSpan w:val="3"/>
            <w:vAlign w:val="center"/>
          </w:tcPr>
          <w:p>
            <w:pPr>
              <w:adjustRightInd w:val="0"/>
              <w:snapToGrid w:val="0"/>
              <w:rPr>
                <w:rFonts w:cs="宋体"/>
                <w:color w:val="auto"/>
                <w:sz w:val="24"/>
                <w:szCs w:val="21"/>
              </w:rPr>
            </w:pPr>
            <w:r>
              <w:rPr>
                <w:rFonts w:hint="eastAsia" w:cs="宋体"/>
                <w:color w:val="auto"/>
                <w:sz w:val="24"/>
                <w:szCs w:val="21"/>
              </w:rPr>
              <w:sym w:font="Wingdings 2" w:char="00A3"/>
            </w:r>
            <w:r>
              <w:rPr>
                <w:rFonts w:hint="eastAsia" w:cs="宋体"/>
                <w:color w:val="auto"/>
                <w:sz w:val="24"/>
                <w:szCs w:val="21"/>
              </w:rPr>
              <w:t>否</w:t>
            </w:r>
          </w:p>
          <w:p>
            <w:pPr>
              <w:adjustRightInd w:val="0"/>
              <w:snapToGrid w:val="0"/>
              <w:jc w:val="center"/>
              <w:rPr>
                <w:rFonts w:hint="default" w:eastAsia="宋体" w:cs="宋体"/>
                <w:color w:val="auto"/>
                <w:sz w:val="24"/>
                <w:szCs w:val="21"/>
                <w:lang w:val="en-US" w:eastAsia="zh-CN"/>
              </w:rPr>
            </w:pPr>
            <w:r>
              <w:rPr>
                <w:rFonts w:hint="eastAsia" w:cs="宋体"/>
                <w:color w:val="auto"/>
                <w:sz w:val="24"/>
                <w:szCs w:val="21"/>
              </w:rPr>
              <w:sym w:font="Wingdings 2" w:char="0052"/>
            </w:r>
            <w:r>
              <w:rPr>
                <w:rFonts w:hint="eastAsia" w:cs="宋体"/>
                <w:color w:val="auto"/>
                <w:sz w:val="24"/>
                <w:szCs w:val="21"/>
              </w:rPr>
              <w:t>是：</w:t>
            </w:r>
            <w:r>
              <w:rPr>
                <w:rFonts w:hint="eastAsia" w:cs="宋体"/>
                <w:color w:val="auto"/>
                <w:sz w:val="24"/>
                <w:szCs w:val="21"/>
                <w:u w:val="single"/>
                <w:lang w:val="en-US" w:eastAsia="zh-CN"/>
              </w:rPr>
              <w:t>项目为灾后重建应急工程，为保证进度提前开工建设，项目已建设完成，暂未入住。</w:t>
            </w:r>
            <w:r>
              <w:rPr>
                <w:rFonts w:hint="eastAsia" w:cs="宋体"/>
                <w:color w:val="auto"/>
                <w:sz w:val="24"/>
                <w:szCs w:val="21"/>
                <w:u w:val="single"/>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82" w:type="dxa"/>
            <w:vAlign w:val="center"/>
          </w:tcPr>
          <w:p>
            <w:pPr>
              <w:autoSpaceDE w:val="0"/>
              <w:autoSpaceDN w:val="0"/>
              <w:adjustRightInd w:val="0"/>
              <w:snapToGrid w:val="0"/>
              <w:jc w:val="center"/>
              <w:rPr>
                <w:rFonts w:cs="宋体"/>
                <w:color w:val="auto"/>
                <w:kern w:val="0"/>
                <w:sz w:val="24"/>
                <w:szCs w:val="21"/>
              </w:rPr>
            </w:pPr>
            <w:r>
              <w:rPr>
                <w:rFonts w:hint="eastAsia" w:cs="宋体"/>
                <w:color w:val="auto"/>
                <w:kern w:val="0"/>
                <w:sz w:val="24"/>
                <w:szCs w:val="21"/>
              </w:rPr>
              <w:t>专项评价设置情况</w:t>
            </w:r>
          </w:p>
        </w:tc>
        <w:tc>
          <w:tcPr>
            <w:tcW w:w="7838" w:type="dxa"/>
            <w:gridSpan w:val="3"/>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新宋体" w:cs="Times New Roman"/>
                <w:color w:val="auto"/>
                <w:kern w:val="0"/>
                <w:sz w:val="24"/>
                <w:szCs w:val="24"/>
                <w:u w:val="single"/>
                <w:lang w:val="en-US" w:eastAsia="zh-CN"/>
              </w:rPr>
            </w:pPr>
            <w:r>
              <w:rPr>
                <w:rFonts w:hint="default" w:ascii="Times New Roman" w:hAnsi="Times New Roman" w:eastAsia="新宋体" w:cs="Times New Roman"/>
                <w:color w:val="auto"/>
                <w:kern w:val="0"/>
                <w:sz w:val="24"/>
                <w:szCs w:val="24"/>
                <w:lang w:val="en-US" w:eastAsia="zh-CN"/>
              </w:rPr>
              <w:t>本项目</w:t>
            </w:r>
            <w:r>
              <w:rPr>
                <w:rFonts w:hint="eastAsia" w:eastAsia="新宋体" w:cs="Times New Roman"/>
                <w:color w:val="auto"/>
                <w:kern w:val="0"/>
                <w:sz w:val="24"/>
                <w:szCs w:val="24"/>
                <w:lang w:val="en-US" w:eastAsia="zh-CN"/>
              </w:rPr>
              <w:t>涉及房地产业</w:t>
            </w:r>
            <w:r>
              <w:rPr>
                <w:rFonts w:hint="default" w:ascii="Times New Roman" w:hAnsi="Times New Roman" w:eastAsia="新宋体" w:cs="Times New Roman"/>
                <w:color w:val="auto"/>
                <w:kern w:val="0"/>
                <w:sz w:val="24"/>
                <w:szCs w:val="24"/>
                <w:lang w:val="en-US" w:eastAsia="zh-CN"/>
              </w:rPr>
              <w:t>，该部分为生态影响类，应参照</w:t>
            </w:r>
            <w:r>
              <w:rPr>
                <w:rFonts w:hint="default" w:ascii="Times New Roman" w:hAnsi="Times New Roman" w:eastAsia="新宋体" w:cs="Times New Roman"/>
                <w:color w:val="auto"/>
                <w:kern w:val="0"/>
                <w:sz w:val="24"/>
                <w:szCs w:val="24"/>
              </w:rPr>
              <w:t>《建设项目环境影响报告表编制技术指南（</w:t>
            </w:r>
            <w:r>
              <w:rPr>
                <w:rFonts w:hint="default" w:ascii="Times New Roman" w:hAnsi="Times New Roman" w:eastAsia="新宋体" w:cs="Times New Roman"/>
                <w:color w:val="auto"/>
                <w:kern w:val="0"/>
                <w:sz w:val="24"/>
                <w:szCs w:val="24"/>
                <w:lang w:val="en-US" w:eastAsia="zh-CN"/>
              </w:rPr>
              <w:t>生态</w:t>
            </w:r>
            <w:r>
              <w:rPr>
                <w:rFonts w:hint="default" w:ascii="Times New Roman" w:hAnsi="Times New Roman" w:eastAsia="新宋体" w:cs="Times New Roman"/>
                <w:color w:val="auto"/>
                <w:kern w:val="0"/>
                <w:sz w:val="24"/>
                <w:szCs w:val="24"/>
              </w:rPr>
              <w:t>影响类）（试行）》</w:t>
            </w:r>
            <w:r>
              <w:rPr>
                <w:rFonts w:hint="default" w:ascii="Times New Roman" w:hAnsi="Times New Roman" w:eastAsia="新宋体" w:cs="Times New Roman"/>
                <w:color w:val="auto"/>
                <w:kern w:val="0"/>
                <w:sz w:val="24"/>
                <w:szCs w:val="24"/>
                <w:lang w:val="en-US" w:eastAsia="zh-CN"/>
              </w:rPr>
              <w:t>进行</w:t>
            </w:r>
            <w:r>
              <w:rPr>
                <w:rFonts w:hint="default" w:ascii="Times New Roman" w:hAnsi="Times New Roman" w:eastAsia="新宋体" w:cs="Times New Roman"/>
                <w:color w:val="auto"/>
                <w:kern w:val="0"/>
                <w:sz w:val="24"/>
                <w:szCs w:val="24"/>
              </w:rPr>
              <w:t>专项评价设置情况</w:t>
            </w:r>
            <w:r>
              <w:rPr>
                <w:rFonts w:hint="default" w:ascii="Times New Roman" w:hAnsi="Times New Roman" w:eastAsia="新宋体" w:cs="Times New Roman"/>
                <w:color w:val="auto"/>
                <w:kern w:val="0"/>
                <w:sz w:val="24"/>
                <w:szCs w:val="24"/>
                <w:lang w:val="en-US" w:eastAsia="zh-CN"/>
              </w:rPr>
              <w:t>的分析，</w:t>
            </w:r>
            <w:r>
              <w:rPr>
                <w:rFonts w:hint="eastAsia" w:ascii="Times New Roman" w:hAnsi="Times New Roman" w:eastAsia="新宋体" w:cs="Times New Roman"/>
                <w:color w:val="auto"/>
                <w:kern w:val="0"/>
                <w:sz w:val="24"/>
                <w:szCs w:val="24"/>
                <w:lang w:val="en-US" w:eastAsia="zh-CN"/>
              </w:rPr>
              <w:t>专题设置判定</w:t>
            </w:r>
            <w:r>
              <w:rPr>
                <w:rFonts w:hint="default" w:ascii="Times New Roman" w:hAnsi="Times New Roman" w:eastAsia="新宋体" w:cs="Times New Roman"/>
                <w:color w:val="auto"/>
                <w:kern w:val="0"/>
                <w:sz w:val="24"/>
                <w:szCs w:val="24"/>
                <w:lang w:val="en-US" w:eastAsia="zh-CN"/>
              </w:rPr>
              <w:t>详见</w:t>
            </w:r>
            <w:r>
              <w:rPr>
                <w:rFonts w:hint="default" w:ascii="Times New Roman" w:hAnsi="Times New Roman" w:eastAsia="新宋体" w:cs="Times New Roman"/>
                <w:color w:val="auto"/>
                <w:kern w:val="0"/>
                <w:sz w:val="24"/>
                <w:szCs w:val="24"/>
              </w:rPr>
              <w:t>下</w:t>
            </w:r>
            <w:r>
              <w:rPr>
                <w:rFonts w:hint="default" w:ascii="Times New Roman" w:hAnsi="Times New Roman" w:eastAsia="新宋体" w:cs="Times New Roman"/>
                <w:color w:val="auto"/>
                <w:kern w:val="0"/>
                <w:sz w:val="24"/>
                <w:szCs w:val="24"/>
                <w:lang w:val="en-US" w:eastAsia="zh-CN"/>
              </w:rPr>
              <w:t>表1-1</w:t>
            </w:r>
            <w:r>
              <w:rPr>
                <w:rFonts w:hint="eastAsia" w:ascii="Times New Roman" w:hAnsi="Times New Roman" w:eastAsia="新宋体" w:cs="Times New Roman"/>
                <w:color w:val="auto"/>
                <w:kern w:val="0"/>
                <w:sz w:val="24"/>
                <w:szCs w:val="24"/>
                <w:lang w:val="en-US" w:eastAsia="zh-CN"/>
              </w:rPr>
              <w:t>所示</w:t>
            </w:r>
            <w:r>
              <w:rPr>
                <w:rFonts w:hint="default" w:ascii="Times New Roman" w:hAnsi="Times New Roman" w:eastAsia="新宋体" w:cs="Times New Roman"/>
                <w:color w:val="auto"/>
                <w:kern w:val="0"/>
                <w:sz w:val="24"/>
                <w:szCs w:val="24"/>
                <w:lang w:eastAsia="zh-CN"/>
              </w:rPr>
              <w:t>。</w:t>
            </w:r>
          </w:p>
          <w:p>
            <w:pPr>
              <w:pStyle w:val="66"/>
              <w:keepNext w:val="0"/>
              <w:keepLines w:val="0"/>
              <w:pageBreakBefore w:val="0"/>
              <w:widowControl w:val="0"/>
              <w:kinsoku/>
              <w:wordWrap/>
              <w:overflowPunct/>
              <w:topLinePunct w:val="0"/>
              <w:autoSpaceDE/>
              <w:autoSpaceDN/>
              <w:bidi w:val="0"/>
              <w:adjustRightInd/>
              <w:snapToGrid/>
              <w:spacing w:beforeLines="0"/>
              <w:textAlignment w:val="auto"/>
              <w:rPr>
                <w:rFonts w:hint="eastAsia" w:ascii="Times New Roman" w:hAnsi="Times New Roman" w:eastAsia="宋体" w:cs="Times New Roman"/>
                <w:color w:val="auto"/>
                <w:u w:val="none"/>
                <w:lang w:eastAsia="zh-CN"/>
              </w:rPr>
            </w:pPr>
            <w:r>
              <w:rPr>
                <w:rFonts w:hint="default" w:ascii="Times New Roman" w:hAnsi="Times New Roman" w:cs="Times New Roman"/>
                <w:color w:val="auto"/>
                <w:u w:val="none"/>
              </w:rPr>
              <w:t>表1-1专项评价设置原则表</w:t>
            </w:r>
            <w:r>
              <w:rPr>
                <w:rFonts w:hint="eastAsia" w:cs="Times New Roman"/>
                <w:color w:val="auto"/>
                <w:u w:val="none"/>
                <w:lang w:eastAsia="zh-CN"/>
              </w:rPr>
              <w:t>（</w:t>
            </w:r>
            <w:r>
              <w:rPr>
                <w:rFonts w:hint="eastAsia" w:cs="Times New Roman"/>
                <w:color w:val="auto"/>
                <w:u w:val="none"/>
                <w:lang w:val="en-US" w:eastAsia="zh-CN"/>
              </w:rPr>
              <w:t>生态影响类</w:t>
            </w:r>
            <w:r>
              <w:rPr>
                <w:rFonts w:hint="eastAsia" w:cs="Times New Roman"/>
                <w:color w:val="auto"/>
                <w:u w:val="none"/>
                <w:lang w:eastAsia="zh-CN"/>
              </w:rPr>
              <w:t>）</w:t>
            </w:r>
          </w:p>
          <w:tbl>
            <w:tblPr>
              <w:tblStyle w:val="22"/>
              <w:tblW w:w="507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28" w:type="dxa"/>
                <w:left w:w="0" w:type="dxa"/>
                <w:bottom w:w="28" w:type="dxa"/>
                <w:right w:w="0" w:type="dxa"/>
              </w:tblCellMar>
            </w:tblPr>
            <w:tblGrid>
              <w:gridCol w:w="922"/>
              <w:gridCol w:w="3501"/>
              <w:gridCol w:w="2349"/>
              <w:gridCol w:w="93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0" w:type="dxa"/>
                  <w:bottom w:w="28" w:type="dxa"/>
                  <w:right w:w="0" w:type="dxa"/>
                </w:tblCellMar>
              </w:tblPrEx>
              <w:trPr>
                <w:trHeight w:val="548" w:hRule="atLeast"/>
                <w:jc w:val="center"/>
              </w:trPr>
              <w:tc>
                <w:tcPr>
                  <w:tcW w:w="597" w:type="pct"/>
                  <w:tcBorders>
                    <w:tl2br w:val="nil"/>
                    <w:tr2bl w:val="nil"/>
                  </w:tcBorders>
                  <w:noWrap w:val="0"/>
                  <w:vAlign w:val="center"/>
                </w:tcPr>
                <w:p>
                  <w:pPr>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专项评价的类别</w:t>
                  </w:r>
                </w:p>
              </w:tc>
              <w:tc>
                <w:tcPr>
                  <w:tcW w:w="2270" w:type="pct"/>
                  <w:tcBorders>
                    <w:tl2br w:val="nil"/>
                    <w:tr2bl w:val="nil"/>
                  </w:tcBorders>
                  <w:noWrap w:val="0"/>
                  <w:vAlign w:val="center"/>
                </w:tcPr>
                <w:p>
                  <w:pPr>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涉及项目类别</w:t>
                  </w:r>
                </w:p>
              </w:tc>
              <w:tc>
                <w:tcPr>
                  <w:tcW w:w="1523" w:type="pct"/>
                  <w:tcBorders>
                    <w:tl2br w:val="nil"/>
                    <w:tr2bl w:val="nil"/>
                  </w:tcBorders>
                  <w:noWrap w:val="0"/>
                  <w:vAlign w:val="center"/>
                </w:tcPr>
                <w:p>
                  <w:pPr>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本项目情况</w:t>
                  </w:r>
                </w:p>
              </w:tc>
              <w:tc>
                <w:tcPr>
                  <w:tcW w:w="608" w:type="pct"/>
                  <w:tcBorders>
                    <w:tl2br w:val="nil"/>
                    <w:tr2bl w:val="nil"/>
                  </w:tcBorders>
                  <w:noWrap w:val="0"/>
                  <w:vAlign w:val="center"/>
                </w:tcPr>
                <w:p>
                  <w:pPr>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是否设置专项评价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0" w:type="dxa"/>
                  <w:bottom w:w="28" w:type="dxa"/>
                  <w:right w:w="0" w:type="dxa"/>
                </w:tblCellMar>
              </w:tblPrEx>
              <w:trPr>
                <w:trHeight w:val="534" w:hRule="atLeast"/>
                <w:jc w:val="center"/>
              </w:trPr>
              <w:tc>
                <w:tcPr>
                  <w:tcW w:w="597" w:type="pct"/>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地表水</w:t>
                  </w:r>
                </w:p>
              </w:tc>
              <w:tc>
                <w:tcPr>
                  <w:tcW w:w="2270" w:type="pct"/>
                  <w:tcBorders>
                    <w:tl2br w:val="nil"/>
                    <w:tr2bl w:val="nil"/>
                  </w:tcBorders>
                  <w:noWrap w:val="0"/>
                  <w:vAlign w:val="center"/>
                </w:tcPr>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水力发电：引水式发电、涉及发电的项目；</w:t>
                  </w:r>
                </w:p>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人工湖、人工湿地：全部水库：全部；</w:t>
                  </w:r>
                </w:p>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引水工程：全部（配套的管线工程等除外）；</w:t>
                  </w:r>
                </w:p>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防洪除涝工程：包含水库的项目；</w:t>
                  </w:r>
                </w:p>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河湖整治：涉及清淤且底泥存在重金属污染的项目</w:t>
                  </w:r>
                </w:p>
              </w:tc>
              <w:tc>
                <w:tcPr>
                  <w:tcW w:w="1523"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lang w:val="en-US" w:eastAsia="zh-CN"/>
                    </w:rPr>
                    <w:t>本项目</w:t>
                  </w:r>
                  <w:r>
                    <w:rPr>
                      <w:rFonts w:hint="eastAsia" w:eastAsia="宋体" w:cs="Times New Roman"/>
                      <w:bCs/>
                      <w:color w:val="auto"/>
                      <w:sz w:val="21"/>
                      <w:szCs w:val="21"/>
                      <w:lang w:val="en-US" w:eastAsia="zh-CN"/>
                    </w:rPr>
                    <w:t>不涉及左述项目类别</w:t>
                  </w:r>
                </w:p>
              </w:tc>
              <w:tc>
                <w:tcPr>
                  <w:tcW w:w="608" w:type="pct"/>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0" w:type="dxa"/>
                  <w:bottom w:w="28" w:type="dxa"/>
                  <w:right w:w="0" w:type="dxa"/>
                </w:tblCellMar>
              </w:tblPrEx>
              <w:trPr>
                <w:trHeight w:val="1076" w:hRule="atLeast"/>
                <w:jc w:val="center"/>
              </w:trPr>
              <w:tc>
                <w:tcPr>
                  <w:tcW w:w="597" w:type="pct"/>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地下水</w:t>
                  </w:r>
                </w:p>
              </w:tc>
              <w:tc>
                <w:tcPr>
                  <w:tcW w:w="2270" w:type="pct"/>
                  <w:tcBorders>
                    <w:tl2br w:val="nil"/>
                    <w:tr2bl w:val="nil"/>
                  </w:tcBorders>
                  <w:noWrap w:val="0"/>
                  <w:vAlign w:val="center"/>
                </w:tcPr>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陆地石油和天然气开采：全部；</w:t>
                  </w:r>
                </w:p>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地下水（含矿泉水）开采：全部；</w:t>
                  </w:r>
                </w:p>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水利、水电、交通等：含穿越可溶岩地层隧道的项目</w:t>
                  </w:r>
                </w:p>
              </w:tc>
              <w:tc>
                <w:tcPr>
                  <w:tcW w:w="1523" w:type="pct"/>
                  <w:tcBorders>
                    <w:tl2br w:val="nil"/>
                    <w:tr2bl w:val="nil"/>
                  </w:tcBorders>
                  <w:noWrap w:val="0"/>
                  <w:vAlign w:val="center"/>
                </w:tcPr>
                <w:p>
                  <w:pPr>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lang w:val="en-US" w:eastAsia="zh-CN"/>
                    </w:rPr>
                    <w:t>本项目</w:t>
                  </w:r>
                  <w:r>
                    <w:rPr>
                      <w:rFonts w:hint="eastAsia" w:eastAsia="宋体" w:cs="Times New Roman"/>
                      <w:bCs/>
                      <w:color w:val="auto"/>
                      <w:sz w:val="21"/>
                      <w:szCs w:val="21"/>
                      <w:lang w:val="en-US" w:eastAsia="zh-CN"/>
                    </w:rPr>
                    <w:t>不涉及左述项目类别</w:t>
                  </w:r>
                </w:p>
              </w:tc>
              <w:tc>
                <w:tcPr>
                  <w:tcW w:w="608"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0" w:type="dxa"/>
                  <w:bottom w:w="28" w:type="dxa"/>
                  <w:right w:w="0" w:type="dxa"/>
                </w:tblCellMar>
              </w:tblPrEx>
              <w:trPr>
                <w:trHeight w:val="543" w:hRule="atLeast"/>
                <w:jc w:val="center"/>
              </w:trPr>
              <w:tc>
                <w:tcPr>
                  <w:tcW w:w="597" w:type="pct"/>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生态</w:t>
                  </w:r>
                </w:p>
              </w:tc>
              <w:tc>
                <w:tcPr>
                  <w:tcW w:w="2270" w:type="pct"/>
                  <w:tcBorders>
                    <w:tl2br w:val="nil"/>
                    <w:tr2bl w:val="nil"/>
                  </w:tcBorders>
                  <w:noWrap w:val="0"/>
                  <w:vAlign w:val="center"/>
                </w:tcPr>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涉及环境敏感区（不包括饮用水水源保护区、以居住、医疗卫生、文化教育、科研、行政办公为主要功能的区域，以及文物保护单位）的项目</w:t>
                  </w:r>
                </w:p>
              </w:tc>
              <w:tc>
                <w:tcPr>
                  <w:tcW w:w="1523" w:type="pct"/>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lang w:val="en-US" w:eastAsia="zh-CN"/>
                    </w:rPr>
                    <w:t>本项目</w:t>
                  </w:r>
                  <w:r>
                    <w:rPr>
                      <w:rFonts w:hint="eastAsia" w:eastAsia="宋体" w:cs="Times New Roman"/>
                      <w:bCs/>
                      <w:color w:val="auto"/>
                      <w:sz w:val="21"/>
                      <w:szCs w:val="21"/>
                      <w:lang w:val="en-US" w:eastAsia="zh-CN"/>
                    </w:rPr>
                    <w:t>涉及</w:t>
                  </w:r>
                  <w:r>
                    <w:rPr>
                      <w:rFonts w:hint="eastAsia" w:ascii="Times New Roman" w:hAnsi="Times New Roman" w:eastAsia="宋体" w:cs="Times New Roman"/>
                      <w:color w:val="auto"/>
                      <w:lang w:val="en-US" w:eastAsia="zh-CN"/>
                    </w:rPr>
                    <w:t>湖南东洞庭湖国家级自然保护区</w:t>
                  </w:r>
                </w:p>
              </w:tc>
              <w:tc>
                <w:tcPr>
                  <w:tcW w:w="608" w:type="pct"/>
                  <w:tcBorders>
                    <w:tl2br w:val="nil"/>
                    <w:tr2bl w:val="nil"/>
                  </w:tcBorders>
                  <w:noWrap w:val="0"/>
                  <w:vAlign w:val="center"/>
                </w:tcPr>
                <w:p>
                  <w:pPr>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0" w:type="dxa"/>
                  <w:bottom w:w="28" w:type="dxa"/>
                  <w:right w:w="0" w:type="dxa"/>
                </w:tblCellMar>
              </w:tblPrEx>
              <w:trPr>
                <w:trHeight w:val="810" w:hRule="atLeast"/>
                <w:jc w:val="center"/>
              </w:trPr>
              <w:tc>
                <w:tcPr>
                  <w:tcW w:w="597" w:type="pct"/>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大气</w:t>
                  </w:r>
                </w:p>
              </w:tc>
              <w:tc>
                <w:tcPr>
                  <w:tcW w:w="2270" w:type="pct"/>
                  <w:tcBorders>
                    <w:tl2br w:val="nil"/>
                    <w:tr2bl w:val="nil"/>
                  </w:tcBorders>
                  <w:noWrap w:val="0"/>
                  <w:vAlign w:val="center"/>
                </w:tcPr>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油气、液体化工码头：全部；</w:t>
                  </w:r>
                </w:p>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干散货（含煤炭、矿石）、件杂、多用途、通用码头：涉及粉尘、挥发性有机物排放的项目</w:t>
                  </w:r>
                </w:p>
              </w:tc>
              <w:tc>
                <w:tcPr>
                  <w:tcW w:w="1523"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bCs/>
                      <w:color w:val="auto"/>
                      <w:sz w:val="21"/>
                      <w:szCs w:val="21"/>
                      <w:lang w:val="en-US" w:eastAsia="zh-CN"/>
                    </w:rPr>
                    <w:t>本项目</w:t>
                  </w:r>
                  <w:r>
                    <w:rPr>
                      <w:rFonts w:hint="eastAsia" w:eastAsia="宋体" w:cs="Times New Roman"/>
                      <w:bCs/>
                      <w:color w:val="auto"/>
                      <w:sz w:val="21"/>
                      <w:szCs w:val="21"/>
                      <w:lang w:val="en-US" w:eastAsia="zh-CN"/>
                    </w:rPr>
                    <w:t>不涉及左述项目类别</w:t>
                  </w:r>
                </w:p>
              </w:tc>
              <w:tc>
                <w:tcPr>
                  <w:tcW w:w="608" w:type="pct"/>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0" w:type="dxa"/>
                  <w:bottom w:w="28" w:type="dxa"/>
                  <w:right w:w="0" w:type="dxa"/>
                </w:tblCellMar>
              </w:tblPrEx>
              <w:trPr>
                <w:trHeight w:val="1342" w:hRule="atLeast"/>
                <w:jc w:val="center"/>
              </w:trPr>
              <w:tc>
                <w:tcPr>
                  <w:tcW w:w="597" w:type="pct"/>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噪声</w:t>
                  </w:r>
                </w:p>
              </w:tc>
              <w:tc>
                <w:tcPr>
                  <w:tcW w:w="2270" w:type="pct"/>
                  <w:tcBorders>
                    <w:tl2br w:val="nil"/>
                    <w:tr2bl w:val="nil"/>
                  </w:tcBorders>
                  <w:noWrap w:val="0"/>
                  <w:vAlign w:val="center"/>
                </w:tcPr>
                <w:p>
                  <w:pPr>
                    <w:autoSpaceDE w:val="0"/>
                    <w:autoSpaceDN w:val="0"/>
                    <w:adjustRightInd w:val="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公路、铁路、机场等交通运输业涉及环境敏感区（以居住、医疗卫生、文化教育、科研、行政办公为主要功能的区域）的项目；</w:t>
                  </w:r>
                </w:p>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城市道路（不含维护，不含支路、人行天桥、人行地道）：全部</w:t>
                  </w:r>
                </w:p>
              </w:tc>
              <w:tc>
                <w:tcPr>
                  <w:tcW w:w="1523" w:type="pct"/>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本项目</w:t>
                  </w:r>
                  <w:r>
                    <w:rPr>
                      <w:rFonts w:hint="eastAsia" w:eastAsia="宋体" w:cs="Times New Roman"/>
                      <w:bCs/>
                      <w:color w:val="auto"/>
                      <w:sz w:val="21"/>
                      <w:szCs w:val="21"/>
                      <w:lang w:val="en-US" w:eastAsia="zh-CN"/>
                    </w:rPr>
                    <w:t>不涉及左述项目类别</w:t>
                  </w:r>
                </w:p>
              </w:tc>
              <w:tc>
                <w:tcPr>
                  <w:tcW w:w="608" w:type="pct"/>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0" w:type="dxa"/>
                  <w:bottom w:w="28" w:type="dxa"/>
                  <w:right w:w="0" w:type="dxa"/>
                </w:tblCellMar>
              </w:tblPrEx>
              <w:trPr>
                <w:trHeight w:val="337" w:hRule="atLeast"/>
                <w:jc w:val="center"/>
              </w:trPr>
              <w:tc>
                <w:tcPr>
                  <w:tcW w:w="597" w:type="pct"/>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环境风险</w:t>
                  </w:r>
                </w:p>
              </w:tc>
              <w:tc>
                <w:tcPr>
                  <w:tcW w:w="2270" w:type="pct"/>
                  <w:tcBorders>
                    <w:tl2br w:val="nil"/>
                    <w:tr2bl w:val="nil"/>
                  </w:tcBorders>
                  <w:noWrap w:val="0"/>
                  <w:vAlign w:val="center"/>
                </w:tcPr>
                <w:p>
                  <w:pPr>
                    <w:autoSpaceDE w:val="0"/>
                    <w:autoSpaceDN w:val="0"/>
                    <w:adjustRightInd w:val="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石油和天然气开采：全部；</w:t>
                  </w:r>
                </w:p>
                <w:p>
                  <w:pPr>
                    <w:autoSpaceDE w:val="0"/>
                    <w:autoSpaceDN w:val="0"/>
                    <w:adjustRightInd w:val="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油气、液体化工码头：全部；</w:t>
                  </w:r>
                </w:p>
                <w:p>
                  <w:pPr>
                    <w:autoSpaceDE w:val="0"/>
                    <w:autoSpaceDN w:val="0"/>
                    <w:adjustRightInd w:val="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原油、成品油、天然气管线（不含城镇天然气管线、企业厂区内管线），危险化学品输送管线（不含企业厂区内管线）：全部</w:t>
                  </w:r>
                </w:p>
              </w:tc>
              <w:tc>
                <w:tcPr>
                  <w:tcW w:w="1523" w:type="pct"/>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本项目</w:t>
                  </w:r>
                  <w:r>
                    <w:rPr>
                      <w:rFonts w:hint="eastAsia" w:eastAsia="宋体" w:cs="Times New Roman"/>
                      <w:bCs/>
                      <w:color w:val="auto"/>
                      <w:sz w:val="21"/>
                      <w:szCs w:val="21"/>
                      <w:lang w:val="en-US" w:eastAsia="zh-CN"/>
                    </w:rPr>
                    <w:t>不涉及左述项目类别</w:t>
                  </w:r>
                </w:p>
              </w:tc>
              <w:tc>
                <w:tcPr>
                  <w:tcW w:w="608" w:type="pct"/>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0" w:type="dxa"/>
                  <w:bottom w:w="28" w:type="dxa"/>
                  <w:right w:w="0" w:type="dxa"/>
                </w:tblCellMar>
              </w:tblPrEx>
              <w:trPr>
                <w:trHeight w:val="825" w:hRule="atLeast"/>
                <w:jc w:val="center"/>
              </w:trPr>
              <w:tc>
                <w:tcPr>
                  <w:tcW w:w="5000" w:type="pct"/>
                  <w:gridSpan w:val="4"/>
                  <w:tcBorders>
                    <w:tl2br w:val="nil"/>
                    <w:tr2bl w:val="nil"/>
                  </w:tcBorders>
                  <w:noWrap w:val="0"/>
                  <w:vAlign w:val="center"/>
                </w:tcPr>
                <w:p>
                  <w:pPr>
                    <w:autoSpaceDE w:val="0"/>
                    <w:autoSpaceDN w:val="0"/>
                    <w:adjustRightInd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w:t>
                  </w: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涉及环境敏感区</w:t>
                  </w:r>
                  <w:r>
                    <w:rPr>
                      <w:rFonts w:hint="default" w:ascii="Times New Roman" w:hAnsi="Times New Roman" w:eastAsia="宋体" w:cs="Times New Roman"/>
                      <w:color w:val="auto"/>
                      <w:kern w:val="0"/>
                      <w:sz w:val="21"/>
                      <w:szCs w:val="21"/>
                      <w:lang w:val="en-US" w:eastAsia="zh-CN"/>
                    </w:rPr>
                    <w:t>”</w:t>
                  </w:r>
                  <w:r>
                    <w:rPr>
                      <w:rFonts w:hint="default" w:ascii="Times New Roman" w:hAnsi="Times New Roman" w:eastAsia="宋体" w:cs="Times New Roman"/>
                      <w:color w:val="auto"/>
                      <w:kern w:val="0"/>
                      <w:sz w:val="21"/>
                      <w:szCs w:val="21"/>
                    </w:rPr>
                    <w:t>是指建设项目位于、穿（跨）越（无害化通过的除外）环境敏感区，或环境影响范围涵盖环境敏感区。环境敏感区是指《建设项目环境影响评价分类管理名录》中针对该类项目所列的敏感区。</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eastAsia="宋体" w:cs="宋体"/>
                <w:color w:val="auto"/>
                <w:kern w:val="0"/>
                <w:sz w:val="24"/>
                <w:szCs w:val="21"/>
                <w:lang w:eastAsia="zh-CN"/>
              </w:rPr>
            </w:pPr>
            <w:r>
              <w:rPr>
                <w:rFonts w:hint="default" w:ascii="Times New Roman" w:hAnsi="Times New Roman" w:cs="Times New Roman"/>
                <w:color w:val="auto"/>
                <w:kern w:val="0"/>
                <w:sz w:val="24"/>
              </w:rPr>
              <w:t>综上所述，本项目</w:t>
            </w:r>
            <w:r>
              <w:rPr>
                <w:rFonts w:hint="default" w:ascii="Times New Roman" w:hAnsi="Times New Roman" w:cs="Times New Roman"/>
                <w:color w:val="auto"/>
                <w:kern w:val="0"/>
                <w:sz w:val="24"/>
                <w:lang w:val="en-US" w:eastAsia="zh-CN"/>
              </w:rPr>
              <w:t>需</w:t>
            </w:r>
            <w:r>
              <w:rPr>
                <w:rFonts w:hint="default" w:ascii="Times New Roman" w:hAnsi="Times New Roman" w:cs="Times New Roman"/>
                <w:color w:val="auto"/>
                <w:kern w:val="0"/>
                <w:sz w:val="24"/>
              </w:rPr>
              <w:t>设置</w:t>
            </w:r>
            <w:r>
              <w:rPr>
                <w:rFonts w:hint="eastAsia" w:cs="Times New Roman"/>
                <w:color w:val="auto"/>
                <w:kern w:val="0"/>
                <w:sz w:val="24"/>
                <w:lang w:val="en-US" w:eastAsia="zh-CN"/>
              </w:rPr>
              <w:t>生态</w:t>
            </w:r>
            <w:r>
              <w:rPr>
                <w:rFonts w:hint="default" w:ascii="Times New Roman" w:hAnsi="Times New Roman" w:cs="Times New Roman"/>
                <w:color w:val="auto"/>
                <w:kern w:val="0"/>
                <w:sz w:val="24"/>
              </w:rPr>
              <w:t>专项评价</w:t>
            </w:r>
            <w:r>
              <w:rPr>
                <w:rFonts w:hint="eastAsia" w:cs="Times New Roman"/>
                <w:color w:val="auto"/>
                <w:kern w:val="0"/>
                <w:sz w:val="24"/>
                <w:szCs w:val="24"/>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1182" w:type="dxa"/>
            <w:vAlign w:val="center"/>
          </w:tcPr>
          <w:p>
            <w:pPr>
              <w:autoSpaceDE w:val="0"/>
              <w:autoSpaceDN w:val="0"/>
              <w:adjustRightInd w:val="0"/>
              <w:snapToGrid w:val="0"/>
              <w:jc w:val="center"/>
              <w:rPr>
                <w:rFonts w:cs="宋体"/>
                <w:color w:val="auto"/>
                <w:kern w:val="0"/>
                <w:sz w:val="24"/>
                <w:szCs w:val="21"/>
              </w:rPr>
            </w:pPr>
            <w:r>
              <w:rPr>
                <w:rFonts w:hint="eastAsia" w:cs="宋体"/>
                <w:color w:val="auto"/>
                <w:sz w:val="24"/>
                <w:szCs w:val="21"/>
              </w:rPr>
              <w:t>规划情况</w:t>
            </w:r>
          </w:p>
        </w:tc>
        <w:tc>
          <w:tcPr>
            <w:tcW w:w="7838" w:type="dxa"/>
            <w:gridSpan w:val="3"/>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eastAsia="宋体" w:cs="宋体"/>
                <w:color w:val="auto"/>
                <w:kern w:val="0"/>
                <w:sz w:val="24"/>
                <w:szCs w:val="21"/>
                <w:lang w:val="en-US" w:eastAsia="zh-CN"/>
              </w:rPr>
            </w:pPr>
            <w:r>
              <w:rPr>
                <w:rFonts w:hint="eastAsia" w:cs="宋体"/>
                <w:color w:val="auto"/>
                <w:kern w:val="0"/>
                <w:sz w:val="24"/>
                <w:szCs w:val="21"/>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82" w:type="dxa"/>
            <w:vAlign w:val="center"/>
          </w:tcPr>
          <w:p>
            <w:pPr>
              <w:adjustRightInd w:val="0"/>
              <w:snapToGrid w:val="0"/>
              <w:jc w:val="center"/>
              <w:rPr>
                <w:rFonts w:cs="宋体"/>
                <w:color w:val="auto"/>
                <w:sz w:val="24"/>
                <w:szCs w:val="21"/>
              </w:rPr>
            </w:pPr>
            <w:r>
              <w:rPr>
                <w:rFonts w:hint="eastAsia" w:cs="宋体"/>
                <w:color w:val="auto"/>
                <w:sz w:val="24"/>
                <w:szCs w:val="21"/>
              </w:rPr>
              <w:t>规划环境影响</w:t>
            </w:r>
          </w:p>
          <w:p>
            <w:pPr>
              <w:adjustRightInd w:val="0"/>
              <w:snapToGrid w:val="0"/>
              <w:jc w:val="center"/>
              <w:rPr>
                <w:rFonts w:cs="宋体"/>
                <w:color w:val="auto"/>
                <w:kern w:val="0"/>
                <w:sz w:val="24"/>
                <w:szCs w:val="21"/>
              </w:rPr>
            </w:pPr>
            <w:r>
              <w:rPr>
                <w:rFonts w:hint="eastAsia" w:cs="宋体"/>
                <w:color w:val="auto"/>
                <w:sz w:val="24"/>
                <w:szCs w:val="21"/>
              </w:rPr>
              <w:t>评价情况</w:t>
            </w:r>
          </w:p>
        </w:tc>
        <w:tc>
          <w:tcPr>
            <w:tcW w:w="7838" w:type="dxa"/>
            <w:gridSpan w:val="3"/>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eastAsia="宋体" w:cs="宋体"/>
                <w:color w:val="auto"/>
                <w:kern w:val="0"/>
                <w:sz w:val="24"/>
                <w:szCs w:val="21"/>
                <w:lang w:eastAsia="zh-CN"/>
              </w:rPr>
            </w:pPr>
            <w:r>
              <w:rPr>
                <w:rFonts w:hint="eastAsia" w:cs="宋体"/>
                <w:color w:val="auto"/>
                <w:kern w:val="0"/>
                <w:sz w:val="24"/>
                <w:szCs w:val="21"/>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82" w:type="dxa"/>
            <w:vAlign w:val="center"/>
          </w:tcPr>
          <w:p>
            <w:pPr>
              <w:autoSpaceDE w:val="0"/>
              <w:autoSpaceDN w:val="0"/>
              <w:adjustRightInd w:val="0"/>
              <w:snapToGrid w:val="0"/>
              <w:jc w:val="center"/>
              <w:rPr>
                <w:rFonts w:cs="宋体"/>
                <w:color w:val="auto"/>
                <w:kern w:val="0"/>
                <w:sz w:val="24"/>
                <w:szCs w:val="21"/>
              </w:rPr>
            </w:pPr>
            <w:r>
              <w:rPr>
                <w:rFonts w:hint="eastAsia" w:cs="宋体"/>
                <w:color w:val="auto"/>
                <w:kern w:val="0"/>
                <w:sz w:val="24"/>
                <w:szCs w:val="21"/>
              </w:rPr>
              <w:t>规划及规划环境</w:t>
            </w:r>
          </w:p>
          <w:p>
            <w:pPr>
              <w:autoSpaceDE w:val="0"/>
              <w:autoSpaceDN w:val="0"/>
              <w:adjustRightInd w:val="0"/>
              <w:snapToGrid w:val="0"/>
              <w:jc w:val="center"/>
              <w:rPr>
                <w:rFonts w:cs="宋体"/>
                <w:color w:val="auto"/>
                <w:kern w:val="0"/>
                <w:sz w:val="24"/>
                <w:szCs w:val="21"/>
              </w:rPr>
            </w:pPr>
            <w:r>
              <w:rPr>
                <w:rFonts w:hint="eastAsia" w:cs="宋体"/>
                <w:color w:val="auto"/>
                <w:kern w:val="0"/>
                <w:sz w:val="24"/>
                <w:szCs w:val="21"/>
              </w:rPr>
              <w:t>影响评价符合性分析</w:t>
            </w:r>
          </w:p>
        </w:tc>
        <w:tc>
          <w:tcPr>
            <w:tcW w:w="7838" w:type="dxa"/>
            <w:gridSpan w:val="3"/>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eastAsia="宋体"/>
                <w:color w:val="auto"/>
                <w:lang w:val="en-US" w:eastAsia="zh-CN"/>
              </w:rPr>
            </w:pPr>
            <w:r>
              <w:rPr>
                <w:rFonts w:hint="eastAsia" w:eastAsia="宋体" w:cs="宋体"/>
                <w:color w:val="auto"/>
                <w:kern w:val="0"/>
                <w:sz w:val="24"/>
                <w:szCs w:val="21"/>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82" w:type="dxa"/>
            <w:vAlign w:val="center"/>
          </w:tcPr>
          <w:p>
            <w:pPr>
              <w:autoSpaceDE w:val="0"/>
              <w:autoSpaceDN w:val="0"/>
              <w:adjustRightInd w:val="0"/>
              <w:snapToGrid w:val="0"/>
              <w:jc w:val="center"/>
              <w:rPr>
                <w:rFonts w:hint="eastAsia" w:cs="宋体"/>
                <w:color w:val="auto"/>
                <w:kern w:val="0"/>
                <w:sz w:val="24"/>
                <w:szCs w:val="21"/>
              </w:rPr>
            </w:pPr>
            <w:r>
              <w:rPr>
                <w:rFonts w:hint="eastAsia" w:cs="宋体"/>
                <w:color w:val="auto"/>
                <w:kern w:val="0"/>
                <w:sz w:val="24"/>
                <w:szCs w:val="21"/>
              </w:rPr>
              <w:t>其他符合性分析</w:t>
            </w:r>
          </w:p>
        </w:tc>
        <w:tc>
          <w:tcPr>
            <w:tcW w:w="7838" w:type="dxa"/>
            <w:gridSpan w:val="3"/>
            <w:vAlign w:val="center"/>
          </w:tcPr>
          <w:p>
            <w:pPr>
              <w:adjustRightInd w:val="0"/>
              <w:snapToGrid w:val="0"/>
              <w:spacing w:line="360" w:lineRule="auto"/>
              <w:ind w:firstLine="482" w:firstLineChars="200"/>
              <w:jc w:val="left"/>
              <w:rPr>
                <w:rFonts w:hint="default"/>
                <w:b/>
                <w:bCs/>
                <w:color w:val="auto"/>
                <w:sz w:val="24"/>
              </w:rPr>
            </w:pPr>
            <w:r>
              <w:rPr>
                <w:rFonts w:hint="eastAsia"/>
                <w:b/>
                <w:bCs/>
                <w:color w:val="auto"/>
                <w:sz w:val="24"/>
              </w:rPr>
              <w:t>（1）产业政策相符性</w:t>
            </w:r>
          </w:p>
          <w:p>
            <w:pPr>
              <w:topLinePunct/>
              <w:adjustRightInd w:val="0"/>
              <w:snapToGrid w:val="0"/>
              <w:spacing w:line="360" w:lineRule="auto"/>
              <w:ind w:firstLine="480" w:firstLineChars="200"/>
              <w:rPr>
                <w:color w:val="auto"/>
                <w:sz w:val="24"/>
              </w:rPr>
            </w:pPr>
            <w:r>
              <w:rPr>
                <w:rFonts w:hint="eastAsia" w:ascii="Times New Roman" w:hAnsi="Times New Roman" w:eastAsia="宋体" w:cs="Times New Roman"/>
                <w:color w:val="auto"/>
                <w:kern w:val="0"/>
                <w:sz w:val="24"/>
              </w:rPr>
              <w:t>建设项目主要为</w:t>
            </w:r>
            <w:r>
              <w:rPr>
                <w:rFonts w:hint="eastAsia" w:ascii="Times New Roman" w:hAnsi="Times New Roman" w:eastAsia="宋体" w:cs="Times New Roman"/>
                <w:color w:val="auto"/>
                <w:kern w:val="0"/>
                <w:sz w:val="24"/>
                <w:lang w:val="en-US" w:eastAsia="zh-CN"/>
              </w:rPr>
              <w:t>安置区安置房建设</w:t>
            </w:r>
            <w:r>
              <w:rPr>
                <w:rFonts w:hint="eastAsia" w:ascii="Times New Roman" w:hAnsi="Times New Roman" w:eastAsia="宋体" w:cs="Times New Roman"/>
                <w:color w:val="auto"/>
                <w:kern w:val="0"/>
                <w:sz w:val="24"/>
              </w:rPr>
              <w:t>项目，根据《产业结构调整指导目录（20</w:t>
            </w:r>
            <w:r>
              <w:rPr>
                <w:rFonts w:hint="eastAsia" w:ascii="Times New Roman" w:hAnsi="Times New Roman" w:eastAsia="宋体" w:cs="Times New Roman"/>
                <w:color w:val="auto"/>
                <w:kern w:val="0"/>
                <w:sz w:val="24"/>
                <w:lang w:val="en-US" w:eastAsia="zh-CN"/>
              </w:rPr>
              <w:t>24</w:t>
            </w:r>
            <w:r>
              <w:rPr>
                <w:rFonts w:hint="eastAsia" w:ascii="Times New Roman" w:hAnsi="Times New Roman" w:eastAsia="宋体" w:cs="Times New Roman"/>
                <w:color w:val="auto"/>
                <w:kern w:val="0"/>
                <w:sz w:val="24"/>
              </w:rPr>
              <w:t>年本）》，项目</w:t>
            </w:r>
            <w:r>
              <w:rPr>
                <w:rFonts w:hint="eastAsia" w:ascii="Times New Roman" w:hAnsi="Times New Roman" w:eastAsia="宋体" w:cs="Times New Roman"/>
                <w:color w:val="auto"/>
                <w:kern w:val="0"/>
                <w:sz w:val="24"/>
                <w:lang w:val="en-US" w:eastAsia="zh-CN"/>
              </w:rPr>
              <w:t>不</w:t>
            </w:r>
            <w:r>
              <w:rPr>
                <w:rFonts w:hint="eastAsia" w:ascii="Times New Roman" w:hAnsi="Times New Roman" w:eastAsia="宋体" w:cs="Times New Roman"/>
                <w:color w:val="auto"/>
                <w:kern w:val="0"/>
                <w:sz w:val="24"/>
              </w:rPr>
              <w:t>属于“鼓励类”</w:t>
            </w:r>
            <w:r>
              <w:rPr>
                <w:rFonts w:hint="eastAsia" w:ascii="Times New Roman" w:hAnsi="Times New Roman" w:eastAsia="宋体" w:cs="Times New Roman"/>
                <w:color w:val="auto"/>
                <w:kern w:val="0"/>
                <w:sz w:val="24"/>
                <w:lang w:eastAsia="zh-CN"/>
              </w:rPr>
              <w:t>“</w:t>
            </w:r>
            <w:r>
              <w:rPr>
                <w:rFonts w:hint="eastAsia" w:ascii="Times New Roman" w:hAnsi="Times New Roman" w:eastAsia="宋体" w:cs="Times New Roman"/>
                <w:color w:val="auto"/>
                <w:kern w:val="0"/>
                <w:sz w:val="24"/>
                <w:lang w:val="en-US" w:eastAsia="zh-CN"/>
              </w:rPr>
              <w:t>淘汰类</w:t>
            </w:r>
            <w:r>
              <w:rPr>
                <w:rFonts w:hint="eastAsia" w:ascii="Times New Roman" w:hAnsi="Times New Roman" w:eastAsia="宋体" w:cs="Times New Roman"/>
                <w:color w:val="auto"/>
                <w:kern w:val="0"/>
                <w:sz w:val="24"/>
                <w:lang w:eastAsia="zh-CN"/>
              </w:rPr>
              <w:t>”</w:t>
            </w:r>
            <w:r>
              <w:rPr>
                <w:rFonts w:hint="eastAsia" w:ascii="Times New Roman" w:hAnsi="Times New Roman" w:eastAsia="宋体" w:cs="Times New Roman"/>
                <w:color w:val="auto"/>
                <w:kern w:val="0"/>
                <w:sz w:val="24"/>
                <w:lang w:val="en-US" w:eastAsia="zh-CN"/>
              </w:rPr>
              <w:t>以及“限制类”项目，属于允许类项目；项目不属于《市场准入负面清单（</w:t>
            </w:r>
            <w:r>
              <w:rPr>
                <w:rFonts w:hint="default" w:ascii="Times New Roman" w:hAnsi="Times New Roman" w:eastAsia="宋体" w:cs="Times New Roman"/>
                <w:color w:val="auto"/>
                <w:kern w:val="0"/>
                <w:sz w:val="24"/>
                <w:lang w:val="en-US" w:eastAsia="zh-CN"/>
              </w:rPr>
              <w:t xml:space="preserve">2022 </w:t>
            </w:r>
            <w:r>
              <w:rPr>
                <w:rFonts w:hint="eastAsia" w:ascii="Times New Roman" w:hAnsi="Times New Roman" w:eastAsia="宋体" w:cs="Times New Roman"/>
                <w:color w:val="auto"/>
                <w:kern w:val="0"/>
                <w:sz w:val="24"/>
                <w:lang w:val="en-US" w:eastAsia="zh-CN"/>
              </w:rPr>
              <w:t>年版）》中的项目</w:t>
            </w:r>
            <w:r>
              <w:rPr>
                <w:rFonts w:hint="eastAsia" w:ascii="Times New Roman" w:hAnsi="Times New Roman" w:eastAsia="宋体" w:cs="Times New Roman"/>
                <w:color w:val="auto"/>
                <w:kern w:val="0"/>
                <w:sz w:val="24"/>
              </w:rPr>
              <w:t>。因此，项目建设符合国家产业政策。</w:t>
            </w:r>
          </w:p>
          <w:p>
            <w:pPr>
              <w:adjustRightInd w:val="0"/>
              <w:snapToGrid w:val="0"/>
              <w:spacing w:line="360" w:lineRule="auto"/>
              <w:ind w:firstLine="482" w:firstLineChars="200"/>
              <w:jc w:val="left"/>
              <w:rPr>
                <w:b/>
                <w:bCs/>
                <w:color w:val="auto"/>
                <w:sz w:val="24"/>
              </w:rPr>
            </w:pPr>
            <w:r>
              <w:rPr>
                <w:rFonts w:hint="eastAsia"/>
                <w:b/>
                <w:bCs/>
                <w:color w:val="auto"/>
                <w:sz w:val="24"/>
              </w:rPr>
              <w:t>（2）规划及选址合理性分析</w:t>
            </w:r>
          </w:p>
          <w:p>
            <w:pPr>
              <w:topLinePunct/>
              <w:adjustRightInd w:val="0"/>
              <w:snapToGrid w:val="0"/>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本项目位于</w:t>
            </w:r>
            <w:r>
              <w:rPr>
                <w:rFonts w:hint="eastAsia" w:ascii="Times New Roman" w:hAnsi="Times New Roman" w:eastAsia="宋体" w:cs="Times New Roman"/>
                <w:color w:val="auto"/>
                <w:kern w:val="0"/>
                <w:sz w:val="24"/>
                <w:lang w:val="en-US" w:eastAsia="zh-CN"/>
              </w:rPr>
              <w:t>项目建设地点位于</w:t>
            </w:r>
            <w:r>
              <w:rPr>
                <w:rFonts w:hint="eastAsia" w:ascii="Times New Roman" w:hAnsi="Times New Roman" w:cs="宋体"/>
                <w:color w:val="auto"/>
                <w:sz w:val="24"/>
                <w:szCs w:val="21"/>
                <w:lang w:val="en-US" w:eastAsia="zh-CN"/>
              </w:rPr>
              <w:t>华容县团洲安全垸内团洲花园小区</w:t>
            </w:r>
            <w:r>
              <w:rPr>
                <w:rFonts w:hint="eastAsia" w:cs="宋体"/>
                <w:color w:val="auto"/>
                <w:sz w:val="24"/>
                <w:szCs w:val="21"/>
                <w:lang w:val="en-US" w:eastAsia="zh-CN"/>
              </w:rPr>
              <w:t>东侧，南电排渠西侧</w:t>
            </w:r>
            <w:r>
              <w:rPr>
                <w:rFonts w:hint="eastAsia" w:ascii="Times New Roman" w:hAnsi="Times New Roman" w:eastAsia="宋体" w:cs="Times New Roman"/>
                <w:color w:val="auto"/>
                <w:kern w:val="0"/>
                <w:sz w:val="24"/>
                <w:lang w:val="en-US" w:eastAsia="zh-CN"/>
              </w:rPr>
              <w:t>，区域原为华容县团洲安全垸内耕地范围，地势较为平坦</w:t>
            </w:r>
            <w:r>
              <w:rPr>
                <w:rFonts w:hint="eastAsia" w:eastAsia="宋体" w:cs="Times New Roman"/>
                <w:color w:val="auto"/>
                <w:kern w:val="0"/>
                <w:sz w:val="24"/>
                <w:lang w:val="en-US" w:eastAsia="zh-CN"/>
              </w:rPr>
              <w:t>，适合房地产开发利用，项目已取得华容县自然资源局出具的《建设项目用地预审与选址意见书》</w:t>
            </w:r>
            <w:r>
              <w:rPr>
                <w:rFonts w:hint="eastAsia" w:ascii="Times New Roman" w:hAnsi="Times New Roman" w:eastAsia="宋体" w:cs="Times New Roman"/>
                <w:color w:val="auto"/>
                <w:kern w:val="0"/>
                <w:sz w:val="24"/>
                <w:lang w:val="en-US" w:eastAsia="zh-CN"/>
              </w:rPr>
              <w:t>；该区域</w:t>
            </w:r>
            <w:r>
              <w:rPr>
                <w:rFonts w:hint="eastAsia" w:eastAsia="宋体" w:cs="Times New Roman"/>
                <w:color w:val="auto"/>
                <w:kern w:val="0"/>
                <w:sz w:val="24"/>
                <w:lang w:val="en-US" w:eastAsia="zh-CN"/>
              </w:rPr>
              <w:t>位于</w:t>
            </w:r>
            <w:r>
              <w:rPr>
                <w:rFonts w:hint="eastAsia" w:ascii="Times New Roman" w:hAnsi="Times New Roman" w:eastAsia="宋体" w:cs="Times New Roman"/>
                <w:color w:val="auto"/>
                <w:kern w:val="0"/>
                <w:sz w:val="24"/>
                <w:lang w:val="en-US" w:eastAsia="zh-CN"/>
              </w:rPr>
              <w:t>华容县团洲安全垸内，</w:t>
            </w:r>
            <w:r>
              <w:rPr>
                <w:rFonts w:hint="default" w:ascii="Times New Roman" w:hAnsi="Times New Roman" w:eastAsia="宋体" w:cs="Times New Roman"/>
                <w:color w:val="auto"/>
                <w:kern w:val="0"/>
                <w:sz w:val="24"/>
              </w:rPr>
              <w:t>项目周边供电、供水、排水、交通道路等基础设施较完善，有利于本项目的建设和实施；</w:t>
            </w:r>
            <w:r>
              <w:rPr>
                <w:rFonts w:hint="eastAsia" w:ascii="Times New Roman" w:hAnsi="Times New Roman" w:eastAsia="宋体" w:cs="Times New Roman"/>
                <w:color w:val="auto"/>
                <w:kern w:val="0"/>
                <w:sz w:val="24"/>
                <w:lang w:val="en-US" w:eastAsia="zh-CN"/>
              </w:rPr>
              <w:t>项目周边无大型工业企业、采矿企业，</w:t>
            </w:r>
            <w:r>
              <w:rPr>
                <w:rFonts w:hint="default" w:ascii="Times New Roman" w:hAnsi="Times New Roman" w:eastAsia="宋体" w:cs="Times New Roman"/>
                <w:color w:val="auto"/>
                <w:kern w:val="0"/>
                <w:sz w:val="24"/>
              </w:rPr>
              <w:t>评价区域内环境空气质量、周围水体环境质量、声环境质量能满足相应功能区要求。因此，从项目区域场地条件、市政基础设施条件、环境可行性等方面综合分析，评价认为，项目选址是可行的。</w:t>
            </w:r>
          </w:p>
          <w:p>
            <w:pPr>
              <w:adjustRightInd w:val="0"/>
              <w:snapToGrid w:val="0"/>
              <w:spacing w:line="360" w:lineRule="auto"/>
              <w:ind w:firstLine="482" w:firstLineChars="200"/>
              <w:jc w:val="left"/>
              <w:rPr>
                <w:rFonts w:hint="eastAsia" w:ascii="Times New Roman" w:hAnsi="Times New Roman" w:eastAsia="宋体" w:cs="Times New Roman"/>
                <w:b/>
                <w:bCs/>
                <w:color w:val="auto"/>
                <w:sz w:val="24"/>
              </w:rPr>
            </w:pPr>
            <w:r>
              <w:rPr>
                <w:rFonts w:hint="eastAsia" w:ascii="Times New Roman" w:hAnsi="Times New Roman" w:eastAsia="宋体" w:cs="Times New Roman"/>
                <w:b/>
                <w:bCs/>
                <w:color w:val="auto"/>
                <w:sz w:val="24"/>
                <w:lang w:eastAsia="zh-CN"/>
              </w:rPr>
              <w:t>（</w:t>
            </w:r>
            <w:r>
              <w:rPr>
                <w:rFonts w:hint="eastAsia" w:cs="Times New Roman"/>
                <w:b/>
                <w:bCs/>
                <w:color w:val="auto"/>
                <w:sz w:val="24"/>
                <w:lang w:val="en-US" w:eastAsia="zh-CN"/>
              </w:rPr>
              <w:t>3</w:t>
            </w:r>
            <w:r>
              <w:rPr>
                <w:rFonts w:hint="eastAsia" w:ascii="Times New Roman" w:hAnsi="Times New Roman" w:eastAsia="宋体" w:cs="Times New Roman"/>
                <w:b/>
                <w:bCs/>
                <w:color w:val="auto"/>
                <w:sz w:val="24"/>
                <w:lang w:eastAsia="zh-CN"/>
              </w:rPr>
              <w:t>）</w:t>
            </w:r>
            <w:r>
              <w:rPr>
                <w:rFonts w:hint="eastAsia" w:ascii="Times New Roman" w:hAnsi="Times New Roman" w:eastAsia="宋体" w:cs="Times New Roman"/>
                <w:b/>
                <w:bCs/>
                <w:color w:val="auto"/>
                <w:sz w:val="24"/>
              </w:rPr>
              <w:t>“三线一单”符合性分析</w:t>
            </w:r>
          </w:p>
          <w:p>
            <w:pPr>
              <w:pStyle w:val="65"/>
              <w:ind w:firstLine="480"/>
              <w:rPr>
                <w:rFonts w:hint="default" w:ascii="Times New Roman" w:hAnsi="Times New Roman" w:cs="Times New Roman"/>
                <w:color w:val="auto"/>
              </w:rPr>
            </w:pPr>
            <w:r>
              <w:rPr>
                <w:rFonts w:hint="default" w:ascii="Times New Roman" w:hAnsi="Times New Roman" w:cs="Times New Roman"/>
                <w:color w:val="auto"/>
              </w:rPr>
              <w:t>1）生态保护红线</w:t>
            </w:r>
          </w:p>
          <w:p>
            <w:pPr>
              <w:pStyle w:val="65"/>
              <w:ind w:firstLine="480"/>
              <w:rPr>
                <w:rFonts w:hint="default" w:ascii="Times New Roman" w:hAnsi="Times New Roman" w:cs="Times New Roman"/>
                <w:color w:val="auto"/>
              </w:rPr>
            </w:pPr>
            <w:r>
              <w:rPr>
                <w:rFonts w:hint="default" w:ascii="Times New Roman" w:hAnsi="Times New Roman" w:cs="Times New Roman"/>
                <w:color w:val="auto"/>
              </w:rPr>
              <w:t>对照《华容县国土空间总体规划（2021-2035年）》中统筹划定三条控制线的图纸分析，本项目不涉及华容县生态保护红线。</w:t>
            </w:r>
          </w:p>
          <w:p>
            <w:pPr>
              <w:pStyle w:val="65"/>
              <w:ind w:firstLine="480"/>
              <w:rPr>
                <w:rFonts w:hint="default" w:ascii="Times New Roman" w:hAnsi="Times New Roman" w:cs="Times New Roman"/>
                <w:color w:val="auto"/>
              </w:rPr>
            </w:pPr>
            <w:r>
              <w:rPr>
                <w:rFonts w:hint="default" w:ascii="Times New Roman" w:hAnsi="Times New Roman" w:cs="Times New Roman"/>
                <w:color w:val="auto"/>
              </w:rPr>
              <w:t>2）环境质量底线</w:t>
            </w:r>
          </w:p>
          <w:p>
            <w:pPr>
              <w:pStyle w:val="65"/>
              <w:ind w:firstLine="480"/>
              <w:rPr>
                <w:rFonts w:hint="default" w:ascii="Times New Roman" w:hAnsi="Times New Roman" w:cs="Times New Roman"/>
                <w:color w:val="auto"/>
              </w:rPr>
            </w:pPr>
            <w:r>
              <w:rPr>
                <w:rFonts w:hint="default" w:ascii="Times New Roman" w:hAnsi="Times New Roman" w:cs="Times New Roman"/>
                <w:color w:val="auto"/>
              </w:rPr>
              <w:t>根据环境质量现状调查，项目地环境质量现状达标。项目</w:t>
            </w:r>
            <w:r>
              <w:rPr>
                <w:rFonts w:hint="eastAsia" w:ascii="Times New Roman" w:hAnsi="Times New Roman" w:cs="Times New Roman"/>
                <w:color w:val="auto"/>
                <w:lang w:val="en-US" w:eastAsia="zh-CN"/>
              </w:rPr>
              <w:t>不属于工业项目，</w:t>
            </w:r>
            <w:r>
              <w:rPr>
                <w:rFonts w:hint="default" w:ascii="Times New Roman" w:hAnsi="Times New Roman" w:cs="Times New Roman"/>
                <w:color w:val="auto"/>
                <w:lang w:val="en-US" w:eastAsia="zh-CN"/>
              </w:rPr>
              <w:t>为民生工程，</w:t>
            </w:r>
            <w:r>
              <w:rPr>
                <w:rFonts w:hint="eastAsia" w:ascii="Times New Roman" w:hAnsi="Times New Roman" w:cs="Times New Roman"/>
                <w:color w:val="auto"/>
                <w:lang w:val="en-US" w:eastAsia="zh-CN"/>
              </w:rPr>
              <w:t>旨在通过建设团洲垸灾后重建安置房，改善受灾群众的居住条件，提升区域抗灾能力，促进城乡统筹发展，项目建成运行后</w:t>
            </w:r>
            <w:r>
              <w:rPr>
                <w:rFonts w:hint="eastAsia" w:cs="Times New Roman"/>
                <w:color w:val="auto"/>
                <w:lang w:val="en-US" w:eastAsia="zh-CN"/>
              </w:rPr>
              <w:t>主要为受灾居民居住，无具体生产过程，污染物质排放量较少，</w:t>
            </w:r>
            <w:r>
              <w:rPr>
                <w:rFonts w:hint="default" w:ascii="Times New Roman" w:hAnsi="Times New Roman" w:cs="Times New Roman"/>
                <w:color w:val="auto"/>
              </w:rPr>
              <w:t>项目</w:t>
            </w:r>
            <w:r>
              <w:rPr>
                <w:rFonts w:hint="eastAsia" w:cs="Times New Roman"/>
                <w:color w:val="auto"/>
                <w:lang w:val="en-US" w:eastAsia="zh-CN"/>
              </w:rPr>
              <w:t>的</w:t>
            </w:r>
            <w:r>
              <w:rPr>
                <w:rFonts w:hint="default" w:ascii="Times New Roman" w:hAnsi="Times New Roman" w:cs="Times New Roman"/>
                <w:color w:val="auto"/>
              </w:rPr>
              <w:t>建设不会突破区域环境质量底线。</w:t>
            </w:r>
          </w:p>
          <w:p>
            <w:pPr>
              <w:pStyle w:val="65"/>
              <w:ind w:firstLine="480"/>
              <w:rPr>
                <w:rFonts w:hint="default" w:ascii="Times New Roman" w:hAnsi="Times New Roman" w:cs="Times New Roman"/>
                <w:color w:val="auto"/>
              </w:rPr>
            </w:pPr>
            <w:r>
              <w:rPr>
                <w:rFonts w:hint="default" w:ascii="Times New Roman" w:hAnsi="Times New Roman" w:cs="Times New Roman"/>
                <w:color w:val="auto"/>
              </w:rPr>
              <w:t>3）资源利用上线</w:t>
            </w:r>
          </w:p>
          <w:p>
            <w:pPr>
              <w:pStyle w:val="65"/>
              <w:ind w:firstLine="480"/>
              <w:rPr>
                <w:rFonts w:hint="default" w:ascii="Times New Roman" w:hAnsi="Times New Roman" w:cs="Times New Roman"/>
                <w:color w:val="auto"/>
              </w:rPr>
            </w:pPr>
            <w:r>
              <w:rPr>
                <w:rFonts w:hint="default" w:ascii="Times New Roman" w:hAnsi="Times New Roman" w:cs="Times New Roman"/>
                <w:color w:val="auto"/>
              </w:rPr>
              <w:t>项目施工过程中消耗一定的建筑材料、电、水资源，资源消耗量相对区域资源利用总量很少，符合资源利用上限要求。</w:t>
            </w:r>
          </w:p>
          <w:p>
            <w:pPr>
              <w:pStyle w:val="65"/>
              <w:ind w:firstLine="480"/>
              <w:rPr>
                <w:rFonts w:hint="default" w:ascii="Times New Roman" w:hAnsi="Times New Roman" w:cs="Times New Roman"/>
                <w:color w:val="auto"/>
              </w:rPr>
            </w:pPr>
            <w:r>
              <w:rPr>
                <w:rFonts w:hint="default" w:ascii="Times New Roman" w:hAnsi="Times New Roman" w:cs="Times New Roman"/>
                <w:color w:val="auto"/>
              </w:rPr>
              <w:t>4）生态环境准入清单</w:t>
            </w:r>
          </w:p>
          <w:p>
            <w:pPr>
              <w:pStyle w:val="65"/>
              <w:ind w:firstLine="480"/>
              <w:rPr>
                <w:rFonts w:hint="default" w:ascii="Times New Roman" w:hAnsi="Times New Roman" w:cs="Times New Roman"/>
                <w:bCs/>
                <w:color w:val="auto"/>
              </w:rPr>
            </w:pPr>
            <w:r>
              <w:rPr>
                <w:rFonts w:hint="default" w:ascii="Times New Roman" w:hAnsi="Times New Roman" w:cs="Times New Roman"/>
                <w:bCs/>
                <w:color w:val="auto"/>
              </w:rPr>
              <w:t>根据《国家发展改革委商务部关于印发〈市场准入负面清单（2022年版）〉的通知》中的产业准入负面清单以及《岳阳市生态环境分区管控基本要求（2023年版）》、《岳阳市其他环境管控单元（省级及以上产业园区除外）生态环境准入清单（2023年版）》，本项目不属于市场准入负面清单，且符合“三线一单”生态环境分区管控要求。</w:t>
            </w:r>
          </w:p>
          <w:p>
            <w:pPr>
              <w:pStyle w:val="65"/>
              <w:ind w:firstLine="482"/>
              <w:rPr>
                <w:rFonts w:hint="default" w:ascii="Times New Roman" w:hAnsi="Times New Roman" w:cs="Times New Roman"/>
                <w:b/>
                <w:bCs/>
                <w:color w:val="auto"/>
              </w:rPr>
            </w:pPr>
            <w:r>
              <w:rPr>
                <w:rFonts w:hint="eastAsia" w:cs="Times New Roman"/>
                <w:b/>
                <w:bCs/>
                <w:color w:val="auto"/>
                <w:lang w:eastAsia="zh-CN"/>
              </w:rPr>
              <w:t>（</w:t>
            </w:r>
            <w:r>
              <w:rPr>
                <w:rFonts w:hint="eastAsia" w:cs="Times New Roman"/>
                <w:b/>
                <w:bCs/>
                <w:color w:val="auto"/>
                <w:lang w:val="en-US" w:eastAsia="zh-CN"/>
              </w:rPr>
              <w:t>4</w:t>
            </w:r>
            <w:r>
              <w:rPr>
                <w:rFonts w:hint="eastAsia" w:cs="Times New Roman"/>
                <w:b/>
                <w:bCs/>
                <w:color w:val="auto"/>
                <w:lang w:eastAsia="zh-CN"/>
              </w:rPr>
              <w:t>）</w:t>
            </w:r>
            <w:r>
              <w:rPr>
                <w:rFonts w:hint="default" w:ascii="Times New Roman" w:hAnsi="Times New Roman" w:cs="Times New Roman"/>
                <w:b/>
                <w:bCs/>
                <w:color w:val="auto"/>
              </w:rPr>
              <w:t>与岳阳市生态环境分区管控基本要求（2023年版）符合性分析</w:t>
            </w:r>
          </w:p>
          <w:p>
            <w:pPr>
              <w:pStyle w:val="65"/>
              <w:ind w:firstLine="480"/>
              <w:rPr>
                <w:rFonts w:hint="default" w:ascii="Times New Roman" w:hAnsi="Times New Roman" w:cs="Times New Roman"/>
                <w:color w:val="auto"/>
              </w:rPr>
            </w:pPr>
            <w:r>
              <w:rPr>
                <w:rFonts w:hint="default" w:ascii="Times New Roman" w:hAnsi="Times New Roman" w:cs="Times New Roman"/>
                <w:bCs/>
                <w:color w:val="auto"/>
              </w:rPr>
              <w:t>项目位于</w:t>
            </w:r>
            <w:r>
              <w:rPr>
                <w:rFonts w:hint="eastAsia" w:ascii="Times New Roman" w:hAnsi="Times New Roman" w:cs="Times New Roman"/>
                <w:bCs/>
                <w:color w:val="auto"/>
                <w:lang w:val="en-US" w:eastAsia="zh-CN"/>
              </w:rPr>
              <w:t>华容县团洲乡，</w:t>
            </w:r>
            <w:r>
              <w:rPr>
                <w:rFonts w:hint="default" w:ascii="Times New Roman" w:hAnsi="Times New Roman" w:cs="Times New Roman"/>
                <w:bCs/>
                <w:color w:val="auto"/>
              </w:rPr>
              <w:t>其所在区域属于：“优先保护单元”，环境管控单元编码为：ZH43062310002，本项目相关符合性情况</w:t>
            </w:r>
            <w:r>
              <w:rPr>
                <w:rFonts w:hint="default" w:ascii="Times New Roman" w:hAnsi="Times New Roman" w:cs="Times New Roman"/>
                <w:bCs/>
                <w:color w:val="auto"/>
                <w:lang w:val="en-US" w:eastAsia="zh-CN"/>
              </w:rPr>
              <w:t>详</w:t>
            </w:r>
            <w:r>
              <w:rPr>
                <w:rFonts w:hint="default" w:ascii="Times New Roman" w:hAnsi="Times New Roman" w:cs="Times New Roman"/>
                <w:bCs/>
                <w:color w:val="auto"/>
              </w:rPr>
              <w:t>见下表</w:t>
            </w:r>
            <w:r>
              <w:rPr>
                <w:rFonts w:hint="default" w:ascii="Times New Roman" w:hAnsi="Times New Roman" w:cs="Times New Roman"/>
                <w:color w:val="auto"/>
              </w:rPr>
              <w:t>：</w:t>
            </w:r>
          </w:p>
          <w:p>
            <w:pPr>
              <w:pStyle w:val="66"/>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rPr>
            </w:pPr>
            <w:r>
              <w:rPr>
                <w:rFonts w:hint="default" w:ascii="Times New Roman" w:hAnsi="Times New Roman" w:cs="Times New Roman"/>
                <w:color w:val="auto"/>
              </w:rPr>
              <w:t>表1-</w:t>
            </w:r>
            <w:r>
              <w:rPr>
                <w:rFonts w:hint="eastAsia" w:cs="Times New Roman"/>
                <w:color w:val="auto"/>
                <w:lang w:val="en-US" w:eastAsia="zh-CN"/>
              </w:rPr>
              <w:t>1</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项目所在地“三线一单”分区管控要求</w:t>
            </w:r>
          </w:p>
          <w:tbl>
            <w:tblPr>
              <w:tblStyle w:val="22"/>
              <w:tblW w:w="771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28" w:type="dxa"/>
                <w:left w:w="0" w:type="dxa"/>
                <w:bottom w:w="28" w:type="dxa"/>
                <w:right w:w="0" w:type="dxa"/>
              </w:tblCellMar>
            </w:tblPr>
            <w:tblGrid>
              <w:gridCol w:w="1240"/>
              <w:gridCol w:w="3375"/>
              <w:gridCol w:w="2349"/>
              <w:gridCol w:w="74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环境管控单元编码</w:t>
                  </w:r>
                </w:p>
              </w:tc>
              <w:tc>
                <w:tcPr>
                  <w:tcW w:w="2188"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单元名称</w:t>
                  </w:r>
                </w:p>
              </w:tc>
              <w:tc>
                <w:tcPr>
                  <w:tcW w:w="1523"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单元分类</w:t>
                  </w:r>
                </w:p>
              </w:tc>
              <w:tc>
                <w:tcPr>
                  <w:tcW w:w="483" w:type="pct"/>
                  <w:tcBorders>
                    <w:tl2br w:val="nil"/>
                    <w:tr2bl w:val="nil"/>
                  </w:tcBorders>
                  <w:shd w:val="clear" w:color="auto" w:fill="auto"/>
                  <w:noWrap w:val="0"/>
                  <w:vAlign w:val="center"/>
                </w:tcPr>
                <w:p>
                  <w:pPr>
                    <w:pStyle w:val="67"/>
                    <w:keepNext w:val="0"/>
                    <w:keepLines w:val="0"/>
                    <w:pageBreakBefore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主体功能定位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ZH43062310002</w:t>
                  </w:r>
                </w:p>
              </w:tc>
              <w:tc>
                <w:tcPr>
                  <w:tcW w:w="2188"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插旗镇/ 团洲乡/ 禹山镇/ 注滋口镇</w:t>
                  </w:r>
                </w:p>
              </w:tc>
              <w:tc>
                <w:tcPr>
                  <w:tcW w:w="1523"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优先保护单元</w:t>
                  </w:r>
                </w:p>
              </w:tc>
              <w:tc>
                <w:tcPr>
                  <w:tcW w:w="483" w:type="pct"/>
                  <w:tcBorders>
                    <w:tl2br w:val="nil"/>
                    <w:tr2bl w:val="nil"/>
                  </w:tcBorders>
                  <w:shd w:val="clear" w:color="auto" w:fill="auto"/>
                  <w:noWrap w:val="0"/>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农产品主产区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bCs/>
                      <w:color w:val="auto"/>
                      <w:kern w:val="2"/>
                      <w:sz w:val="21"/>
                      <w:szCs w:val="24"/>
                      <w:lang w:val="en-US" w:eastAsia="zh-CN" w:bidi="ar-SA"/>
                    </w:rPr>
                  </w:pPr>
                  <w:r>
                    <w:rPr>
                      <w:rFonts w:hint="default" w:ascii="Times New Roman" w:hAnsi="Times New Roman" w:eastAsia="宋体" w:cs="Times New Roman"/>
                      <w:b/>
                      <w:bCs/>
                      <w:color w:val="auto"/>
                      <w:lang w:val="en-US" w:eastAsia="zh-CN"/>
                    </w:rPr>
                    <w:t>经济产业布局</w:t>
                  </w:r>
                </w:p>
              </w:tc>
              <w:tc>
                <w:tcPr>
                  <w:tcW w:w="2188"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bCs/>
                      <w:color w:val="auto"/>
                      <w:kern w:val="2"/>
                      <w:sz w:val="21"/>
                      <w:szCs w:val="24"/>
                      <w:lang w:val="en-US" w:eastAsia="zh-CN" w:bidi="ar-SA"/>
                    </w:rPr>
                  </w:pPr>
                  <w:r>
                    <w:rPr>
                      <w:rFonts w:hint="default" w:ascii="Times New Roman" w:hAnsi="Times New Roman" w:eastAsia="宋体" w:cs="Times New Roman"/>
                      <w:b/>
                      <w:bCs/>
                      <w:color w:val="auto"/>
                      <w:lang w:val="en-US" w:eastAsia="zh-CN"/>
                    </w:rPr>
                    <w:t>重要敏感目标和主要环境问题</w:t>
                  </w:r>
                </w:p>
              </w:tc>
              <w:tc>
                <w:tcPr>
                  <w:tcW w:w="2007" w:type="pct"/>
                  <w:gridSpan w:val="2"/>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主要属性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农业种植、中药材种植、水产养殖、畜禽养殖、农副产品加工等其他食品加工业</w:t>
                  </w:r>
                </w:p>
              </w:tc>
              <w:tc>
                <w:tcPr>
                  <w:tcW w:w="2188"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团洲乡、注滋口镇：湖南东洞庭湖国家级自然保护区</w:t>
                  </w:r>
                </w:p>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lang w:val="en-US" w:eastAsia="zh-CN"/>
                    </w:rPr>
                  </w:pPr>
                </w:p>
              </w:tc>
              <w:tc>
                <w:tcPr>
                  <w:tcW w:w="2007" w:type="pct"/>
                  <w:gridSpan w:val="2"/>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红线</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一般生态空间</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原生态红线</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自然保护区</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生物多样性保护功能重要区</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三区三线生态红线</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水源涵养重要区</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水环境优先保护区</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水产种质（国家级）</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东洞庭湖中国圆田螺国家级水产种质资源保护区、东洞庭湖鲤鲫黄颡国家级水产种质资源保护区</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大气环境优先保护区</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大气环境受体敏感重点管控区</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湖南东洞庭湖国家级自然保护区</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农用地优先保护区</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建设用地重点管控区</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一般管控区</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中高风险企业用地</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农产品主产区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b/>
                      <w:bCs/>
                      <w:color w:val="auto"/>
                    </w:rPr>
                  </w:pPr>
                  <w:r>
                    <w:rPr>
                      <w:rFonts w:hint="default" w:ascii="Times New Roman" w:hAnsi="Times New Roman" w:cs="Times New Roman"/>
                      <w:b/>
                      <w:bCs/>
                      <w:color w:val="auto"/>
                    </w:rPr>
                    <w:t>管控维度</w:t>
                  </w:r>
                </w:p>
              </w:tc>
              <w:tc>
                <w:tcPr>
                  <w:tcW w:w="2188"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b/>
                      <w:bCs/>
                      <w:color w:val="auto"/>
                    </w:rPr>
                  </w:pPr>
                  <w:r>
                    <w:rPr>
                      <w:rFonts w:hint="default" w:ascii="Times New Roman" w:hAnsi="Times New Roman" w:cs="Times New Roman"/>
                      <w:b/>
                      <w:bCs/>
                      <w:color w:val="auto"/>
                    </w:rPr>
                    <w:t>管控要求</w:t>
                  </w:r>
                </w:p>
              </w:tc>
              <w:tc>
                <w:tcPr>
                  <w:tcW w:w="1523"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b/>
                      <w:bCs/>
                      <w:color w:val="auto"/>
                    </w:rPr>
                  </w:pPr>
                  <w:r>
                    <w:rPr>
                      <w:rFonts w:hint="default" w:ascii="Times New Roman" w:hAnsi="Times New Roman" w:cs="Times New Roman"/>
                      <w:b/>
                      <w:bCs/>
                      <w:color w:val="auto"/>
                    </w:rPr>
                    <w:t>本项目情况</w:t>
                  </w:r>
                </w:p>
              </w:tc>
              <w:tc>
                <w:tcPr>
                  <w:tcW w:w="483" w:type="pct"/>
                  <w:tcBorders>
                    <w:tl2br w:val="nil"/>
                    <w:tr2bl w:val="nil"/>
                  </w:tcBorders>
                  <w:shd w:val="clear" w:color="auto" w:fill="auto"/>
                  <w:noWrap w:val="0"/>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b/>
                      <w:bCs/>
                      <w:color w:val="auto"/>
                    </w:rPr>
                  </w:pPr>
                  <w:r>
                    <w:rPr>
                      <w:rFonts w:hint="default" w:ascii="Times New Roman" w:hAnsi="Times New Roman" w:cs="Times New Roman"/>
                      <w:b/>
                      <w:bCs/>
                      <w:color w:val="auto"/>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rPr>
                  </w:pPr>
                  <w:r>
                    <w:rPr>
                      <w:rFonts w:hint="default" w:ascii="Times New Roman" w:hAnsi="Times New Roman" w:cs="Times New Roman"/>
                      <w:color w:val="auto"/>
                    </w:rPr>
                    <w:t>空间布局约束</w:t>
                  </w:r>
                </w:p>
              </w:tc>
              <w:tc>
                <w:tcPr>
                  <w:tcW w:w="2188"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（1.1）持续开展河湖岸线生态修护，认真实施“十年禁渔”，有效恢复水生生物多样性。禁止在天然水域（开放性湖泊和常水位面积1500亩及以上的水域）投肥投饵养殖等破坏水生态行为。</w:t>
                  </w:r>
                </w:p>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1.2）禁养区内畜禽养殖场立即关停退养，禁养区外沿江、河、湖、库、排（干）渠岸线500米内实施限养管理，禁止新增养殖场和扩大养殖规模，引导现有养殖场逐步退出；根据养殖规模配套粪污处理设施装备，坚决取缔一切外排粪污的养殖场（户）。</w:t>
                  </w:r>
                </w:p>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（1.3）严禁秸秆、垃圾露天焚烧。提高秸秆综合利用率，严格管控烟花爆竹运输、销售、燃放，及餐饮油烟、露天烧烤。</w:t>
                  </w:r>
                </w:p>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（1.4）加快建设完善城镇生活污水收集管网，更新修复混接、漏接、老旧破损管网，推进初期雨水污染控制；推进农村生活污水治理，强化农户生活污水分类处理处置，提高农村生活污水治理率。</w:t>
                  </w:r>
                </w:p>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（1.5）禁止在国、省考断面和饮用水水源保护区上游三公里、下游0.3公里范围内进行非法采砂。</w:t>
                  </w:r>
                </w:p>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1.6）禁止在自然保护区核心区、缓冲区开展旅游和其他生产经营活动，禁止建设任何生产设施，禁止引进、放生外来物种，缓冲区从事科学研究、教学实习标本采集活动等，应避免对保护区生态环境产生不利影响，及时清除活动产生废弃物。</w:t>
                  </w:r>
                </w:p>
              </w:tc>
              <w:tc>
                <w:tcPr>
                  <w:tcW w:w="1523"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rPr>
                    <w:t>本项目</w:t>
                  </w:r>
                  <w:r>
                    <w:rPr>
                      <w:rFonts w:hint="default" w:ascii="Times New Roman" w:hAnsi="Times New Roman" w:cs="Times New Roman"/>
                      <w:color w:val="auto"/>
                      <w:lang w:val="en-US" w:eastAsia="zh-CN"/>
                    </w:rPr>
                    <w:t>为</w:t>
                  </w:r>
                  <w:r>
                    <w:rPr>
                      <w:rFonts w:hint="eastAsia" w:cs="Times New Roman"/>
                      <w:color w:val="auto"/>
                      <w:lang w:val="en-US" w:eastAsia="zh-CN"/>
                    </w:rPr>
                    <w:t>安置区建设</w:t>
                  </w:r>
                  <w:r>
                    <w:rPr>
                      <w:rFonts w:hint="default" w:ascii="Times New Roman" w:hAnsi="Times New Roman" w:cs="Times New Roman"/>
                      <w:color w:val="auto"/>
                      <w:lang w:val="en-US" w:eastAsia="zh-CN"/>
                    </w:rPr>
                    <w:t>工程属于民生</w:t>
                  </w:r>
                  <w:r>
                    <w:rPr>
                      <w:rFonts w:hint="default" w:ascii="Times New Roman" w:hAnsi="Times New Roman" w:cs="Times New Roman"/>
                      <w:color w:val="auto"/>
                    </w:rPr>
                    <w:t>工程</w:t>
                  </w:r>
                  <w:r>
                    <w:rPr>
                      <w:rFonts w:hint="default" w:ascii="Times New Roman" w:hAnsi="Times New Roman" w:cs="Times New Roman"/>
                      <w:color w:val="auto"/>
                      <w:lang w:val="en-US" w:eastAsia="zh-CN"/>
                    </w:rPr>
                    <w:t>，</w:t>
                  </w:r>
                  <w:r>
                    <w:rPr>
                      <w:rFonts w:hint="default" w:ascii="Times New Roman" w:hAnsi="Times New Roman" w:cs="Times New Roman"/>
                      <w:color w:val="auto"/>
                    </w:rPr>
                    <w:t>不涉及渔业、畜禽养殖、秸秆焚烧</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采砂、污水处理</w:t>
                  </w:r>
                  <w:r>
                    <w:rPr>
                      <w:rFonts w:hint="default" w:ascii="Times New Roman" w:hAnsi="Times New Roman" w:cs="Times New Roman"/>
                      <w:color w:val="auto"/>
                    </w:rPr>
                    <w:t>等行业</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项目位于</w:t>
                  </w:r>
                  <w:r>
                    <w:rPr>
                      <w:rFonts w:hint="eastAsia" w:cs="Times New Roman"/>
                      <w:color w:val="auto"/>
                      <w:lang w:val="en-US" w:eastAsia="zh-CN"/>
                    </w:rPr>
                    <w:t>团洲乡</w:t>
                  </w:r>
                  <w:r>
                    <w:rPr>
                      <w:rFonts w:hint="default" w:ascii="Times New Roman" w:hAnsi="Times New Roman" w:cs="Times New Roman"/>
                      <w:color w:val="auto"/>
                      <w:lang w:val="en-US" w:eastAsia="zh-CN"/>
                    </w:rPr>
                    <w:t>镇域范围内（</w:t>
                  </w:r>
                  <w:r>
                    <w:rPr>
                      <w:rFonts w:hint="eastAsia" w:cs="Times New Roman"/>
                      <w:color w:val="auto"/>
                      <w:lang w:val="en-US" w:eastAsia="zh-CN"/>
                    </w:rPr>
                    <w:t>位于</w:t>
                  </w:r>
                  <w:r>
                    <w:rPr>
                      <w:rFonts w:hint="default" w:ascii="Times New Roman" w:hAnsi="Times New Roman" w:cs="Times New Roman"/>
                      <w:color w:val="auto"/>
                      <w:lang w:val="en-US" w:eastAsia="zh-CN"/>
                    </w:rPr>
                    <w:t>湖南</w:t>
                  </w:r>
                  <w:r>
                    <w:rPr>
                      <w:rFonts w:hint="eastAsia" w:cs="Times New Roman"/>
                      <w:color w:val="auto"/>
                      <w:lang w:val="en-US" w:eastAsia="zh-CN"/>
                    </w:rPr>
                    <w:t>东洞庭湖国家级自然保护实验区范围内</w:t>
                  </w:r>
                  <w:r>
                    <w:rPr>
                      <w:rFonts w:hint="default" w:ascii="Times New Roman" w:hAnsi="Times New Roman" w:cs="Times New Roman"/>
                      <w:color w:val="auto"/>
                      <w:lang w:val="en-US" w:eastAsia="zh-CN"/>
                    </w:rPr>
                    <w:t>），不属于自然保护区核心区、缓冲区</w:t>
                  </w:r>
                </w:p>
              </w:tc>
              <w:tc>
                <w:tcPr>
                  <w:tcW w:w="483" w:type="pct"/>
                  <w:tcBorders>
                    <w:tl2br w:val="nil"/>
                    <w:tr2bl w:val="nil"/>
                  </w:tcBorders>
                  <w:shd w:val="clear" w:color="auto" w:fill="auto"/>
                  <w:noWrap w:val="0"/>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rPr>
                  </w:pPr>
                  <w:r>
                    <w:rPr>
                      <w:rFonts w:hint="default" w:ascii="Times New Roman" w:hAnsi="Times New Roman" w:cs="Times New Roman"/>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rPr>
                  </w:pPr>
                  <w:r>
                    <w:rPr>
                      <w:rFonts w:hint="default" w:ascii="Times New Roman" w:hAnsi="Times New Roman" w:cs="Times New Roman"/>
                      <w:color w:val="auto"/>
                    </w:rPr>
                    <w:t>污染物排放管控</w:t>
                  </w:r>
                </w:p>
              </w:tc>
              <w:tc>
                <w:tcPr>
                  <w:tcW w:w="2188"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（2.1）废气：强化建筑施工、道路及裸土扬尘污染治理，有效防尘降尘；严禁秸秆、垃圾露天焚烧，推进餐饮油烟污染治理，深化餐饮油烟专项整治。</w:t>
                  </w:r>
                </w:p>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（2.2）废水：</w:t>
                  </w:r>
                </w:p>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2.2.1）加快建设完善城镇生活污水收集管网，更新修复老旧破损管网；推进农村生活污水治理，推进农村户用厕所建设和改造，强化农户生活污水分类处理处置；加速城乡黑臭水体整治，2025年底基本消除农村较大面积黑臭水体。</w:t>
                  </w:r>
                </w:p>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2.2.2）按水功能区划和水体纳污能力及洞庭湖总磷控制和削减要求，从严控制新增入河（湖）排污口的数量，严格落实总磷等重点污染物特别排放限值和总量指标。落实水质管控要求，外排废水特别是枯水期外排水质总磷浓度必须达标排放。</w:t>
                  </w:r>
                </w:p>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（2.3）固体废物：完善城乡一体化垃圾收集转运和处置体系建设，强化提升运维水平；以乡镇为单元统筹推进农村生活垃圾分类收集，加快推进农村生活垃圾源头分类减量，减少来及出村量。</w:t>
                  </w:r>
                </w:p>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2.4）畜禽养殖：畜禽养殖场（专业户）按养殖规模配套建设相应粪便污水贮存、处理、利用设施，杜绝外排粪污。全面推动畜禽养殖废弃物资源化利用。推进水产养殖尾水治理和综合利用，加强水产养殖尾水监测，规范工厂化水产养殖尾水排污口设置。</w:t>
                  </w:r>
                </w:p>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（2.5）农业面源：深入推进化肥农药减量增效，依法落实化肥使用总量控制，科学用药提高农药利用率。</w:t>
                  </w:r>
                </w:p>
              </w:tc>
              <w:tc>
                <w:tcPr>
                  <w:tcW w:w="1523"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rPr>
                    <w:t>2.1本次评价要求建设单位严格落实本次环评提出各项环保措施</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项目的建设不会对周边大气环境造成大的影响。</w:t>
                  </w:r>
                </w:p>
                <w:p>
                  <w:pPr>
                    <w:pStyle w:val="67"/>
                    <w:keepNext w:val="0"/>
                    <w:keepLines w:val="0"/>
                    <w:pageBreakBefore w:val="0"/>
                    <w:kinsoku/>
                    <w:wordWrap/>
                    <w:overflowPunct/>
                    <w:topLinePunct w:val="0"/>
                    <w:autoSpaceDE/>
                    <w:autoSpaceDN/>
                    <w:bidi w:val="0"/>
                    <w:adjustRightInd/>
                    <w:snapToGrid/>
                    <w:jc w:val="both"/>
                    <w:textAlignment w:val="auto"/>
                    <w:rPr>
                      <w:rFonts w:hint="eastAsia" w:ascii="Times New Roman" w:hAnsi="Times New Roman" w:eastAsia="宋体" w:cs="Times New Roman"/>
                      <w:color w:val="auto"/>
                      <w:highlight w:val="yellow"/>
                      <w:lang w:eastAsia="zh-CN"/>
                    </w:rPr>
                  </w:pPr>
                  <w:r>
                    <w:rPr>
                      <w:rFonts w:hint="default" w:ascii="Times New Roman" w:hAnsi="Times New Roman" w:cs="Times New Roman"/>
                      <w:color w:val="auto"/>
                    </w:rPr>
                    <w:t>2.</w:t>
                  </w:r>
                  <w:r>
                    <w:rPr>
                      <w:rFonts w:hint="default" w:ascii="Times New Roman" w:hAnsi="Times New Roman" w:cs="Times New Roman"/>
                      <w:color w:val="auto"/>
                      <w:highlight w:val="none"/>
                    </w:rPr>
                    <w:t>2项目废水可得到妥善处置，根据本次评价分析，本项目</w:t>
                  </w:r>
                  <w:r>
                    <w:rPr>
                      <w:rFonts w:hint="default" w:ascii="Times New Roman" w:hAnsi="Times New Roman" w:cs="Times New Roman"/>
                      <w:color w:val="auto"/>
                      <w:highlight w:val="none"/>
                      <w:lang w:val="en-US" w:eastAsia="zh-CN"/>
                    </w:rPr>
                    <w:t>废水均</w:t>
                  </w:r>
                  <w:r>
                    <w:rPr>
                      <w:rFonts w:hint="eastAsia" w:cs="Times New Roman"/>
                      <w:color w:val="auto"/>
                      <w:highlight w:val="none"/>
                      <w:lang w:val="en-US" w:eastAsia="zh-CN"/>
                    </w:rPr>
                    <w:t>有效收集处理达标后外排</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废水不会导致外环境地表水环境功能级别的降低</w:t>
                  </w:r>
                  <w:r>
                    <w:rPr>
                      <w:rFonts w:hint="eastAsia" w:cs="Times New Roman"/>
                      <w:color w:val="auto"/>
                      <w:highlight w:val="none"/>
                      <w:lang w:eastAsia="zh-CN"/>
                    </w:rPr>
                    <w:t>。</w:t>
                  </w:r>
                </w:p>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rPr>
                  </w:pPr>
                  <w:r>
                    <w:rPr>
                      <w:rFonts w:hint="default" w:ascii="Times New Roman" w:hAnsi="Times New Roman" w:cs="Times New Roman"/>
                      <w:color w:val="auto"/>
                    </w:rPr>
                    <w:t>2.3本项目施工期生活垃圾分类收集后委托环卫部门处置</w:t>
                  </w:r>
                </w:p>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rPr>
                  </w:pPr>
                  <w:r>
                    <w:rPr>
                      <w:rFonts w:hint="default" w:ascii="Times New Roman" w:hAnsi="Times New Roman" w:cs="Times New Roman"/>
                      <w:color w:val="auto"/>
                    </w:rPr>
                    <w:t>2.4不涉及</w:t>
                  </w:r>
                </w:p>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rPr>
                  </w:pPr>
                  <w:r>
                    <w:rPr>
                      <w:rFonts w:hint="default" w:ascii="Times New Roman" w:hAnsi="Times New Roman" w:cs="Times New Roman"/>
                      <w:color w:val="auto"/>
                    </w:rPr>
                    <w:t>2.5不涉及</w:t>
                  </w:r>
                </w:p>
              </w:tc>
              <w:tc>
                <w:tcPr>
                  <w:tcW w:w="483" w:type="pct"/>
                  <w:tcBorders>
                    <w:tl2br w:val="nil"/>
                    <w:tr2bl w:val="nil"/>
                  </w:tcBorders>
                  <w:shd w:val="clear" w:color="auto" w:fill="auto"/>
                  <w:noWrap w:val="0"/>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rPr>
                  </w:pPr>
                  <w:r>
                    <w:rPr>
                      <w:rFonts w:hint="default" w:ascii="Times New Roman" w:hAnsi="Times New Roman" w:cs="Times New Roman"/>
                      <w:color w:val="auto"/>
                    </w:rPr>
                    <w:t>环境风险防控</w:t>
                  </w:r>
                </w:p>
              </w:tc>
              <w:tc>
                <w:tcPr>
                  <w:tcW w:w="2188"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（3.1）加强在产企业土壤和地下水污染源头管控，加强地下水环境监测监管能力，推进地下水污染预防、风险管控与修复试点，加强地下水型饮用水水源安全保障。</w:t>
                  </w:r>
                </w:p>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（3.2）加强枯水期饮用水安全保障，保障农村集中式和分散供水用水，加密饮用水水源水质监测频次，监控水质变化，防止水污染事件。</w:t>
                  </w:r>
                </w:p>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（3.3）严格分类管理受污染耕地，确保受污染耕地安全利用率。</w:t>
                  </w:r>
                </w:p>
              </w:tc>
              <w:tc>
                <w:tcPr>
                  <w:tcW w:w="1523"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3.1</w:t>
                  </w: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为</w:t>
                  </w:r>
                  <w:r>
                    <w:rPr>
                      <w:rFonts w:hint="eastAsia" w:cs="Times New Roman"/>
                      <w:color w:val="auto"/>
                      <w:highlight w:val="none"/>
                      <w:lang w:val="en-US" w:eastAsia="zh-CN"/>
                    </w:rPr>
                    <w:t>安置区建设</w:t>
                  </w:r>
                  <w:r>
                    <w:rPr>
                      <w:rFonts w:hint="default" w:ascii="Times New Roman" w:hAnsi="Times New Roman" w:cs="Times New Roman"/>
                      <w:color w:val="auto"/>
                      <w:highlight w:val="none"/>
                      <w:lang w:val="en-US" w:eastAsia="zh-CN"/>
                    </w:rPr>
                    <w:t>工程，不属于工业项目，不涉及土壤和地下水污染存在；项目</w:t>
                  </w:r>
                  <w:r>
                    <w:rPr>
                      <w:rFonts w:hint="eastAsia" w:cs="Times New Roman"/>
                      <w:color w:val="auto"/>
                      <w:highlight w:val="none"/>
                      <w:lang w:val="en-US" w:eastAsia="zh-CN"/>
                    </w:rPr>
                    <w:t>不</w:t>
                  </w:r>
                  <w:r>
                    <w:rPr>
                      <w:rFonts w:hint="default" w:ascii="Times New Roman" w:hAnsi="Times New Roman" w:cs="Times New Roman"/>
                      <w:color w:val="auto"/>
                      <w:highlight w:val="none"/>
                      <w:lang w:val="en-US" w:eastAsia="zh-CN"/>
                    </w:rPr>
                    <w:t>涉及地下取水</w:t>
                  </w:r>
                  <w:r>
                    <w:rPr>
                      <w:rFonts w:hint="default" w:ascii="Times New Roman" w:hAnsi="Times New Roman" w:cs="Times New Roman"/>
                      <w:color w:val="auto"/>
                      <w:szCs w:val="21"/>
                      <w:highlight w:val="none"/>
                      <w:lang w:eastAsia="zh-CN"/>
                    </w:rPr>
                    <w:t>。</w:t>
                  </w:r>
                </w:p>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3.2</w:t>
                  </w:r>
                  <w:r>
                    <w:rPr>
                      <w:rFonts w:hint="eastAsia" w:cs="Times New Roman"/>
                      <w:color w:val="auto"/>
                      <w:highlight w:val="none"/>
                      <w:lang w:val="en-US" w:eastAsia="zh-CN"/>
                    </w:rPr>
                    <w:t>不涉及</w:t>
                  </w:r>
                  <w:r>
                    <w:rPr>
                      <w:rFonts w:hint="default" w:ascii="Times New Roman" w:hAnsi="Times New Roman" w:cs="Times New Roman"/>
                      <w:color w:val="auto"/>
                      <w:szCs w:val="21"/>
                      <w:highlight w:val="none"/>
                      <w:lang w:eastAsia="zh-CN"/>
                    </w:rPr>
                    <w:t>。</w:t>
                  </w:r>
                </w:p>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3.3</w:t>
                  </w:r>
                  <w:r>
                    <w:rPr>
                      <w:rFonts w:hint="eastAsia" w:cs="Times New Roman"/>
                      <w:color w:val="auto"/>
                      <w:lang w:val="en-US" w:eastAsia="zh-CN"/>
                    </w:rPr>
                    <w:t>不涉及</w:t>
                  </w:r>
                  <w:r>
                    <w:rPr>
                      <w:rFonts w:hint="default" w:ascii="Times New Roman" w:hAnsi="Times New Roman" w:cs="Times New Roman"/>
                      <w:color w:val="auto"/>
                      <w:lang w:val="en-US" w:eastAsia="zh-CN"/>
                    </w:rPr>
                    <w:t>。</w:t>
                  </w:r>
                </w:p>
              </w:tc>
              <w:tc>
                <w:tcPr>
                  <w:tcW w:w="483" w:type="pct"/>
                  <w:tcBorders>
                    <w:tl2br w:val="nil"/>
                    <w:tr2bl w:val="nil"/>
                  </w:tcBorders>
                  <w:shd w:val="clear" w:color="auto" w:fill="auto"/>
                  <w:noWrap w:val="0"/>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rPr>
                  </w:pPr>
                  <w:r>
                    <w:rPr>
                      <w:rFonts w:hint="default" w:ascii="Times New Roman" w:hAnsi="Times New Roman" w:cs="Times New Roman"/>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4051" w:hRule="atLeast"/>
                <w:jc w:val="center"/>
              </w:trPr>
              <w:tc>
                <w:tcPr>
                  <w:tcW w:w="804"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rPr>
                  </w:pPr>
                  <w:r>
                    <w:rPr>
                      <w:rFonts w:hint="default" w:ascii="Times New Roman" w:hAnsi="Times New Roman" w:cs="Times New Roman"/>
                      <w:color w:val="auto"/>
                      <w:kern w:val="0"/>
                      <w:szCs w:val="21"/>
                    </w:rPr>
                    <w:t>资源开发效率要求</w:t>
                  </w:r>
                </w:p>
              </w:tc>
              <w:tc>
                <w:tcPr>
                  <w:tcW w:w="2188"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rPr>
                  </w:pPr>
                  <w:r>
                    <w:rPr>
                      <w:rFonts w:hint="default" w:ascii="Times New Roman" w:hAnsi="Times New Roman" w:cs="Times New Roman"/>
                      <w:color w:val="auto"/>
                    </w:rPr>
                    <w:t>（4.1）水资源：2025年华容县用水总量4.10亿立方米，万元地区生产总值用水量比2020年下降16.31%，万元工业增加值用水量比2020年下降17.67%，农田灌溉水有效利用系数0.555。</w:t>
                  </w:r>
                </w:p>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rPr>
                  </w:pPr>
                  <w:r>
                    <w:rPr>
                      <w:rFonts w:hint="default" w:ascii="Times New Roman" w:hAnsi="Times New Roman" w:cs="Times New Roman"/>
                      <w:color w:val="auto"/>
                    </w:rPr>
                    <w:t>（4.2）能源：华容县“十四五”时期能耗强度降低基本目标16%，激励目标16.5%。</w:t>
                  </w:r>
                </w:p>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rPr>
                  </w:pPr>
                  <w:r>
                    <w:rPr>
                      <w:rFonts w:hint="default" w:ascii="Times New Roman" w:hAnsi="Times New Roman" w:cs="Times New Roman"/>
                      <w:color w:val="auto"/>
                    </w:rPr>
                    <w:t>（4.3）土地资源：</w:t>
                  </w:r>
                </w:p>
                <w:p>
                  <w:pPr>
                    <w:pStyle w:val="67"/>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rPr>
                  </w:pPr>
                  <w:r>
                    <w:rPr>
                      <w:rFonts w:hint="default" w:ascii="Times New Roman" w:hAnsi="Times New Roman" w:cs="Times New Roman"/>
                      <w:color w:val="auto"/>
                    </w:rPr>
                    <w:t>插旗镇：耕地保有量3337.17公顷，基本农田保护面积2904.79公顷，生态保护红线面积172.75公顷，城镇开发边界规模83.80公顷，村庄建设用地510.05公顷。</w:t>
                  </w:r>
                </w:p>
              </w:tc>
              <w:tc>
                <w:tcPr>
                  <w:tcW w:w="1523" w:type="pct"/>
                  <w:tcBorders>
                    <w:tl2br w:val="nil"/>
                    <w:tr2bl w:val="nil"/>
                  </w:tcBorders>
                  <w:shd w:val="clear" w:color="auto" w:fill="auto"/>
                  <w:noWrap w:val="0"/>
                  <w:tcMar>
                    <w:left w:w="108" w:type="dxa"/>
                    <w:right w:w="108" w:type="dxa"/>
                  </w:tcMar>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rPr>
                  </w:pPr>
                  <w:r>
                    <w:rPr>
                      <w:rFonts w:hint="default" w:ascii="Times New Roman" w:hAnsi="Times New Roman" w:cs="Times New Roman"/>
                      <w:color w:val="auto"/>
                    </w:rPr>
                    <w:t>4.1本项目属于</w:t>
                  </w:r>
                  <w:r>
                    <w:rPr>
                      <w:rFonts w:hint="eastAsia" w:cs="Times New Roman"/>
                      <w:color w:val="auto"/>
                      <w:lang w:val="en-US" w:eastAsia="zh-CN"/>
                    </w:rPr>
                    <w:t>民生</w:t>
                  </w:r>
                  <w:r>
                    <w:rPr>
                      <w:rFonts w:hint="default" w:ascii="Times New Roman" w:hAnsi="Times New Roman" w:cs="Times New Roman"/>
                      <w:color w:val="auto"/>
                      <w:lang w:val="en-US" w:eastAsia="zh-CN"/>
                    </w:rPr>
                    <w:t>工程</w:t>
                  </w:r>
                  <w:r>
                    <w:rPr>
                      <w:rFonts w:hint="eastAsia" w:cs="Times New Roman"/>
                      <w:color w:val="auto"/>
                      <w:lang w:val="en-US" w:eastAsia="zh-CN"/>
                    </w:rPr>
                    <w:t>，不涉及工业生产，用水量均为居民日常用水，用水量较少</w:t>
                  </w:r>
                  <w:r>
                    <w:rPr>
                      <w:rFonts w:hint="default" w:ascii="Times New Roman" w:hAnsi="Times New Roman" w:cs="Times New Roman"/>
                      <w:color w:val="auto"/>
                    </w:rPr>
                    <w:t>；</w:t>
                  </w:r>
                </w:p>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rPr>
                  </w:pPr>
                  <w:r>
                    <w:rPr>
                      <w:rFonts w:hint="default" w:ascii="Times New Roman" w:hAnsi="Times New Roman" w:cs="Times New Roman"/>
                      <w:color w:val="auto"/>
                    </w:rPr>
                    <w:t>4.2本项目运营期能耗主要为电能，能耗量较低；</w:t>
                  </w:r>
                </w:p>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rPr>
                    <w:t>4.3本项目永久用地</w:t>
                  </w:r>
                  <w:r>
                    <w:rPr>
                      <w:rFonts w:hint="default" w:ascii="Times New Roman" w:hAnsi="Times New Roman" w:cs="Times New Roman"/>
                      <w:color w:val="auto"/>
                      <w:lang w:val="en-US" w:eastAsia="zh-CN"/>
                    </w:rPr>
                    <w:t>位于城镇建设用地范围内</w:t>
                  </w:r>
                  <w:r>
                    <w:rPr>
                      <w:rFonts w:hint="default" w:ascii="Times New Roman" w:hAnsi="Times New Roman" w:cs="Times New Roman"/>
                      <w:color w:val="auto"/>
                    </w:rPr>
                    <w:t>，</w:t>
                  </w:r>
                  <w:r>
                    <w:rPr>
                      <w:rFonts w:hint="eastAsia" w:cs="Times New Roman"/>
                      <w:color w:val="auto"/>
                      <w:lang w:val="en-US" w:eastAsia="zh-CN"/>
                    </w:rPr>
                    <w:t>涉及</w:t>
                  </w:r>
                  <w:r>
                    <w:rPr>
                      <w:rFonts w:hint="default" w:ascii="Times New Roman" w:hAnsi="Times New Roman" w:cs="Times New Roman"/>
                      <w:color w:val="auto"/>
                    </w:rPr>
                    <w:t>不涉及</w:t>
                  </w:r>
                  <w:r>
                    <w:rPr>
                      <w:rFonts w:hint="default" w:ascii="Times New Roman" w:hAnsi="Times New Roman" w:cs="Times New Roman"/>
                      <w:color w:val="auto"/>
                      <w:lang w:val="en-US" w:eastAsia="zh-CN"/>
                    </w:rPr>
                    <w:t>永久占用基本农田、生态红线等敏感地区</w:t>
                  </w:r>
                  <w:r>
                    <w:rPr>
                      <w:rFonts w:hint="eastAsia" w:ascii="Times New Roman" w:hAnsi="Times New Roman" w:cs="Times New Roman"/>
                      <w:color w:val="auto"/>
                      <w:lang w:val="en-US" w:eastAsia="zh-CN"/>
                    </w:rPr>
                    <w:t>，项目用地已取得《建设项目用地预审与选址意见书》</w:t>
                  </w:r>
                </w:p>
              </w:tc>
              <w:tc>
                <w:tcPr>
                  <w:tcW w:w="483" w:type="pct"/>
                  <w:tcBorders>
                    <w:tl2br w:val="nil"/>
                    <w:tr2bl w:val="nil"/>
                  </w:tcBorders>
                  <w:shd w:val="clear" w:color="auto" w:fill="auto"/>
                  <w:noWrap w:val="0"/>
                  <w:vAlign w:val="center"/>
                </w:tcPr>
                <w:p>
                  <w:pPr>
                    <w:pStyle w:val="67"/>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rPr>
                  </w:pPr>
                  <w:r>
                    <w:rPr>
                      <w:rFonts w:hint="default" w:ascii="Times New Roman" w:hAnsi="Times New Roman" w:cs="Times New Roman"/>
                      <w:color w:val="auto"/>
                    </w:rPr>
                    <w:t>符合</w:t>
                  </w:r>
                </w:p>
              </w:tc>
            </w:tr>
          </w:tbl>
          <w:p>
            <w:pPr>
              <w:pStyle w:val="65"/>
              <w:ind w:firstLine="480"/>
              <w:rPr>
                <w:rFonts w:hint="default" w:ascii="Times New Roman" w:hAnsi="Times New Roman" w:cs="Times New Roman"/>
                <w:color w:val="auto"/>
              </w:rPr>
            </w:pPr>
            <w:r>
              <w:rPr>
                <w:rFonts w:hint="default" w:ascii="Times New Roman" w:hAnsi="Times New Roman" w:cs="Times New Roman"/>
                <w:color w:val="auto"/>
              </w:rPr>
              <w:t>由上表可知，本项目与空间布局约束各项管控要求不相冲突。本项目与污染物排放管控要求不相冲突。本项目所在地非污染地块，满足环境风险防控要求。总体而言，本项目污染排放可控、不需开发自然资源、项目用地无遗留污染、不涉及管控要求中的相关禁止项，符合当地“三线一单”分区管控要求。</w:t>
            </w:r>
          </w:p>
          <w:p>
            <w:pPr>
              <w:pStyle w:val="65"/>
              <w:numPr>
                <w:ilvl w:val="0"/>
                <w:numId w:val="0"/>
              </w:numPr>
              <w:ind w:leftChars="200"/>
              <w:rPr>
                <w:rFonts w:hint="default" w:ascii="Times New Roman" w:hAnsi="Times New Roman" w:cs="Times New Roman"/>
                <w:b/>
                <w:bCs/>
                <w:color w:val="auto"/>
                <w:lang w:val="en-US" w:eastAsia="zh-CN"/>
              </w:rPr>
            </w:pPr>
            <w:r>
              <w:rPr>
                <w:rFonts w:hint="eastAsia" w:cs="Times New Roman"/>
                <w:b/>
                <w:bCs/>
                <w:color w:val="auto"/>
                <w:lang w:val="en-US" w:eastAsia="zh-CN"/>
              </w:rPr>
              <w:t>（5）</w:t>
            </w:r>
            <w:r>
              <w:rPr>
                <w:rFonts w:hint="default" w:ascii="Times New Roman" w:hAnsi="Times New Roman" w:cs="Times New Roman"/>
                <w:b/>
                <w:bCs/>
                <w:color w:val="auto"/>
                <w:lang w:val="en-US" w:eastAsia="zh-CN"/>
              </w:rPr>
              <w:t>与《中华人民共和国长江保护法》符合性分析</w:t>
            </w:r>
          </w:p>
          <w:p>
            <w:pPr>
              <w:pStyle w:val="65"/>
              <w:ind w:firstLine="48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本项目建设内容与《中华人民共和国长江保护法》相关要求对比分析 见下表。</w:t>
            </w:r>
          </w:p>
          <w:p>
            <w:pPr>
              <w:pStyle w:val="66"/>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表</w:t>
            </w:r>
            <w:r>
              <w:rPr>
                <w:rFonts w:hint="default" w:ascii="Times New Roman" w:hAnsi="Times New Roman" w:eastAsia="宋体" w:cs="Times New Roman"/>
                <w:color w:val="auto"/>
              </w:rPr>
              <w:t>1-</w:t>
            </w:r>
            <w:r>
              <w:rPr>
                <w:rFonts w:hint="eastAsia" w:cs="Times New Roman"/>
                <w:color w:val="auto"/>
                <w:lang w:val="en-US" w:eastAsia="zh-CN"/>
              </w:rPr>
              <w:t>2</w:t>
            </w:r>
            <w:r>
              <w:rPr>
                <w:rFonts w:hint="default"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rPr>
              <w:t>与《中华人民共和国长江保护法》符合性分析一览表</w:t>
            </w:r>
          </w:p>
          <w:tbl>
            <w:tblPr>
              <w:tblStyle w:val="22"/>
              <w:tblW w:w="7653"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28" w:type="dxa"/>
                <w:left w:w="11" w:type="dxa"/>
                <w:bottom w:w="28" w:type="dxa"/>
                <w:right w:w="11" w:type="dxa"/>
              </w:tblCellMar>
            </w:tblPr>
            <w:tblGrid>
              <w:gridCol w:w="397"/>
              <w:gridCol w:w="4557"/>
              <w:gridCol w:w="2206"/>
              <w:gridCol w:w="49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525" w:hRule="atLeast"/>
                <w:jc w:val="center"/>
              </w:trPr>
              <w:tc>
                <w:tcPr>
                  <w:tcW w:w="39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序号</w:t>
                  </w:r>
                </w:p>
              </w:tc>
              <w:tc>
                <w:tcPr>
                  <w:tcW w:w="455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要求内容</w:t>
                  </w:r>
                </w:p>
              </w:tc>
              <w:tc>
                <w:tcPr>
                  <w:tcW w:w="2206"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本项目情况</w:t>
                  </w:r>
                </w:p>
              </w:tc>
              <w:tc>
                <w:tcPr>
                  <w:tcW w:w="493"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符合</w:t>
                  </w:r>
                </w:p>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930" w:hRule="atLeast"/>
                <w:jc w:val="center"/>
              </w:trPr>
              <w:tc>
                <w:tcPr>
                  <w:tcW w:w="39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w:t>
                  </w:r>
                </w:p>
              </w:tc>
              <w:tc>
                <w:tcPr>
                  <w:tcW w:w="455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第二十九条 长江流域水资源保护与利用，应当根据流域综合规划，优先满足城乡居民生活用水，保障基本生态用水，并统筹农业、工业用水以及航运等需要。</w:t>
                  </w:r>
                </w:p>
              </w:tc>
              <w:tc>
                <w:tcPr>
                  <w:tcW w:w="2206"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w:t>
                  </w:r>
                  <w:r>
                    <w:rPr>
                      <w:rFonts w:hint="eastAsia" w:cs="Times New Roman"/>
                      <w:color w:val="auto"/>
                      <w:lang w:val="en-US" w:eastAsia="zh-CN"/>
                    </w:rPr>
                    <w:t>用水来</w:t>
                  </w:r>
                  <w:r>
                    <w:rPr>
                      <w:rFonts w:hint="default" w:ascii="Times New Roman" w:hAnsi="Times New Roman" w:eastAsia="宋体" w:cs="Times New Roman"/>
                      <w:color w:val="auto"/>
                      <w:lang w:val="en-US" w:eastAsia="zh-CN"/>
                    </w:rPr>
                    <w:t>自于</w:t>
                  </w:r>
                  <w:r>
                    <w:rPr>
                      <w:rFonts w:hint="eastAsia" w:cs="Times New Roman"/>
                      <w:color w:val="auto"/>
                      <w:lang w:val="en-US" w:eastAsia="zh-CN"/>
                    </w:rPr>
                    <w:t>幸福水厂，水厂取水来自于地下水，</w:t>
                  </w:r>
                  <w:r>
                    <w:rPr>
                      <w:rFonts w:hint="default" w:ascii="Times New Roman" w:hAnsi="Times New Roman" w:eastAsia="宋体" w:cs="Times New Roman"/>
                      <w:color w:val="auto"/>
                      <w:lang w:val="en-US" w:eastAsia="zh-CN"/>
                    </w:rPr>
                    <w:t>不涉及从长江取水</w:t>
                  </w:r>
                </w:p>
              </w:tc>
              <w:tc>
                <w:tcPr>
                  <w:tcW w:w="493"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90" w:hRule="atLeast"/>
                <w:jc w:val="center"/>
              </w:trPr>
              <w:tc>
                <w:tcPr>
                  <w:tcW w:w="39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w:t>
                  </w:r>
                </w:p>
              </w:tc>
              <w:tc>
                <w:tcPr>
                  <w:tcW w:w="455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第四十七条 在长江流域江河、湖泊新设、改设或者扩大排污口，应当按照国家有关规定报经有管辖权的生态环境主管部门或者长江流域生态场境监督管理机构同意。对未达到水质目标的水功能区，除污水集中处理设施排污口外，应当严格控制新设，改设或者扩大排污口。</w:t>
                  </w:r>
                </w:p>
              </w:tc>
              <w:tc>
                <w:tcPr>
                  <w:tcW w:w="2206"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本项目未在长江流域江河、湖泊新设、改设或者扩大排污口</w:t>
                  </w:r>
                </w:p>
              </w:tc>
              <w:tc>
                <w:tcPr>
                  <w:tcW w:w="493"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90" w:hRule="atLeast"/>
                <w:jc w:val="center"/>
              </w:trPr>
              <w:tc>
                <w:tcPr>
                  <w:tcW w:w="39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w:t>
                  </w:r>
                </w:p>
              </w:tc>
              <w:tc>
                <w:tcPr>
                  <w:tcW w:w="455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第五十条 长江流域县级以上地方人民政府应当组织对沿河湖垃圾填埋场、加油站、矿山、尾矿库、危险废物处置场、化工园区和化工项目等地下水重点污染源及周边地下水环境风险隐患开展调查评估，并采取相应风险防范和整治措施。</w:t>
                  </w:r>
                </w:p>
              </w:tc>
              <w:tc>
                <w:tcPr>
                  <w:tcW w:w="2206"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本项目不属于垃圾填埋场、加油站、矿山、尾矿库、危险废物处置场、化工园区和化工项目等</w:t>
                  </w:r>
                </w:p>
              </w:tc>
              <w:tc>
                <w:tcPr>
                  <w:tcW w:w="493"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bl>
          <w:p>
            <w:pPr>
              <w:pStyle w:val="65"/>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综上，项目与《中华人民共和国长江保护法》中相关条款并不冲突。</w:t>
            </w:r>
          </w:p>
          <w:p>
            <w:pPr>
              <w:pStyle w:val="65"/>
              <w:ind w:firstLine="482"/>
              <w:rPr>
                <w:rFonts w:hint="default" w:ascii="Times New Roman" w:hAnsi="Times New Roman" w:cs="Times New Roman"/>
                <w:b/>
                <w:bCs/>
                <w:color w:val="auto"/>
              </w:rPr>
            </w:pPr>
            <w:r>
              <w:rPr>
                <w:rFonts w:hint="eastAsia" w:cs="Times New Roman"/>
                <w:b/>
                <w:bCs/>
                <w:color w:val="auto"/>
                <w:lang w:eastAsia="zh-CN"/>
              </w:rPr>
              <w:t>（</w:t>
            </w:r>
            <w:r>
              <w:rPr>
                <w:rFonts w:hint="eastAsia" w:cs="Times New Roman"/>
                <w:b/>
                <w:bCs/>
                <w:color w:val="auto"/>
                <w:lang w:val="en-US" w:eastAsia="zh-CN"/>
              </w:rPr>
              <w:t>6</w:t>
            </w:r>
            <w:r>
              <w:rPr>
                <w:rFonts w:hint="eastAsia" w:cs="Times New Roman"/>
                <w:b/>
                <w:bCs/>
                <w:color w:val="auto"/>
                <w:lang w:eastAsia="zh-CN"/>
              </w:rPr>
              <w:t>）</w:t>
            </w:r>
            <w:r>
              <w:rPr>
                <w:rFonts w:hint="default" w:ascii="Times New Roman" w:hAnsi="Times New Roman" w:cs="Times New Roman"/>
                <w:b/>
                <w:bCs/>
                <w:color w:val="auto"/>
              </w:rPr>
              <w:t>与《湖南省长江经济带发展负面清单实施细则（试行，2022年版）》的符合性分析</w:t>
            </w:r>
          </w:p>
          <w:p>
            <w:pPr>
              <w:pStyle w:val="65"/>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2022年6月30日湖南省推动长江经济带发展领导小组办公室发布第70号文件《湖南省长江经济带发展负面清单实施细则（试行，2022年版）》，本项目与其相关要求对比分析情况详见下表：</w:t>
            </w:r>
          </w:p>
          <w:p>
            <w:pPr>
              <w:pStyle w:val="66"/>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表1-</w:t>
            </w:r>
            <w:r>
              <w:rPr>
                <w:rFonts w:hint="eastAsia" w:cs="Times New Roman"/>
                <w:color w:val="auto"/>
                <w:lang w:val="en-US" w:eastAsia="zh-CN"/>
              </w:rPr>
              <w:t>3</w:t>
            </w:r>
            <w:r>
              <w:rPr>
                <w:rFonts w:hint="default" w:ascii="Times New Roman" w:hAnsi="Times New Roman" w:eastAsia="宋体" w:cs="Times New Roman"/>
                <w:color w:val="auto"/>
                <w:lang w:val="en-US" w:eastAsia="zh-CN"/>
              </w:rPr>
              <w:t xml:space="preserve">   与《湖南省长江经济带发展负面清单实施细则（试行，2022 年版）》符合性分析一览表</w:t>
            </w:r>
          </w:p>
          <w:tbl>
            <w:tblPr>
              <w:tblStyle w:val="22"/>
              <w:tblW w:w="7653"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28" w:type="dxa"/>
                <w:left w:w="11" w:type="dxa"/>
                <w:bottom w:w="28" w:type="dxa"/>
                <w:right w:w="11" w:type="dxa"/>
              </w:tblCellMar>
            </w:tblPr>
            <w:tblGrid>
              <w:gridCol w:w="361"/>
              <w:gridCol w:w="5036"/>
              <w:gridCol w:w="1815"/>
              <w:gridCol w:w="44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序号</w:t>
                  </w:r>
                </w:p>
              </w:tc>
              <w:tc>
                <w:tcPr>
                  <w:tcW w:w="511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要求内容</w:t>
                  </w:r>
                </w:p>
              </w:tc>
              <w:tc>
                <w:tcPr>
                  <w:tcW w:w="184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本项目情况</w:t>
                  </w:r>
                </w:p>
              </w:tc>
              <w:tc>
                <w:tcPr>
                  <w:tcW w:w="44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符合</w:t>
                  </w:r>
                </w:p>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0" w:hRule="atLeast"/>
                <w:jc w:val="center"/>
              </w:trPr>
              <w:tc>
                <w:tcPr>
                  <w:tcW w:w="366"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w:t>
                  </w:r>
                </w:p>
              </w:tc>
              <w:tc>
                <w:tcPr>
                  <w:tcW w:w="511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第三条 禁止建设不符合全国和省级港口布局规划以及港口总体规划的码头项目。对不符合港口总体规划的新建、改建和扩建的码头工程（含装码头工程）及其同时建设的配套设施、防波堤、锚地、护岸等工程，投资主管部门不得审批或核准。码头工程建设项目需要使用港口岸线的，项目单位应当按照国省港口岸线使用的管理规定办理港口岸线使用手续。未取得岸线使用批准文件或者岸线使用意见的，不得开工建设。禁止建设不符合《长江千线过江通道布局规划（2020-2035年）》的过长江通道项目。</w:t>
                  </w:r>
                </w:p>
              </w:tc>
              <w:tc>
                <w:tcPr>
                  <w:tcW w:w="184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项目不属于码头项目，不属于长江通道项目。</w:t>
                  </w:r>
                </w:p>
              </w:tc>
              <w:tc>
                <w:tcPr>
                  <w:tcW w:w="44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w:t>
                  </w:r>
                </w:p>
              </w:tc>
              <w:tc>
                <w:tcPr>
                  <w:tcW w:w="511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禁止在自然保护区核心区、缓冲区的岸线和河段范围内投资建设以下项目：（一）高尔夫球场开发、房地产开发、索道建设、会所建设等项目：（二）光伏发电、风力发电、火力发电建设项目：（三）社会资金进行商业性探矿勘查，以及不属于国家紧缺矿种资源的基础地质调查和矿产远景调查等公益性工作的设施建设：（四）野生动物驯养繁殖、展览基地建设项目：（五）污染环境、破坏自然资源或自然景观的建设设施：（六）对自然保护区主要保护对象产生重大影响、改变自然生态系统完整性、原真性、破坏自然景观的设施：（七）其他不符合自然保护区主体功能定位和国家禁止的设施。</w:t>
                  </w:r>
                </w:p>
              </w:tc>
              <w:tc>
                <w:tcPr>
                  <w:tcW w:w="184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本项目不在自然保护区核心区、缓冲区的岸线和河段范围。</w:t>
                  </w:r>
                </w:p>
              </w:tc>
              <w:tc>
                <w:tcPr>
                  <w:tcW w:w="44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w:t>
                  </w:r>
                </w:p>
              </w:tc>
              <w:tc>
                <w:tcPr>
                  <w:tcW w:w="511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第六条 禁止违反风景名胜区规划，在风景名胜区内设立各类开发区和在核心景区内建设宾馆，招待所，培训中心、疗养院以及与风景名胜资源保护无关的其他建筑物：已经建设的，应当按照风景名胜区规划，逐步迁出。</w:t>
                  </w:r>
                </w:p>
              </w:tc>
              <w:tc>
                <w:tcPr>
                  <w:tcW w:w="184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本项目不在风景名胜区内。</w:t>
                  </w:r>
                </w:p>
              </w:tc>
              <w:tc>
                <w:tcPr>
                  <w:tcW w:w="44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2420" w:hRule="atLeast"/>
                <w:jc w:val="center"/>
              </w:trPr>
              <w:tc>
                <w:tcPr>
                  <w:tcW w:w="366"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w:t>
                  </w:r>
                </w:p>
              </w:tc>
              <w:tc>
                <w:tcPr>
                  <w:tcW w:w="511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第七条 饮用水水源一级保护区内禁止新建、改建，扩建与供水设施和保护水源无关的建设项日：禁止向水域排放污水，已设置的排污口必须拆除：不得设置与供水需要无关的码头。禁止停靠船舶；禁止堆置和存放工业废渣、城市垃圾、粪便和其它废弃物；禁止设置油库：禁止使用含磷洗涤剂、化肥、农药；禁止建设养殖场、禁止网箱养殖、旅游等可能污染饮用水水体的投资建设项目。</w:t>
                  </w:r>
                </w:p>
              </w:tc>
              <w:tc>
                <w:tcPr>
                  <w:tcW w:w="1842" w:type="dxa"/>
                  <w:vMerge w:val="restart"/>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w:t>
                  </w:r>
                  <w:r>
                    <w:rPr>
                      <w:rFonts w:hint="eastAsia" w:cs="Times New Roman"/>
                      <w:color w:val="auto"/>
                      <w:lang w:val="en-US" w:eastAsia="zh-CN"/>
                    </w:rPr>
                    <w:t>不涉及</w:t>
                  </w:r>
                  <w:r>
                    <w:rPr>
                      <w:rFonts w:hint="default" w:ascii="Times New Roman" w:hAnsi="Times New Roman" w:eastAsia="宋体" w:cs="Times New Roman"/>
                      <w:color w:val="auto"/>
                      <w:lang w:val="en-US" w:eastAsia="zh-CN"/>
                    </w:rPr>
                    <w:t>饮用水水源保护区。</w:t>
                  </w:r>
                </w:p>
              </w:tc>
              <w:tc>
                <w:tcPr>
                  <w:tcW w:w="44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w:t>
                  </w:r>
                </w:p>
              </w:tc>
              <w:tc>
                <w:tcPr>
                  <w:tcW w:w="511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第八条 饮用水水源二级保护区内禁止新建、改建、扩建向水体排放污染物的投资建设项目。原有排污口依法拆除或关闭。禁止设立装卸垃圾、粪便、油类和有毒物品的码头。</w:t>
                  </w:r>
                </w:p>
              </w:tc>
              <w:tc>
                <w:tcPr>
                  <w:tcW w:w="1842" w:type="dxa"/>
                  <w:vMerge w:val="continue"/>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p>
              </w:tc>
              <w:tc>
                <w:tcPr>
                  <w:tcW w:w="44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6</w:t>
                  </w:r>
                </w:p>
              </w:tc>
              <w:tc>
                <w:tcPr>
                  <w:tcW w:w="511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第九条 禁止在水产种质资源保护区内新建排污口、从事围湖造田造地等投资建设项目。</w:t>
                  </w:r>
                </w:p>
              </w:tc>
              <w:tc>
                <w:tcPr>
                  <w:tcW w:w="184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本项目不在水产种质资源保护区内。</w:t>
                  </w:r>
                </w:p>
              </w:tc>
              <w:tc>
                <w:tcPr>
                  <w:tcW w:w="44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7</w:t>
                  </w:r>
                </w:p>
              </w:tc>
              <w:tc>
                <w:tcPr>
                  <w:tcW w:w="511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第十条 除《中华人民共和国防洪法》规定的紧急防汛期采取的紧急措施外，禁止在国家湿地公园的岸线和河段范围内、挖沙、采矿等不符合主体功能定位的行为和活动。</w:t>
                  </w:r>
                </w:p>
              </w:tc>
              <w:tc>
                <w:tcPr>
                  <w:tcW w:w="184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本项目用地不在国家湿地公园的岸线和河段范围内。</w:t>
                  </w:r>
                </w:p>
              </w:tc>
              <w:tc>
                <w:tcPr>
                  <w:tcW w:w="44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8</w:t>
                  </w:r>
                </w:p>
              </w:tc>
              <w:tc>
                <w:tcPr>
                  <w:tcW w:w="511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第十一条 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w:t>
                  </w:r>
                </w:p>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禁止填湖造地、围湖造田及非法围垦河道，禁止非法建设矮围网围，填理湿地等段占河湖水域或者违法利用，古用河湖岸线的行为。</w:t>
                  </w:r>
                </w:p>
              </w:tc>
              <w:tc>
                <w:tcPr>
                  <w:tcW w:w="184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本项目未利用、占用长江流域河湖岸线。本项目未填湖造地、围湖造田及非法围垦河道。</w:t>
                  </w:r>
                </w:p>
              </w:tc>
              <w:tc>
                <w:tcPr>
                  <w:tcW w:w="44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9</w:t>
                  </w:r>
                </w:p>
              </w:tc>
              <w:tc>
                <w:tcPr>
                  <w:tcW w:w="511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第十二条 禁止在《全国重要江河湖泊水功能区划》划定的河段及湖泊保护区、保留区内投资建设不利于水资源及自然生态保护的项目。</w:t>
                  </w:r>
                </w:p>
              </w:tc>
              <w:tc>
                <w:tcPr>
                  <w:tcW w:w="184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本项目不在《全国重要江河湖泊水功能区划》划定的河段及湖泊保护区、保留区内。</w:t>
                  </w:r>
                </w:p>
              </w:tc>
              <w:tc>
                <w:tcPr>
                  <w:tcW w:w="44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10</w:t>
                  </w:r>
                </w:p>
              </w:tc>
              <w:tc>
                <w:tcPr>
                  <w:tcW w:w="511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第十三条 禁止未经许可在长江干支流及湖泊新设、改设或扩大排污口。</w:t>
                  </w:r>
                </w:p>
              </w:tc>
              <w:tc>
                <w:tcPr>
                  <w:tcW w:w="184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本项目未在长江干支流及湖泊新设、改设或扩大排污口。</w:t>
                  </w:r>
                </w:p>
              </w:tc>
              <w:tc>
                <w:tcPr>
                  <w:tcW w:w="44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11</w:t>
                  </w:r>
                </w:p>
              </w:tc>
              <w:tc>
                <w:tcPr>
                  <w:tcW w:w="511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第十四条 禁止在洞庭湖、湘江、资江、沅江、遭水干流和45个水生生物保护区开展生产性捕捞。在相关自然保护区域和禁猎（渔）区、禁猎（渔）期内，禁止猎捕以及其他妨碍野生动物生息繁衍的活动，但法律法规另有规定的除外。</w:t>
                  </w:r>
                </w:p>
              </w:tc>
              <w:tc>
                <w:tcPr>
                  <w:tcW w:w="184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本项目未开展生产性捕捞。</w:t>
                  </w:r>
                </w:p>
              </w:tc>
              <w:tc>
                <w:tcPr>
                  <w:tcW w:w="44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12</w:t>
                  </w:r>
                </w:p>
              </w:tc>
              <w:tc>
                <w:tcPr>
                  <w:tcW w:w="511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第十五条 禁止在长江湖南段和洞庭湖、湘江、资江、沅江，遭水干流岸线一公里范围内新建、扩建化工园区和化工项目。禁止在长江湖南段岸线二公里范围内和湘江、资江、沅江遭水岸线一公里范围内新建、改建、扩建尾矿库、冶炼渣库和磷石膏库，以提升安全，生态环境保护水平为目的的改建除外。</w:t>
                  </w:r>
                </w:p>
              </w:tc>
              <w:tc>
                <w:tcPr>
                  <w:tcW w:w="184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本项目不属于化工园区和化工项目：本项目不属于尾矿库、冶炼渣库和磷右膏库。</w:t>
                  </w:r>
                </w:p>
              </w:tc>
              <w:tc>
                <w:tcPr>
                  <w:tcW w:w="44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lang w:val="en-US" w:eastAsia="zh-CN"/>
                    </w:rPr>
                    <w:t>13</w:t>
                  </w:r>
                </w:p>
              </w:tc>
              <w:tc>
                <w:tcPr>
                  <w:tcW w:w="511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第十六条 禁止在合规园区外新建、扩建钢铁、石化、化工、焦化、建材、有色、制浆造纸等高污染项目。高污染项目严格按照生态环境部《环境保护综合名录（2021年版）》有关要求执行。</w:t>
                  </w:r>
                </w:p>
              </w:tc>
              <w:tc>
                <w:tcPr>
                  <w:tcW w:w="184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本项目不属于钢铁、石化、化工、焦化、建材、有色、制浆造纸等高污染项目。</w:t>
                  </w:r>
                </w:p>
              </w:tc>
              <w:tc>
                <w:tcPr>
                  <w:tcW w:w="44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lang w:val="en-US" w:eastAsia="zh-CN"/>
                    </w:rPr>
                    <w:t>14</w:t>
                  </w:r>
                </w:p>
              </w:tc>
              <w:tc>
                <w:tcPr>
                  <w:tcW w:w="511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第十七条 禁止新建、扩建不符合国家石化、现代煤化工等产业布局规划的项目。未通过认定的化工园区，不得新建改扩建化工项目（安全、环保、节能和智能化改造项目除外）。</w:t>
                  </w:r>
                </w:p>
              </w:tc>
              <w:tc>
                <w:tcPr>
                  <w:tcW w:w="184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本项目不属于石化、现代煤化工等项目。</w:t>
                  </w:r>
                </w:p>
              </w:tc>
              <w:tc>
                <w:tcPr>
                  <w:tcW w:w="44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lang w:val="en-US" w:eastAsia="zh-CN"/>
                    </w:rPr>
                    <w:t>15</w:t>
                  </w:r>
                </w:p>
              </w:tc>
              <w:tc>
                <w:tcPr>
                  <w:tcW w:w="511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lang w:val="en-US" w:eastAsia="zh-CN"/>
                    </w:rPr>
                    <w:t>第十八条 禁止新建、扩建法律法规和相关政策明令禁止的落后产能项目：对不符合要求的落后产能存量项目依法依规退出。禁止新建、扩建不符合国家产能置换要求的严重过剩产能行业（钢铁、水泥、电解铝、平板玻璃、船舶等行业）的项目。对确有必要新建、扩建的，必须严格执行产能置换实施办法，实施减量或等量置换，依法依规办理有关手续。禁止新建、扩建不符合要求的高耗能高排放项目</w:t>
                  </w:r>
                </w:p>
              </w:tc>
              <w:tc>
                <w:tcPr>
                  <w:tcW w:w="1842"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lang w:val="en-US" w:eastAsia="zh-CN"/>
                    </w:rPr>
                    <w:t>本项目不属于落后产能项目，不属于严重过剩产能行业，不属于高耗能高排放项目。</w:t>
                  </w:r>
                </w:p>
              </w:tc>
              <w:tc>
                <w:tcPr>
                  <w:tcW w:w="447" w:type="dxa"/>
                  <w:tcBorders>
                    <w:tl2br w:val="nil"/>
                    <w:tr2bl w:val="nil"/>
                  </w:tcBorders>
                  <w:noWrap w:val="0"/>
                  <w:vAlign w:val="center"/>
                </w:tcPr>
                <w:p>
                  <w:pPr>
                    <w:pStyle w:val="67"/>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lang w:val="en-US" w:eastAsia="zh-CN"/>
                    </w:rPr>
                    <w:t>符合</w:t>
                  </w:r>
                </w:p>
              </w:tc>
            </w:tr>
          </w:tbl>
          <w:p>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综上，</w:t>
            </w:r>
            <w:r>
              <w:rPr>
                <w:rFonts w:hint="default" w:ascii="Times New Roman" w:hAnsi="Times New Roman" w:cs="Times New Roman"/>
                <w:color w:val="auto"/>
                <w:sz w:val="24"/>
                <w:szCs w:val="24"/>
              </w:rPr>
              <w:t>本项目不涉及</w:t>
            </w:r>
            <w:r>
              <w:rPr>
                <w:rFonts w:hint="eastAsia" w:cs="Times New Roman"/>
                <w:color w:val="auto"/>
                <w:sz w:val="24"/>
                <w:szCs w:val="24"/>
                <w:lang w:val="en-US" w:eastAsia="zh-CN"/>
              </w:rPr>
              <w:t>上述表格</w:t>
            </w:r>
            <w:r>
              <w:rPr>
                <w:rFonts w:hint="default" w:ascii="Times New Roman" w:hAnsi="Times New Roman" w:cs="Times New Roman"/>
                <w:color w:val="auto"/>
                <w:sz w:val="24"/>
                <w:szCs w:val="24"/>
              </w:rPr>
              <w:t>相关保护区域、野生动物迁徙洄游通道，项目为</w:t>
            </w:r>
            <w:r>
              <w:rPr>
                <w:rFonts w:hint="default" w:ascii="Times New Roman" w:hAnsi="Times New Roman" w:cs="Times New Roman"/>
                <w:color w:val="auto"/>
                <w:sz w:val="24"/>
                <w:szCs w:val="24"/>
                <w:lang w:val="en-US" w:eastAsia="zh-CN"/>
              </w:rPr>
              <w:t>民生工程，主要建设</w:t>
            </w:r>
            <w:r>
              <w:rPr>
                <w:rFonts w:hint="eastAsia" w:ascii="Times New Roman" w:hAnsi="Times New Roman" w:cs="Times New Roman"/>
                <w:color w:val="auto"/>
                <w:sz w:val="24"/>
                <w:szCs w:val="24"/>
                <w:lang w:val="en-US" w:eastAsia="zh-CN"/>
              </w:rPr>
              <w:t>安置区</w:t>
            </w:r>
            <w:r>
              <w:rPr>
                <w:rFonts w:hint="default" w:ascii="Times New Roman" w:hAnsi="Times New Roman" w:cs="Times New Roman"/>
                <w:color w:val="auto"/>
                <w:sz w:val="24"/>
                <w:szCs w:val="24"/>
              </w:rPr>
              <w:t>，不属于新建排污口、非法围垦河道和围湖造田造地等投资建设项目、不开展生产线捕捞</w:t>
            </w:r>
            <w:r>
              <w:rPr>
                <w:rFonts w:hint="default" w:ascii="Times New Roman" w:hAnsi="Times New Roman" w:cs="Times New Roman"/>
                <w:color w:val="auto"/>
                <w:sz w:val="24"/>
                <w:szCs w:val="24"/>
                <w:lang w:val="en-US" w:eastAsia="zh-CN"/>
              </w:rPr>
              <w:t>等</w:t>
            </w:r>
            <w:r>
              <w:rPr>
                <w:rFonts w:hint="default" w:ascii="Times New Roman" w:hAnsi="Times New Roman" w:cs="Times New Roman"/>
                <w:color w:val="auto"/>
                <w:sz w:val="24"/>
                <w:szCs w:val="24"/>
              </w:rPr>
              <w:t>。因此，本项目符合《湖南省长江经济带发展负面清单实施细则（试行，2022年版）》的要求。</w:t>
            </w:r>
          </w:p>
          <w:p>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0" w:firstLineChars="200"/>
              <w:jc w:val="left"/>
              <w:textAlignment w:val="auto"/>
              <w:rPr>
                <w:rFonts w:hint="default" w:ascii="Times New Roman" w:hAnsi="Times New Roman" w:cs="Times New Roman"/>
                <w:color w:val="auto"/>
                <w:sz w:val="24"/>
                <w:szCs w:val="24"/>
              </w:rPr>
            </w:pPr>
          </w:p>
        </w:tc>
      </w:tr>
    </w:tbl>
    <w:p>
      <w:pPr>
        <w:spacing w:line="360" w:lineRule="auto"/>
        <w:outlineLvl w:val="0"/>
        <w:rPr>
          <w:rFonts w:eastAsia="黑体"/>
          <w:color w:val="auto"/>
          <w:sz w:val="30"/>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19"/>
        <w:jc w:val="center"/>
        <w:outlineLvl w:val="0"/>
        <w:rPr>
          <w:rFonts w:hint="eastAsia" w:ascii="黑体" w:hAnsi="黑体" w:eastAsia="黑体"/>
          <w:snapToGrid w:val="0"/>
          <w:color w:val="auto"/>
          <w:sz w:val="30"/>
          <w:szCs w:val="30"/>
          <w:lang w:val="en-US" w:eastAsia="zh-CN"/>
        </w:rPr>
      </w:pPr>
      <w:bookmarkStart w:id="10" w:name="_Toc27846"/>
      <w:bookmarkStart w:id="11" w:name="_Toc4871"/>
      <w:r>
        <w:rPr>
          <w:rFonts w:hint="eastAsia" w:ascii="黑体" w:hAnsi="黑体" w:eastAsia="黑体"/>
          <w:snapToGrid w:val="0"/>
          <w:color w:val="auto"/>
          <w:sz w:val="30"/>
          <w:szCs w:val="30"/>
        </w:rPr>
        <w:t>二、建设</w:t>
      </w:r>
      <w:bookmarkEnd w:id="10"/>
      <w:r>
        <w:rPr>
          <w:rFonts w:hint="eastAsia" w:ascii="黑体" w:hAnsi="黑体" w:eastAsia="黑体"/>
          <w:snapToGrid w:val="0"/>
          <w:color w:val="auto"/>
          <w:sz w:val="30"/>
          <w:szCs w:val="30"/>
          <w:lang w:val="en-US" w:eastAsia="zh-CN"/>
        </w:rPr>
        <w:t>内容</w:t>
      </w:r>
      <w:bookmarkEnd w:id="11"/>
    </w:p>
    <w:tbl>
      <w:tblPr>
        <w:tblStyle w:val="22"/>
        <w:tblW w:w="898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72" w:hRule="atLeast"/>
          <w:jc w:val="center"/>
        </w:trPr>
        <w:tc>
          <w:tcPr>
            <w:tcW w:w="823" w:type="dxa"/>
            <w:vAlign w:val="center"/>
          </w:tcPr>
          <w:p>
            <w:pPr>
              <w:pStyle w:val="19"/>
              <w:adjustRightInd w:val="0"/>
              <w:snapToGrid w:val="0"/>
              <w:spacing w:before="0" w:beforeAutospacing="0" w:after="0" w:afterAutospacing="0"/>
              <w:jc w:val="center"/>
              <w:rPr>
                <w:rFonts w:hint="eastAsia" w:ascii="Times New Roman" w:hAnsi="Times New Roman" w:cs="宋体"/>
                <w:color w:val="auto"/>
                <w:szCs w:val="21"/>
              </w:rPr>
            </w:pPr>
            <w:r>
              <w:rPr>
                <w:rFonts w:hint="eastAsia" w:ascii="Times New Roman" w:hAnsi="Times New Roman" w:cs="宋体"/>
                <w:color w:val="auto"/>
                <w:szCs w:val="21"/>
                <w:lang w:val="en-US" w:eastAsia="zh-CN"/>
              </w:rPr>
              <w:t>地理位置</w:t>
            </w:r>
          </w:p>
        </w:tc>
        <w:tc>
          <w:tcPr>
            <w:tcW w:w="8161" w:type="dxa"/>
            <w:vAlign w:val="top"/>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本项目为团洲垸灾后重建安置房建设项目的二期，项目建设地点位于华容县团洲安全垸内团洲花园小区</w:t>
            </w:r>
            <w:r>
              <w:rPr>
                <w:rFonts w:hint="eastAsia" w:cs="宋体"/>
                <w:bCs/>
                <w:color w:val="auto"/>
                <w:sz w:val="24"/>
                <w:szCs w:val="21"/>
                <w:lang w:val="en-US" w:eastAsia="zh-CN"/>
              </w:rPr>
              <w:t>东</w:t>
            </w:r>
            <w:r>
              <w:rPr>
                <w:rFonts w:hint="eastAsia" w:ascii="Times New Roman" w:hAnsi="Times New Roman" w:eastAsia="宋体" w:cs="宋体"/>
                <w:bCs/>
                <w:color w:val="auto"/>
                <w:sz w:val="24"/>
                <w:szCs w:val="21"/>
                <w:lang w:val="en-US" w:eastAsia="zh-CN"/>
              </w:rPr>
              <w:t>侧</w:t>
            </w:r>
            <w:r>
              <w:rPr>
                <w:rFonts w:hint="eastAsia" w:cs="宋体"/>
                <w:bCs/>
                <w:color w:val="auto"/>
                <w:sz w:val="24"/>
                <w:szCs w:val="21"/>
                <w:lang w:val="en-US" w:eastAsia="zh-CN"/>
              </w:rPr>
              <w:t>，南电排渠西侧</w:t>
            </w:r>
            <w:r>
              <w:rPr>
                <w:rFonts w:hint="eastAsia" w:cs="宋体"/>
                <w:bCs/>
                <w:color w:val="auto"/>
                <w:sz w:val="24"/>
                <w:szCs w:val="28"/>
                <w:vertAlign w:val="baseli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rFonts w:hint="eastAsia" w:ascii="Times New Roman" w:hAnsi="Times New Roman" w:eastAsia="宋体" w:cs="宋体"/>
                <w:bCs/>
                <w:color w:val="auto"/>
                <w:sz w:val="24"/>
                <w:szCs w:val="21"/>
                <w:lang w:val="en-US" w:eastAsia="zh-CN"/>
              </w:rPr>
            </w:pPr>
            <w:r>
              <w:rPr>
                <w:rFonts w:ascii="Times New Roman" w:hAnsi="Times New Roman" w:eastAsia="仿宋_GB2312" w:cs="Times New Roman"/>
                <w:snapToGrid w:val="0"/>
                <w:color w:val="auto"/>
                <w:spacing w:val="0"/>
                <w:kern w:val="0"/>
                <w:position w:val="0"/>
                <w:sz w:val="28"/>
                <w:szCs w:val="28"/>
                <w:lang w:val="en-US" w:eastAsia="en-US" w:bidi="ar-SA"/>
              </w:rPr>
              <w:drawing>
                <wp:inline distT="0" distB="0" distL="114300" distR="114300">
                  <wp:extent cx="4897120" cy="3481070"/>
                  <wp:effectExtent l="19050" t="19050" r="36830" b="2413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2"/>
                          <a:stretch>
                            <a:fillRect/>
                          </a:stretch>
                        </pic:blipFill>
                        <pic:spPr>
                          <a:xfrm>
                            <a:off x="0" y="0"/>
                            <a:ext cx="4897120" cy="3481070"/>
                          </a:xfrm>
                          <a:prstGeom prst="rect">
                            <a:avLst/>
                          </a:prstGeom>
                          <a:noFill/>
                          <a:ln w="19050" cmpd="sng">
                            <a:solidFill>
                              <a:schemeClr val="tx1"/>
                            </a:solidFill>
                            <a:prstDash val="solid"/>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color w:val="auto"/>
                <w:lang w:val="en-US" w:eastAsia="zh-CN"/>
              </w:rPr>
            </w:pPr>
            <w:r>
              <w:rPr>
                <w:rFonts w:hint="default" w:ascii="Times New Roman" w:hAnsi="Times New Roman" w:eastAsia="宋体" w:cs="Times New Roman"/>
                <w:b/>
                <w:bCs/>
                <w:color w:val="auto"/>
                <w:sz w:val="24"/>
                <w:szCs w:val="24"/>
                <w:lang w:val="en-US" w:eastAsia="zh-CN"/>
              </w:rPr>
              <w:t>图2.1   项目地理位置示意图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72" w:hRule="atLeast"/>
          <w:jc w:val="center"/>
        </w:trPr>
        <w:tc>
          <w:tcPr>
            <w:tcW w:w="823" w:type="dxa"/>
            <w:vAlign w:val="center"/>
          </w:tcPr>
          <w:p>
            <w:pPr>
              <w:pStyle w:val="19"/>
              <w:adjustRightInd w:val="0"/>
              <w:snapToGrid w:val="0"/>
              <w:spacing w:before="0" w:beforeAutospacing="0" w:after="0" w:afterAutospacing="0"/>
              <w:jc w:val="center"/>
              <w:rPr>
                <w:rFonts w:hint="default" w:ascii="Times New Roman" w:hAnsi="Times New Roman" w:eastAsia="宋体" w:cs="宋体"/>
                <w:color w:val="auto"/>
                <w:szCs w:val="21"/>
                <w:lang w:val="en-US" w:eastAsia="zh-CN"/>
              </w:rPr>
            </w:pPr>
            <w:r>
              <w:rPr>
                <w:rFonts w:hint="eastAsia" w:ascii="Times New Roman" w:hAnsi="Times New Roman" w:cs="宋体"/>
                <w:color w:val="auto"/>
                <w:szCs w:val="21"/>
                <w:lang w:val="en-US" w:eastAsia="zh-CN"/>
              </w:rPr>
              <w:t>项目组成及规模</w:t>
            </w:r>
          </w:p>
        </w:tc>
        <w:tc>
          <w:tcPr>
            <w:tcW w:w="8161" w:type="dxa"/>
          </w:tcPr>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宋体"/>
                <w:b/>
                <w:bCs w:val="0"/>
                <w:color w:val="auto"/>
                <w:sz w:val="24"/>
                <w:szCs w:val="21"/>
                <w:lang w:val="en-US" w:eastAsia="zh-CN"/>
              </w:rPr>
            </w:pPr>
            <w:r>
              <w:rPr>
                <w:rFonts w:hint="eastAsia" w:cs="宋体"/>
                <w:b/>
                <w:bCs w:val="0"/>
                <w:color w:val="auto"/>
                <w:sz w:val="24"/>
                <w:szCs w:val="21"/>
                <w:lang w:val="en-US" w:eastAsia="zh-CN"/>
              </w:rPr>
              <w:t>1、项目建设背景</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2024年7月5日下午，团洲乡团北村团洲垸洞庭湖一线堤防发生堤坝决口，团洲垸92.5%的面积被淹，平均水深约5m，遭受了严重的洪涝灾害，对农业生产造成了严重影响。此次灾害是由于持续强降雨和长江水位暴涨导致的，降雨量大幅超出往年同期，致使多个堤防和河道水位超过警戒线。团洲乡地处平原，地势低洼，水流排泄不畅，导致全乡多个村庄遭受了洪水袭击，形成大面积积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团洲乡大面积农田被洪水浸泡，水稻、玉米、大豆等农作物几乎绝收，农业生产受到严重打击；部分村庄的房屋被洪水侵入，泥石流和积水导致墙体倒塌或基础损坏，部分居民不得不转移至安全地点；多条乡村道路因洪水被冲毁或严重积水，交通受阻，物资运输和救援工作难以展开；供水、电力等基础设施受到破坏，部分村庄出现停水停电的情况，生活生产受到极大影响，部分村民被迫撤离，安置点紧急搭建，提供基本生活保障；此次洪涝灾害给团洲乡带来了巨大的经济损失，农业生产和居民生活均受到严重冲击，后续需要大规模的灾后重建工作。</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在收到上级批复后，华容县迅速组织了前期研究、选址、规划等工作。项目的选址考虑了洪水灾害的影响因素，确保新建安置房地势较高，避开低洼易涝区域。同时，相关配套基础设施的规划设计也已经完成，包括供水、排水、电力、消防和道路系统，确保新建安置点具备良好的居住和生活条件。团洲垸此次洪涝灾害波及范围广、影响深远，造成了大面积农田绝收、基础设施损毁和居民房屋倒塌。受灾居民被迫转移，生活受到严重影响。为尽快恢复正常生产生活秩序，华容县政府决定启动团洲垸灾后重建安置房建设项目。</w:t>
            </w:r>
          </w:p>
          <w:p>
            <w:pPr>
              <w:numPr>
                <w:ilvl w:val="0"/>
                <w:numId w:val="0"/>
              </w:numPr>
              <w:adjustRightInd w:val="0"/>
              <w:snapToGrid w:val="0"/>
              <w:spacing w:line="360" w:lineRule="auto"/>
              <w:jc w:val="left"/>
              <w:rPr>
                <w:rFonts w:cs="宋体"/>
                <w:b/>
                <w:color w:val="auto"/>
                <w:sz w:val="24"/>
                <w:szCs w:val="21"/>
              </w:rPr>
            </w:pPr>
            <w:r>
              <w:rPr>
                <w:rFonts w:hint="eastAsia" w:cs="宋体"/>
                <w:b/>
                <w:color w:val="auto"/>
                <w:sz w:val="24"/>
                <w:szCs w:val="21"/>
                <w:lang w:val="en-US" w:eastAsia="zh-CN"/>
              </w:rPr>
              <w:t>2、</w:t>
            </w:r>
            <w:r>
              <w:rPr>
                <w:rFonts w:hint="eastAsia" w:cs="宋体"/>
                <w:b/>
                <w:color w:val="auto"/>
                <w:sz w:val="24"/>
                <w:szCs w:val="21"/>
              </w:rPr>
              <w:t>工程规模及内容</w:t>
            </w:r>
          </w:p>
          <w:p>
            <w:pPr>
              <w:adjustRightInd w:val="0"/>
              <w:snapToGrid w:val="0"/>
              <w:spacing w:line="360" w:lineRule="auto"/>
              <w:ind w:firstLine="482" w:firstLineChars="200"/>
              <w:jc w:val="left"/>
              <w:rPr>
                <w:rFonts w:cs="宋体"/>
                <w:b/>
                <w:color w:val="auto"/>
                <w:sz w:val="24"/>
                <w:szCs w:val="21"/>
              </w:rPr>
            </w:pPr>
            <w:r>
              <w:rPr>
                <w:rFonts w:hint="eastAsia" w:cs="宋体"/>
                <w:b/>
                <w:color w:val="auto"/>
                <w:sz w:val="24"/>
                <w:szCs w:val="21"/>
                <w:lang w:val="en-US" w:eastAsia="zh-CN"/>
              </w:rPr>
              <w:t>2</w:t>
            </w:r>
            <w:r>
              <w:rPr>
                <w:rFonts w:hint="eastAsia" w:cs="宋体"/>
                <w:b/>
                <w:color w:val="auto"/>
                <w:sz w:val="24"/>
                <w:szCs w:val="21"/>
              </w:rPr>
              <w:t>.1 项目基本情况</w:t>
            </w:r>
          </w:p>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firstLine="480" w:firstLineChars="200"/>
              <w:jc w:val="both"/>
              <w:textAlignment w:val="auto"/>
              <w:rPr>
                <w:rFonts w:hint="eastAsia" w:ascii="仿宋" w:hAnsi="仿宋" w:eastAsia="仿宋" w:cs="仿宋"/>
                <w:b w:val="0"/>
                <w:bCs w:val="0"/>
                <w:color w:val="auto"/>
                <w:spacing w:val="0"/>
                <w:kern w:val="0"/>
                <w:sz w:val="28"/>
                <w:szCs w:val="28"/>
                <w:lang w:val="en-US" w:eastAsia="zh-CN" w:bidi="ar"/>
              </w:rPr>
            </w:pPr>
            <w:r>
              <w:rPr>
                <w:rFonts w:hint="eastAsia" w:cs="宋体"/>
                <w:bCs/>
                <w:color w:val="auto"/>
                <w:sz w:val="24"/>
                <w:szCs w:val="21"/>
              </w:rPr>
              <w:t>项目名称：</w:t>
            </w:r>
            <w:r>
              <w:rPr>
                <w:rFonts w:hint="eastAsia" w:ascii="Times New Roman" w:hAnsi="Times New Roman" w:eastAsia="宋体" w:cs="宋体"/>
                <w:bCs/>
                <w:color w:val="auto"/>
                <w:sz w:val="24"/>
                <w:szCs w:val="21"/>
                <w:lang w:val="en-US" w:eastAsia="zh-CN"/>
              </w:rPr>
              <w:t>华容县团洲垸灾后重建安置房建设项目</w:t>
            </w:r>
            <w:r>
              <w:rPr>
                <w:rFonts w:hint="eastAsia" w:cs="宋体"/>
                <w:bCs/>
                <w:color w:val="auto"/>
                <w:sz w:val="24"/>
                <w:szCs w:val="21"/>
                <w:lang w:val="en-US" w:eastAsia="zh-CN"/>
              </w:rPr>
              <w:t>（二期）</w:t>
            </w:r>
            <w:r>
              <w:rPr>
                <w:rFonts w:hint="eastAsia" w:cs="宋体"/>
                <w:bCs/>
                <w:color w:val="auto"/>
                <w:sz w:val="24"/>
                <w:szCs w:val="28"/>
                <w:vertAlign w:val="baseli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cs="宋体"/>
                <w:bCs/>
                <w:color w:val="auto"/>
                <w:sz w:val="24"/>
                <w:szCs w:val="21"/>
              </w:rPr>
            </w:pPr>
            <w:r>
              <w:rPr>
                <w:rFonts w:hint="eastAsia" w:cs="宋体"/>
                <w:bCs/>
                <w:color w:val="auto"/>
                <w:sz w:val="24"/>
                <w:szCs w:val="21"/>
              </w:rPr>
              <w:t>建设性质：新建</w:t>
            </w:r>
            <w:r>
              <w:rPr>
                <w:rFonts w:hint="eastAsia" w:cs="宋体"/>
                <w:bCs/>
                <w:color w:val="auto"/>
                <w:sz w:val="24"/>
                <w:szCs w:val="28"/>
                <w:vertAlign w:val="baseli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eastAsia="宋体" w:cs="宋体"/>
                <w:bCs/>
                <w:color w:val="auto"/>
                <w:sz w:val="24"/>
                <w:szCs w:val="21"/>
                <w:lang w:val="en-US" w:eastAsia="zh-CN"/>
              </w:rPr>
            </w:pPr>
            <w:r>
              <w:rPr>
                <w:rFonts w:hint="eastAsia" w:cs="宋体"/>
                <w:bCs/>
                <w:color w:val="auto"/>
                <w:sz w:val="24"/>
                <w:szCs w:val="21"/>
              </w:rPr>
              <w:t>建设</w:t>
            </w:r>
            <w:r>
              <w:rPr>
                <w:rFonts w:hint="eastAsia" w:ascii="Times New Roman" w:hAnsi="Times New Roman" w:eastAsia="宋体" w:cs="宋体"/>
                <w:bCs/>
                <w:color w:val="auto"/>
                <w:sz w:val="24"/>
                <w:szCs w:val="21"/>
              </w:rPr>
              <w:t>单位：</w:t>
            </w:r>
            <w:r>
              <w:rPr>
                <w:rFonts w:hint="eastAsia" w:cs="宋体"/>
                <w:bCs/>
                <w:color w:val="auto"/>
                <w:sz w:val="24"/>
                <w:szCs w:val="21"/>
                <w:lang w:val="en-US" w:eastAsia="zh-CN"/>
              </w:rPr>
              <w:t>华容县城乡建设事务中心</w:t>
            </w:r>
            <w:r>
              <w:rPr>
                <w:rFonts w:hint="eastAsia" w:cs="宋体"/>
                <w:bCs/>
                <w:color w:val="auto"/>
                <w:sz w:val="24"/>
                <w:szCs w:val="28"/>
                <w:vertAlign w:val="baseli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cs="宋体"/>
                <w:bCs/>
                <w:color w:val="auto"/>
                <w:sz w:val="24"/>
                <w:szCs w:val="21"/>
              </w:rPr>
              <w:t>建设地点：</w:t>
            </w:r>
            <w:r>
              <w:rPr>
                <w:rFonts w:hint="eastAsia" w:ascii="Times New Roman" w:hAnsi="Times New Roman" w:eastAsia="宋体" w:cs="宋体"/>
                <w:bCs/>
                <w:color w:val="auto"/>
                <w:sz w:val="24"/>
                <w:szCs w:val="21"/>
                <w:lang w:val="en-US" w:eastAsia="zh-CN"/>
              </w:rPr>
              <w:t>项目建设地点位于华容县团洲安全垸内团洲花园小区</w:t>
            </w:r>
            <w:r>
              <w:rPr>
                <w:rFonts w:hint="eastAsia" w:cs="宋体"/>
                <w:bCs/>
                <w:color w:val="auto"/>
                <w:sz w:val="24"/>
                <w:szCs w:val="21"/>
                <w:lang w:val="en-US" w:eastAsia="zh-CN"/>
              </w:rPr>
              <w:t>东</w:t>
            </w:r>
            <w:r>
              <w:rPr>
                <w:rFonts w:hint="eastAsia" w:ascii="Times New Roman" w:hAnsi="Times New Roman" w:eastAsia="宋体" w:cs="宋体"/>
                <w:bCs/>
                <w:color w:val="auto"/>
                <w:sz w:val="24"/>
                <w:szCs w:val="21"/>
                <w:lang w:val="en-US" w:eastAsia="zh-CN"/>
              </w:rPr>
              <w:t>侧</w:t>
            </w:r>
            <w:r>
              <w:rPr>
                <w:rFonts w:hint="eastAsia" w:cs="宋体"/>
                <w:bCs/>
                <w:color w:val="auto"/>
                <w:sz w:val="24"/>
                <w:szCs w:val="21"/>
                <w:lang w:val="en-US" w:eastAsia="zh-CN"/>
              </w:rPr>
              <w:t>，南电排渠西侧</w:t>
            </w:r>
            <w:r>
              <w:rPr>
                <w:rFonts w:hint="eastAsia" w:cs="宋体"/>
                <w:bCs/>
                <w:color w:val="auto"/>
                <w:sz w:val="24"/>
                <w:szCs w:val="28"/>
                <w:vertAlign w:val="baseli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s="宋体"/>
                <w:bCs/>
                <w:color w:val="auto"/>
                <w:sz w:val="24"/>
                <w:szCs w:val="21"/>
                <w:lang w:eastAsia="zh-CN"/>
              </w:rPr>
            </w:pPr>
            <w:r>
              <w:rPr>
                <w:rFonts w:hint="eastAsia" w:ascii="Times New Roman" w:hAnsi="Times New Roman" w:eastAsia="宋体" w:cs="宋体"/>
                <w:bCs/>
                <w:color w:val="auto"/>
                <w:sz w:val="24"/>
                <w:szCs w:val="21"/>
                <w:lang w:val="en-US" w:eastAsia="zh-CN"/>
              </w:rPr>
              <w:t>中心坐标：</w:t>
            </w:r>
            <w:r>
              <w:rPr>
                <w:rFonts w:hint="eastAsia" w:ascii="Times New Roman" w:hAnsi="Times New Roman" w:cs="宋体"/>
                <w:color w:val="auto"/>
                <w:sz w:val="24"/>
                <w:szCs w:val="21"/>
                <w:highlight w:val="none"/>
                <w:lang w:val="en-US" w:eastAsia="zh-CN"/>
              </w:rPr>
              <w:t>东经 112.</w:t>
            </w:r>
            <w:r>
              <w:rPr>
                <w:rFonts w:hint="eastAsia" w:cs="宋体"/>
                <w:color w:val="auto"/>
                <w:sz w:val="24"/>
                <w:szCs w:val="21"/>
                <w:highlight w:val="none"/>
                <w:lang w:val="en-US" w:eastAsia="zh-CN"/>
              </w:rPr>
              <w:t>798150E</w:t>
            </w:r>
            <w:r>
              <w:rPr>
                <w:rFonts w:hint="eastAsia" w:ascii="Times New Roman" w:hAnsi="Times New Roman" w:cs="宋体"/>
                <w:color w:val="auto"/>
                <w:sz w:val="24"/>
                <w:szCs w:val="21"/>
                <w:highlight w:val="none"/>
                <w:lang w:val="en-US" w:eastAsia="zh-CN"/>
              </w:rPr>
              <w:t>；北纬2</w:t>
            </w:r>
            <w:r>
              <w:rPr>
                <w:rFonts w:hint="eastAsia" w:cs="宋体"/>
                <w:color w:val="auto"/>
                <w:sz w:val="24"/>
                <w:szCs w:val="21"/>
                <w:highlight w:val="none"/>
                <w:lang w:val="en-US" w:eastAsia="zh-CN"/>
              </w:rPr>
              <w:t>9.336444N</w:t>
            </w:r>
            <w:r>
              <w:rPr>
                <w:rFonts w:hint="eastAsia" w:cs="宋体"/>
                <w:bCs/>
                <w:color w:val="auto"/>
                <w:sz w:val="24"/>
                <w:szCs w:val="28"/>
                <w:vertAlign w:val="baseli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1"/>
              </w:rPr>
            </w:pPr>
            <w:r>
              <w:rPr>
                <w:rFonts w:hint="eastAsia" w:cs="宋体"/>
                <w:bCs/>
                <w:color w:val="auto"/>
                <w:sz w:val="24"/>
                <w:szCs w:val="21"/>
              </w:rPr>
              <w:t>项目投资：总投</w:t>
            </w:r>
            <w:r>
              <w:rPr>
                <w:rFonts w:hint="eastAsia" w:cs="宋体"/>
                <w:bCs/>
                <w:color w:val="auto"/>
                <w:sz w:val="24"/>
                <w:szCs w:val="21"/>
                <w:lang w:val="en-US" w:eastAsia="zh-CN"/>
              </w:rPr>
              <w:t>资19995万元，其中环保投资</w:t>
            </w:r>
            <w:r>
              <w:rPr>
                <w:rFonts w:hint="eastAsia" w:cs="宋体"/>
                <w:bCs/>
                <w:color w:val="auto"/>
                <w:sz w:val="24"/>
                <w:szCs w:val="21"/>
                <w:highlight w:val="none"/>
                <w:lang w:val="en-US" w:eastAsia="zh-CN"/>
              </w:rPr>
              <w:t>158万元，占</w:t>
            </w:r>
            <w:r>
              <w:rPr>
                <w:rFonts w:hint="eastAsia" w:cs="宋体"/>
                <w:bCs/>
                <w:color w:val="auto"/>
                <w:sz w:val="24"/>
                <w:szCs w:val="21"/>
                <w:lang w:val="en-US" w:eastAsia="zh-CN"/>
              </w:rPr>
              <w:t>总投资的0.79%，本项目的资金来源由县财政整合相关救灾补助资金、危房改造项目资金、社会捐赠资金和受灾群众部分自筹组成</w:t>
            </w:r>
            <w:r>
              <w:rPr>
                <w:rFonts w:hint="eastAsia" w:cs="宋体"/>
                <w:bCs/>
                <w:color w:val="auto"/>
                <w:sz w:val="24"/>
                <w:szCs w:val="28"/>
                <w:vertAlign w:val="baseli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cs="宋体"/>
                <w:bCs/>
                <w:color w:val="auto"/>
                <w:sz w:val="24"/>
                <w:szCs w:val="21"/>
              </w:rPr>
            </w:pPr>
            <w:r>
              <w:rPr>
                <w:rFonts w:hint="eastAsia" w:cs="宋体"/>
                <w:bCs/>
                <w:color w:val="auto"/>
                <w:sz w:val="24"/>
                <w:szCs w:val="21"/>
              </w:rPr>
              <w:t>占地面积：约</w:t>
            </w:r>
            <w:r>
              <w:rPr>
                <w:rFonts w:hint="eastAsia" w:cs="宋体"/>
                <w:bCs/>
                <w:color w:val="auto"/>
                <w:sz w:val="24"/>
                <w:szCs w:val="21"/>
                <w:lang w:val="en-US" w:eastAsia="zh-CN"/>
              </w:rPr>
              <w:t>57672</w:t>
            </w:r>
            <w:r>
              <w:rPr>
                <w:rFonts w:hint="eastAsia" w:cs="宋体"/>
                <w:bCs/>
                <w:color w:val="auto"/>
                <w:sz w:val="24"/>
                <w:szCs w:val="21"/>
              </w:rPr>
              <w:t>m</w:t>
            </w:r>
            <w:r>
              <w:rPr>
                <w:rFonts w:hint="eastAsia" w:cs="宋体"/>
                <w:bCs/>
                <w:color w:val="auto"/>
                <w:sz w:val="24"/>
                <w:szCs w:val="28"/>
                <w:vertAlign w:val="superscript"/>
              </w:rPr>
              <w:t>2</w:t>
            </w:r>
            <w:r>
              <w:rPr>
                <w:rFonts w:hint="eastAsia" w:cs="宋体"/>
                <w:bCs/>
                <w:color w:val="auto"/>
                <w:sz w:val="24"/>
                <w:szCs w:val="21"/>
              </w:rPr>
              <w:t>，总建筑面积约</w:t>
            </w:r>
            <w:r>
              <w:rPr>
                <w:rFonts w:hint="eastAsia" w:cs="宋体"/>
                <w:bCs/>
                <w:color w:val="auto"/>
                <w:sz w:val="24"/>
                <w:szCs w:val="21"/>
                <w:lang w:val="en-US" w:eastAsia="zh-CN"/>
              </w:rPr>
              <w:t>79862.49</w:t>
            </w:r>
            <w:r>
              <w:rPr>
                <w:rFonts w:hint="eastAsia" w:cs="宋体"/>
                <w:bCs/>
                <w:color w:val="auto"/>
                <w:sz w:val="24"/>
                <w:szCs w:val="21"/>
              </w:rPr>
              <w:t>m</w:t>
            </w:r>
            <w:r>
              <w:rPr>
                <w:rFonts w:hint="eastAsia" w:cs="宋体"/>
                <w:bCs/>
                <w:color w:val="auto"/>
                <w:sz w:val="24"/>
                <w:szCs w:val="28"/>
                <w:vertAlign w:val="superscript"/>
              </w:rPr>
              <w:t>2</w:t>
            </w:r>
            <w:r>
              <w:rPr>
                <w:rFonts w:hint="eastAsia" w:cs="宋体"/>
                <w:bCs/>
                <w:color w:val="auto"/>
                <w:sz w:val="24"/>
                <w:szCs w:val="28"/>
                <w:vertAlign w:val="baseline"/>
                <w:lang w:eastAsia="zh-CN"/>
              </w:rPr>
              <w:t>。</w:t>
            </w:r>
          </w:p>
          <w:p>
            <w:pPr>
              <w:adjustRightInd w:val="0"/>
              <w:snapToGrid w:val="0"/>
              <w:spacing w:line="360" w:lineRule="auto"/>
              <w:ind w:firstLine="482" w:firstLineChars="200"/>
              <w:jc w:val="left"/>
              <w:rPr>
                <w:rFonts w:cs="宋体"/>
                <w:b/>
                <w:color w:val="auto"/>
                <w:sz w:val="24"/>
                <w:szCs w:val="21"/>
              </w:rPr>
            </w:pPr>
            <w:r>
              <w:rPr>
                <w:rFonts w:hint="eastAsia" w:cs="宋体"/>
                <w:b/>
                <w:color w:val="auto"/>
                <w:sz w:val="24"/>
                <w:szCs w:val="21"/>
                <w:lang w:val="en-US" w:eastAsia="zh-CN"/>
              </w:rPr>
              <w:t>2.2</w:t>
            </w:r>
            <w:r>
              <w:rPr>
                <w:rFonts w:hint="eastAsia" w:cs="宋体"/>
                <w:b/>
                <w:color w:val="auto"/>
                <w:sz w:val="24"/>
                <w:szCs w:val="21"/>
              </w:rPr>
              <w:t>项目主要建设内容</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cs="宋体"/>
                <w:bCs/>
                <w:color w:val="auto"/>
                <w:sz w:val="24"/>
                <w:szCs w:val="21"/>
                <w:lang w:val="en-US" w:eastAsia="zh-CN"/>
              </w:rPr>
              <w:t>本项目二期规划住宅用地面积 57672平方米，新建22栋1+6F电梯住宅楼，3个门卫室，总建筑面积为79862.49平方米，容积率1.35，建筑密度 19.41%，绿地率20.10%，停车位508个。总户数636户，其中70户型120套，105户型336套，140户型180套。红线外临时施工道路三条，总长810 米，宽11米。住宅楼均为坡屋面，建筑外立面为徽派建筑，外墙面为真石漆，建筑结构类型为砖混结构，并配套建设绿化、消防、给排水、供配电等基础设施</w:t>
            </w:r>
            <w:r>
              <w:rPr>
                <w:rFonts w:hint="eastAsia" w:ascii="Times New Roman" w:hAnsi="Times New Roman" w:eastAsia="宋体" w:cs="宋体"/>
                <w:bCs/>
                <w:color w:val="auto"/>
                <w:sz w:val="24"/>
                <w:szCs w:val="21"/>
                <w:lang w:val="en-US" w:eastAsia="zh-CN"/>
              </w:rPr>
              <w:t>。</w:t>
            </w:r>
          </w:p>
          <w:p>
            <w:pPr>
              <w:adjustRightInd w:val="0"/>
              <w:snapToGrid w:val="0"/>
              <w:ind w:firstLine="482" w:firstLineChars="200"/>
              <w:jc w:val="center"/>
              <w:rPr>
                <w:b/>
                <w:color w:val="auto"/>
                <w:sz w:val="24"/>
                <w:szCs w:val="21"/>
              </w:rPr>
            </w:pPr>
            <w:r>
              <w:rPr>
                <w:b/>
                <w:color w:val="auto"/>
                <w:sz w:val="24"/>
                <w:szCs w:val="21"/>
              </w:rPr>
              <w:t>表</w:t>
            </w:r>
            <w:r>
              <w:rPr>
                <w:rFonts w:hint="eastAsia"/>
                <w:b/>
                <w:color w:val="auto"/>
                <w:sz w:val="24"/>
                <w:szCs w:val="21"/>
              </w:rPr>
              <w:t xml:space="preserve">2-1  </w:t>
            </w:r>
            <w:r>
              <w:rPr>
                <w:b/>
                <w:color w:val="auto"/>
                <w:sz w:val="24"/>
                <w:szCs w:val="21"/>
              </w:rPr>
              <w:t>项目主要建设内容一览表</w:t>
            </w:r>
          </w:p>
          <w:tbl>
            <w:tblPr>
              <w:tblStyle w:val="2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68"/>
              <w:gridCol w:w="1937"/>
              <w:gridCol w:w="49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tcBorders>
                    <w:tl2br w:val="nil"/>
                    <w:tr2bl w:val="nil"/>
                  </w:tcBorders>
                  <w:shd w:val="clear" w:color="auto" w:fill="auto"/>
                  <w:vAlign w:val="center"/>
                </w:tcPr>
                <w:p>
                  <w:pPr>
                    <w:pStyle w:val="50"/>
                    <w:spacing w:before="0" w:beforeLines="0" w:after="0" w:afterLines="0"/>
                    <w:rPr>
                      <w:color w:val="auto"/>
                      <w:sz w:val="21"/>
                      <w:szCs w:val="18"/>
                    </w:rPr>
                  </w:pPr>
                  <w:r>
                    <w:rPr>
                      <w:color w:val="auto"/>
                      <w:sz w:val="21"/>
                      <w:szCs w:val="18"/>
                    </w:rPr>
                    <w:t>工程</w:t>
                  </w:r>
                </w:p>
              </w:tc>
              <w:tc>
                <w:tcPr>
                  <w:tcW w:w="1937" w:type="dxa"/>
                  <w:tcBorders>
                    <w:tl2br w:val="nil"/>
                    <w:tr2bl w:val="nil"/>
                  </w:tcBorders>
                  <w:shd w:val="clear" w:color="auto" w:fill="auto"/>
                  <w:vAlign w:val="center"/>
                </w:tcPr>
                <w:p>
                  <w:pPr>
                    <w:pStyle w:val="50"/>
                    <w:spacing w:before="0" w:beforeLines="0" w:after="0" w:afterLines="0"/>
                    <w:rPr>
                      <w:color w:val="auto"/>
                      <w:sz w:val="21"/>
                      <w:szCs w:val="18"/>
                    </w:rPr>
                  </w:pPr>
                  <w:r>
                    <w:rPr>
                      <w:color w:val="auto"/>
                      <w:sz w:val="21"/>
                      <w:szCs w:val="18"/>
                    </w:rPr>
                    <w:t>内容</w:t>
                  </w:r>
                </w:p>
              </w:tc>
              <w:tc>
                <w:tcPr>
                  <w:tcW w:w="4910" w:type="dxa"/>
                  <w:tcBorders>
                    <w:tl2br w:val="nil"/>
                    <w:tr2bl w:val="nil"/>
                  </w:tcBorders>
                  <w:shd w:val="clear" w:color="auto" w:fill="auto"/>
                  <w:vAlign w:val="center"/>
                </w:tcPr>
                <w:p>
                  <w:pPr>
                    <w:pStyle w:val="50"/>
                    <w:spacing w:before="0" w:beforeLines="0" w:after="0" w:afterLines="0"/>
                    <w:rPr>
                      <w:color w:val="auto"/>
                      <w:sz w:val="21"/>
                      <w:szCs w:val="18"/>
                    </w:rPr>
                  </w:pPr>
                  <w:r>
                    <w:rPr>
                      <w:color w:val="auto"/>
                      <w:sz w:val="21"/>
                      <w:szCs w:val="18"/>
                    </w:rPr>
                    <w:t>规模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tcBorders>
                    <w:tl2br w:val="nil"/>
                    <w:tr2bl w:val="nil"/>
                  </w:tcBorders>
                  <w:vAlign w:val="center"/>
                </w:tcPr>
                <w:p>
                  <w:pPr>
                    <w:pStyle w:val="50"/>
                    <w:spacing w:before="0" w:beforeLines="0" w:after="0" w:afterLines="0"/>
                    <w:rPr>
                      <w:b w:val="0"/>
                      <w:bCs/>
                      <w:color w:val="auto"/>
                      <w:sz w:val="21"/>
                      <w:szCs w:val="18"/>
                    </w:rPr>
                  </w:pPr>
                  <w:r>
                    <w:rPr>
                      <w:b w:val="0"/>
                      <w:bCs/>
                      <w:color w:val="auto"/>
                      <w:sz w:val="21"/>
                      <w:szCs w:val="18"/>
                    </w:rPr>
                    <w:t>主体工程</w:t>
                  </w:r>
                </w:p>
              </w:tc>
              <w:tc>
                <w:tcPr>
                  <w:tcW w:w="1937" w:type="dxa"/>
                  <w:tcBorders>
                    <w:tl2br w:val="nil"/>
                    <w:tr2bl w:val="nil"/>
                  </w:tcBorders>
                  <w:vAlign w:val="center"/>
                </w:tcPr>
                <w:p>
                  <w:pPr>
                    <w:pStyle w:val="50"/>
                    <w:spacing w:before="0" w:beforeLines="0" w:after="0" w:afterLines="0"/>
                    <w:rPr>
                      <w:rFonts w:hint="default" w:eastAsia="宋体"/>
                      <w:b w:val="0"/>
                      <w:bCs/>
                      <w:color w:val="auto"/>
                      <w:sz w:val="21"/>
                      <w:szCs w:val="18"/>
                      <w:lang w:val="en-US" w:eastAsia="zh-CN"/>
                    </w:rPr>
                  </w:pPr>
                  <w:r>
                    <w:rPr>
                      <w:rFonts w:hint="eastAsia"/>
                      <w:b w:val="0"/>
                      <w:bCs/>
                      <w:color w:val="auto"/>
                      <w:sz w:val="21"/>
                      <w:szCs w:val="18"/>
                      <w:lang w:val="en-US" w:eastAsia="zh-CN"/>
                    </w:rPr>
                    <w:t>安置楼房</w:t>
                  </w:r>
                </w:p>
              </w:tc>
              <w:tc>
                <w:tcPr>
                  <w:tcW w:w="4910" w:type="dxa"/>
                  <w:tcBorders>
                    <w:tl2br w:val="nil"/>
                    <w:tr2bl w:val="nil"/>
                  </w:tcBorders>
                  <w:vAlign w:val="center"/>
                </w:tcPr>
                <w:p>
                  <w:pPr>
                    <w:jc w:val="center"/>
                    <w:rPr>
                      <w:rFonts w:hint="default" w:ascii="Times New Roman" w:hAnsi="Times New Roman" w:eastAsia="宋体" w:cs="Times New Roman"/>
                      <w:bCs/>
                      <w:color w:val="auto"/>
                      <w:sz w:val="21"/>
                      <w:szCs w:val="18"/>
                      <w:lang w:val="en-US" w:eastAsia="zh-CN"/>
                    </w:rPr>
                  </w:pPr>
                  <w:r>
                    <w:rPr>
                      <w:rFonts w:hint="eastAsia" w:ascii="Times New Roman" w:hAnsi="Times New Roman" w:eastAsia="宋体" w:cs="Times New Roman"/>
                      <w:bCs/>
                      <w:color w:val="auto"/>
                      <w:sz w:val="21"/>
                      <w:szCs w:val="18"/>
                      <w:lang w:val="en-US" w:eastAsia="zh-CN"/>
                    </w:rPr>
                    <w:t>1-</w:t>
                  </w:r>
                  <w:r>
                    <w:rPr>
                      <w:rFonts w:hint="eastAsia" w:cs="Times New Roman"/>
                      <w:bCs/>
                      <w:color w:val="auto"/>
                      <w:sz w:val="21"/>
                      <w:szCs w:val="18"/>
                      <w:lang w:val="en-US" w:eastAsia="zh-CN"/>
                    </w:rPr>
                    <w:t>22</w:t>
                  </w:r>
                  <w:r>
                    <w:rPr>
                      <w:rFonts w:hint="eastAsia" w:ascii="Times New Roman" w:hAnsi="Times New Roman" w:eastAsia="宋体" w:cs="Times New Roman"/>
                      <w:bCs/>
                      <w:color w:val="auto"/>
                      <w:sz w:val="21"/>
                      <w:szCs w:val="18"/>
                      <w:lang w:val="en-US" w:eastAsia="zh-CN"/>
                    </w:rPr>
                    <w:t>#栋1+6F电梯住宅楼，</w:t>
                  </w:r>
                  <w:r>
                    <w:rPr>
                      <w:rFonts w:hint="eastAsia" w:ascii="Times New Roman" w:hAnsi="Times New Roman" w:eastAsia="宋体" w:cs="Times New Roman"/>
                      <w:bCs/>
                      <w:color w:val="auto"/>
                      <w:sz w:val="21"/>
                      <w:szCs w:val="18"/>
                      <w:highlight w:val="none"/>
                      <w:lang w:val="en-US" w:eastAsia="zh-CN"/>
                    </w:rPr>
                    <w:t>总建筑面积</w:t>
                  </w:r>
                  <w:r>
                    <w:rPr>
                      <w:rFonts w:hint="eastAsia" w:cs="Times New Roman"/>
                      <w:bCs/>
                      <w:color w:val="auto"/>
                      <w:sz w:val="21"/>
                      <w:szCs w:val="18"/>
                      <w:highlight w:val="none"/>
                      <w:lang w:val="en-US" w:eastAsia="zh-CN"/>
                    </w:rPr>
                    <w:t>77162.52</w:t>
                  </w:r>
                  <w:r>
                    <w:rPr>
                      <w:rFonts w:hint="eastAsia" w:ascii="Times New Roman" w:hAnsi="Times New Roman" w:eastAsia="宋体" w:cs="Times New Roman"/>
                      <w:bCs/>
                      <w:color w:val="auto"/>
                      <w:sz w:val="21"/>
                      <w:szCs w:val="18"/>
                      <w:highlight w:val="none"/>
                    </w:rPr>
                    <w:t>m</w:t>
                  </w:r>
                  <w:r>
                    <w:rPr>
                      <w:rFonts w:hint="eastAsia" w:ascii="Times New Roman" w:hAnsi="Times New Roman" w:eastAsia="宋体" w:cs="Times New Roman"/>
                      <w:bCs/>
                      <w:color w:val="auto"/>
                      <w:sz w:val="21"/>
                      <w:szCs w:val="18"/>
                      <w:highlight w:val="none"/>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restart"/>
                  <w:tcBorders>
                    <w:tl2br w:val="nil"/>
                    <w:tr2bl w:val="nil"/>
                  </w:tcBorders>
                  <w:vAlign w:val="center"/>
                </w:tcPr>
                <w:p>
                  <w:pPr>
                    <w:pStyle w:val="50"/>
                    <w:spacing w:before="0" w:beforeLines="0" w:after="0" w:afterLines="0"/>
                    <w:rPr>
                      <w:b w:val="0"/>
                      <w:bCs/>
                      <w:color w:val="auto"/>
                      <w:sz w:val="21"/>
                      <w:szCs w:val="18"/>
                    </w:rPr>
                  </w:pPr>
                  <w:r>
                    <w:rPr>
                      <w:b w:val="0"/>
                      <w:bCs/>
                      <w:color w:val="auto"/>
                      <w:sz w:val="21"/>
                      <w:szCs w:val="18"/>
                    </w:rPr>
                    <w:t>辅助工程</w:t>
                  </w:r>
                </w:p>
              </w:tc>
              <w:tc>
                <w:tcPr>
                  <w:tcW w:w="1937" w:type="dxa"/>
                  <w:tcBorders>
                    <w:tl2br w:val="nil"/>
                    <w:tr2bl w:val="nil"/>
                  </w:tcBorders>
                  <w:vAlign w:val="center"/>
                </w:tcPr>
                <w:p>
                  <w:pPr>
                    <w:pStyle w:val="50"/>
                    <w:spacing w:before="0" w:beforeLines="0" w:after="0" w:afterLines="0"/>
                    <w:rPr>
                      <w:rFonts w:hint="default" w:eastAsia="宋体"/>
                      <w:b w:val="0"/>
                      <w:bCs/>
                      <w:color w:val="auto"/>
                      <w:sz w:val="21"/>
                      <w:szCs w:val="18"/>
                      <w:lang w:val="en-US" w:eastAsia="zh-CN"/>
                    </w:rPr>
                  </w:pPr>
                  <w:r>
                    <w:rPr>
                      <w:rFonts w:hint="eastAsia"/>
                      <w:b w:val="0"/>
                      <w:bCs/>
                      <w:color w:val="auto"/>
                      <w:sz w:val="21"/>
                      <w:szCs w:val="18"/>
                      <w:lang w:val="en-US" w:eastAsia="zh-CN"/>
                    </w:rPr>
                    <w:t>设备房</w:t>
                  </w:r>
                </w:p>
              </w:tc>
              <w:tc>
                <w:tcPr>
                  <w:tcW w:w="4910" w:type="dxa"/>
                  <w:tcBorders>
                    <w:tl2br w:val="nil"/>
                    <w:tr2bl w:val="nil"/>
                  </w:tcBorders>
                  <w:vAlign w:val="center"/>
                </w:tcPr>
                <w:p>
                  <w:pPr>
                    <w:jc w:val="center"/>
                    <w:rPr>
                      <w:rFonts w:hint="default" w:ascii="Times New Roman" w:hAnsi="Times New Roman" w:eastAsia="宋体" w:cs="Times New Roman"/>
                      <w:bCs/>
                      <w:color w:val="auto"/>
                      <w:sz w:val="21"/>
                      <w:szCs w:val="18"/>
                      <w:lang w:val="en-US" w:eastAsia="zh-CN"/>
                    </w:rPr>
                  </w:pPr>
                  <w:r>
                    <w:rPr>
                      <w:rFonts w:hint="eastAsia" w:cs="Times New Roman"/>
                      <w:bCs/>
                      <w:color w:val="auto"/>
                      <w:sz w:val="21"/>
                      <w:szCs w:val="18"/>
                      <w:lang w:val="en-US" w:eastAsia="zh-CN"/>
                    </w:rPr>
                    <w:t>主要为配电间用房，</w:t>
                  </w:r>
                  <w:r>
                    <w:rPr>
                      <w:rFonts w:hint="eastAsia" w:ascii="Times New Roman" w:hAnsi="Times New Roman" w:eastAsia="宋体" w:cs="Times New Roman"/>
                      <w:bCs/>
                      <w:color w:val="auto"/>
                      <w:sz w:val="21"/>
                      <w:szCs w:val="18"/>
                      <w:lang w:val="en-US" w:eastAsia="zh-CN"/>
                    </w:rPr>
                    <w:t>建筑</w:t>
                  </w:r>
                  <w:r>
                    <w:rPr>
                      <w:rFonts w:hint="eastAsia" w:cs="Times New Roman"/>
                      <w:bCs/>
                      <w:color w:val="auto"/>
                      <w:sz w:val="21"/>
                      <w:szCs w:val="18"/>
                      <w:lang w:val="en-US" w:eastAsia="zh-CN"/>
                    </w:rPr>
                    <w:t>面积30</w:t>
                  </w:r>
                  <w:r>
                    <w:rPr>
                      <w:rFonts w:hint="eastAsia" w:ascii="Times New Roman" w:hAnsi="Times New Roman" w:eastAsia="宋体" w:cs="Times New Roman"/>
                      <w:bCs/>
                      <w:color w:val="auto"/>
                      <w:sz w:val="21"/>
                      <w:szCs w:val="18"/>
                      <w:lang w:val="en-US" w:eastAsia="zh-CN"/>
                    </w:rPr>
                    <w:t>0</w:t>
                  </w:r>
                  <w:r>
                    <w:rPr>
                      <w:rFonts w:hint="eastAsia" w:ascii="Times New Roman" w:hAnsi="Times New Roman" w:eastAsia="宋体" w:cs="Times New Roman"/>
                      <w:bCs/>
                      <w:color w:val="auto"/>
                      <w:sz w:val="21"/>
                      <w:szCs w:val="18"/>
                    </w:rPr>
                    <w:t>m</w:t>
                  </w:r>
                  <w:r>
                    <w:rPr>
                      <w:rFonts w:hint="eastAsia" w:ascii="Times New Roman" w:hAnsi="Times New Roman" w:eastAsia="宋体" w:cs="Times New Roman"/>
                      <w:bCs/>
                      <w:color w:val="auto"/>
                      <w:sz w:val="21"/>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continue"/>
                  <w:tcBorders>
                    <w:tl2br w:val="nil"/>
                    <w:tr2bl w:val="nil"/>
                  </w:tcBorders>
                  <w:vAlign w:val="center"/>
                </w:tcPr>
                <w:p>
                  <w:pPr>
                    <w:pStyle w:val="50"/>
                    <w:spacing w:before="0" w:beforeLines="0" w:after="0" w:afterLines="0"/>
                    <w:rPr>
                      <w:b w:val="0"/>
                      <w:bCs/>
                      <w:color w:val="auto"/>
                      <w:sz w:val="21"/>
                      <w:szCs w:val="18"/>
                    </w:rPr>
                  </w:pPr>
                </w:p>
              </w:tc>
              <w:tc>
                <w:tcPr>
                  <w:tcW w:w="1937" w:type="dxa"/>
                  <w:tcBorders>
                    <w:tl2br w:val="nil"/>
                    <w:tr2bl w:val="nil"/>
                  </w:tcBorders>
                  <w:vAlign w:val="center"/>
                </w:tcPr>
                <w:p>
                  <w:pPr>
                    <w:pStyle w:val="50"/>
                    <w:spacing w:before="0" w:beforeLines="0" w:after="0" w:afterLines="0"/>
                    <w:rPr>
                      <w:rFonts w:hint="default" w:eastAsia="宋体"/>
                      <w:b w:val="0"/>
                      <w:bCs/>
                      <w:color w:val="auto"/>
                      <w:sz w:val="21"/>
                      <w:szCs w:val="18"/>
                      <w:lang w:val="en-US" w:eastAsia="zh-CN"/>
                    </w:rPr>
                  </w:pPr>
                  <w:r>
                    <w:rPr>
                      <w:rFonts w:hint="eastAsia"/>
                      <w:b w:val="0"/>
                      <w:bCs/>
                      <w:color w:val="auto"/>
                      <w:sz w:val="21"/>
                      <w:szCs w:val="18"/>
                      <w:lang w:val="en-US" w:eastAsia="zh-CN"/>
                    </w:rPr>
                    <w:t>物业用房寄门卫室</w:t>
                  </w:r>
                </w:p>
              </w:tc>
              <w:tc>
                <w:tcPr>
                  <w:tcW w:w="4910" w:type="dxa"/>
                  <w:tcBorders>
                    <w:tl2br w:val="nil"/>
                    <w:tr2bl w:val="nil"/>
                  </w:tcBorders>
                  <w:vAlign w:val="center"/>
                </w:tcPr>
                <w:p>
                  <w:pPr>
                    <w:jc w:val="center"/>
                    <w:rPr>
                      <w:rFonts w:hint="default" w:ascii="Times New Roman" w:hAnsi="Times New Roman" w:eastAsia="宋体" w:cs="Times New Roman"/>
                      <w:bCs/>
                      <w:color w:val="auto"/>
                      <w:sz w:val="21"/>
                      <w:szCs w:val="18"/>
                      <w:lang w:val="en-US"/>
                    </w:rPr>
                  </w:pPr>
                  <w:r>
                    <w:rPr>
                      <w:rFonts w:hint="eastAsia" w:cs="Times New Roman"/>
                      <w:bCs/>
                      <w:color w:val="auto"/>
                      <w:sz w:val="21"/>
                      <w:szCs w:val="18"/>
                      <w:lang w:val="en-US" w:eastAsia="zh-CN"/>
                    </w:rPr>
                    <w:t>物业用房，</w:t>
                  </w:r>
                  <w:r>
                    <w:rPr>
                      <w:rFonts w:hint="eastAsia" w:ascii="Times New Roman" w:hAnsi="Times New Roman" w:eastAsia="宋体" w:cs="Times New Roman"/>
                      <w:bCs/>
                      <w:color w:val="auto"/>
                      <w:sz w:val="21"/>
                      <w:szCs w:val="18"/>
                      <w:lang w:val="en-US" w:eastAsia="zh-CN"/>
                    </w:rPr>
                    <w:t>建筑</w:t>
                  </w:r>
                  <w:r>
                    <w:rPr>
                      <w:rFonts w:hint="eastAsia" w:cs="Times New Roman"/>
                      <w:bCs/>
                      <w:color w:val="auto"/>
                      <w:sz w:val="21"/>
                      <w:szCs w:val="18"/>
                      <w:lang w:val="en-US" w:eastAsia="zh-CN"/>
                    </w:rPr>
                    <w:t>面积300</w:t>
                  </w:r>
                  <w:r>
                    <w:rPr>
                      <w:rFonts w:hint="eastAsia" w:ascii="Times New Roman" w:hAnsi="Times New Roman" w:eastAsia="宋体" w:cs="Times New Roman"/>
                      <w:bCs/>
                      <w:color w:val="auto"/>
                      <w:sz w:val="21"/>
                      <w:szCs w:val="18"/>
                    </w:rPr>
                    <w:t>m</w:t>
                  </w:r>
                  <w:r>
                    <w:rPr>
                      <w:rFonts w:hint="eastAsia" w:ascii="Times New Roman" w:hAnsi="Times New Roman" w:eastAsia="宋体" w:cs="Times New Roman"/>
                      <w:bCs/>
                      <w:color w:val="auto"/>
                      <w:sz w:val="21"/>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restart"/>
                  <w:tcBorders>
                    <w:tl2br w:val="nil"/>
                    <w:tr2bl w:val="nil"/>
                  </w:tcBorders>
                  <w:vAlign w:val="center"/>
                </w:tcPr>
                <w:p>
                  <w:pPr>
                    <w:pStyle w:val="50"/>
                    <w:spacing w:before="0" w:beforeLines="0" w:after="0" w:afterLines="0"/>
                    <w:rPr>
                      <w:b w:val="0"/>
                      <w:bCs/>
                      <w:color w:val="auto"/>
                      <w:sz w:val="21"/>
                      <w:szCs w:val="18"/>
                    </w:rPr>
                  </w:pPr>
                  <w:r>
                    <w:rPr>
                      <w:b w:val="0"/>
                      <w:bCs/>
                      <w:color w:val="auto"/>
                      <w:sz w:val="21"/>
                      <w:szCs w:val="18"/>
                    </w:rPr>
                    <w:t>公用工程</w:t>
                  </w:r>
                </w:p>
              </w:tc>
              <w:tc>
                <w:tcPr>
                  <w:tcW w:w="1937" w:type="dxa"/>
                  <w:tcBorders>
                    <w:tl2br w:val="nil"/>
                    <w:tr2bl w:val="nil"/>
                  </w:tcBorders>
                  <w:vAlign w:val="center"/>
                </w:tcPr>
                <w:p>
                  <w:pPr>
                    <w:pStyle w:val="50"/>
                    <w:spacing w:before="0" w:beforeLines="0" w:after="0" w:afterLines="0"/>
                    <w:rPr>
                      <w:b w:val="0"/>
                      <w:bCs/>
                      <w:color w:val="auto"/>
                      <w:sz w:val="21"/>
                      <w:szCs w:val="18"/>
                    </w:rPr>
                  </w:pPr>
                  <w:r>
                    <w:rPr>
                      <w:b w:val="0"/>
                      <w:bCs/>
                      <w:color w:val="auto"/>
                      <w:sz w:val="21"/>
                      <w:szCs w:val="18"/>
                    </w:rPr>
                    <w:t>供水</w:t>
                  </w:r>
                </w:p>
              </w:tc>
              <w:tc>
                <w:tcPr>
                  <w:tcW w:w="4910" w:type="dxa"/>
                  <w:tcBorders>
                    <w:tl2br w:val="nil"/>
                    <w:tr2bl w:val="nil"/>
                  </w:tcBorders>
                  <w:vAlign w:val="center"/>
                </w:tcPr>
                <w:p>
                  <w:pPr>
                    <w:jc w:val="center"/>
                    <w:rPr>
                      <w:rFonts w:hint="eastAsia" w:ascii="Times New Roman" w:hAnsi="Times New Roman" w:eastAsia="宋体" w:cs="Times New Roman"/>
                      <w:bCs/>
                      <w:color w:val="auto"/>
                      <w:sz w:val="21"/>
                      <w:szCs w:val="18"/>
                      <w:lang w:val="en-US" w:eastAsia="zh-CN"/>
                    </w:rPr>
                  </w:pPr>
                  <w:r>
                    <w:rPr>
                      <w:rFonts w:hint="eastAsia" w:ascii="Times New Roman" w:hAnsi="Times New Roman" w:eastAsia="宋体" w:cs="Times New Roman"/>
                      <w:bCs/>
                      <w:color w:val="auto"/>
                      <w:sz w:val="21"/>
                      <w:szCs w:val="18"/>
                      <w:lang w:val="en-US" w:eastAsia="zh-CN"/>
                    </w:rPr>
                    <w:t>市政自来水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continue"/>
                  <w:tcBorders>
                    <w:tl2br w:val="nil"/>
                    <w:tr2bl w:val="nil"/>
                  </w:tcBorders>
                  <w:vAlign w:val="center"/>
                </w:tcPr>
                <w:p>
                  <w:pPr>
                    <w:pStyle w:val="50"/>
                    <w:spacing w:before="0" w:beforeLines="0" w:after="0" w:afterLines="0"/>
                    <w:rPr>
                      <w:b w:val="0"/>
                      <w:bCs/>
                      <w:color w:val="auto"/>
                      <w:sz w:val="21"/>
                      <w:szCs w:val="18"/>
                    </w:rPr>
                  </w:pPr>
                </w:p>
              </w:tc>
              <w:tc>
                <w:tcPr>
                  <w:tcW w:w="1937" w:type="dxa"/>
                  <w:tcBorders>
                    <w:tl2br w:val="nil"/>
                    <w:tr2bl w:val="nil"/>
                  </w:tcBorders>
                  <w:vAlign w:val="center"/>
                </w:tcPr>
                <w:p>
                  <w:pPr>
                    <w:pStyle w:val="50"/>
                    <w:spacing w:before="0" w:beforeLines="0" w:after="0" w:afterLines="0"/>
                    <w:rPr>
                      <w:b w:val="0"/>
                      <w:bCs/>
                      <w:color w:val="auto"/>
                      <w:sz w:val="21"/>
                      <w:szCs w:val="18"/>
                    </w:rPr>
                  </w:pPr>
                  <w:r>
                    <w:rPr>
                      <w:b w:val="0"/>
                      <w:bCs/>
                      <w:color w:val="auto"/>
                      <w:sz w:val="21"/>
                      <w:szCs w:val="18"/>
                    </w:rPr>
                    <w:t>排水</w:t>
                  </w:r>
                </w:p>
              </w:tc>
              <w:tc>
                <w:tcPr>
                  <w:tcW w:w="4910" w:type="dxa"/>
                  <w:tcBorders>
                    <w:tl2br w:val="nil"/>
                    <w:tr2bl w:val="nil"/>
                  </w:tcBorders>
                  <w:vAlign w:val="center"/>
                </w:tcPr>
                <w:p>
                  <w:pPr>
                    <w:jc w:val="center"/>
                    <w:rPr>
                      <w:rFonts w:hint="default" w:ascii="Times New Roman" w:hAnsi="Times New Roman" w:eastAsia="宋体" w:cs="Times New Roman"/>
                      <w:bCs/>
                      <w:color w:val="auto"/>
                      <w:sz w:val="21"/>
                      <w:szCs w:val="18"/>
                      <w:lang w:val="en-US" w:eastAsia="zh-CN"/>
                    </w:rPr>
                  </w:pPr>
                  <w:r>
                    <w:rPr>
                      <w:rFonts w:hint="eastAsia" w:ascii="Times New Roman" w:hAnsi="Times New Roman" w:eastAsia="宋体" w:cs="Times New Roman"/>
                      <w:bCs/>
                      <w:color w:val="auto"/>
                      <w:sz w:val="21"/>
                      <w:szCs w:val="18"/>
                      <w:lang w:val="en-US" w:eastAsia="zh-CN"/>
                    </w:rPr>
                    <w:t>生活污水经收集后进入化粪池处理，处理达标后进入市政污水管网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continue"/>
                  <w:tcBorders>
                    <w:tl2br w:val="nil"/>
                    <w:tr2bl w:val="nil"/>
                  </w:tcBorders>
                  <w:vAlign w:val="center"/>
                </w:tcPr>
                <w:p>
                  <w:pPr>
                    <w:pStyle w:val="50"/>
                    <w:spacing w:before="0" w:beforeLines="0" w:after="0" w:afterLines="0"/>
                    <w:rPr>
                      <w:b w:val="0"/>
                      <w:bCs/>
                      <w:color w:val="auto"/>
                      <w:sz w:val="21"/>
                      <w:szCs w:val="18"/>
                    </w:rPr>
                  </w:pPr>
                </w:p>
              </w:tc>
              <w:tc>
                <w:tcPr>
                  <w:tcW w:w="1937" w:type="dxa"/>
                  <w:tcBorders>
                    <w:tl2br w:val="nil"/>
                    <w:tr2bl w:val="nil"/>
                  </w:tcBorders>
                  <w:vAlign w:val="center"/>
                </w:tcPr>
                <w:p>
                  <w:pPr>
                    <w:pStyle w:val="50"/>
                    <w:spacing w:before="0" w:beforeLines="0" w:after="0" w:afterLines="0"/>
                    <w:rPr>
                      <w:b w:val="0"/>
                      <w:bCs/>
                      <w:color w:val="auto"/>
                      <w:sz w:val="21"/>
                      <w:szCs w:val="18"/>
                    </w:rPr>
                  </w:pPr>
                  <w:r>
                    <w:rPr>
                      <w:b w:val="0"/>
                      <w:bCs/>
                      <w:color w:val="auto"/>
                      <w:sz w:val="21"/>
                      <w:szCs w:val="18"/>
                    </w:rPr>
                    <w:t>供电</w:t>
                  </w:r>
                </w:p>
              </w:tc>
              <w:tc>
                <w:tcPr>
                  <w:tcW w:w="4910" w:type="dxa"/>
                  <w:tcBorders>
                    <w:tl2br w:val="nil"/>
                    <w:tr2bl w:val="nil"/>
                  </w:tcBorders>
                  <w:vAlign w:val="center"/>
                </w:tcPr>
                <w:p>
                  <w:pPr>
                    <w:jc w:val="center"/>
                    <w:rPr>
                      <w:rFonts w:hint="eastAsia" w:ascii="Times New Roman" w:hAnsi="Times New Roman" w:eastAsia="宋体" w:cs="Times New Roman"/>
                      <w:bCs/>
                      <w:color w:val="auto"/>
                      <w:sz w:val="21"/>
                      <w:szCs w:val="18"/>
                      <w:lang w:val="en-US" w:eastAsia="zh-CN"/>
                    </w:rPr>
                  </w:pPr>
                  <w:r>
                    <w:rPr>
                      <w:rFonts w:hint="eastAsia" w:ascii="Times New Roman" w:hAnsi="Times New Roman" w:eastAsia="宋体" w:cs="Times New Roman"/>
                      <w:bCs/>
                      <w:color w:val="auto"/>
                      <w:sz w:val="21"/>
                      <w:szCs w:val="18"/>
                      <w:lang w:val="en-US" w:eastAsia="zh-CN"/>
                    </w:rPr>
                    <w:t>当地电网供给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restart"/>
                  <w:tcBorders>
                    <w:tl2br w:val="nil"/>
                    <w:tr2bl w:val="nil"/>
                  </w:tcBorders>
                  <w:vAlign w:val="center"/>
                </w:tcPr>
                <w:p>
                  <w:pPr>
                    <w:pStyle w:val="50"/>
                    <w:spacing w:before="0" w:beforeLines="0" w:after="0" w:afterLines="0"/>
                    <w:rPr>
                      <w:b w:val="0"/>
                      <w:bCs/>
                      <w:color w:val="auto"/>
                      <w:sz w:val="21"/>
                      <w:szCs w:val="18"/>
                    </w:rPr>
                  </w:pPr>
                  <w:r>
                    <w:rPr>
                      <w:b w:val="0"/>
                      <w:bCs/>
                      <w:color w:val="auto"/>
                      <w:sz w:val="21"/>
                      <w:szCs w:val="18"/>
                    </w:rPr>
                    <w:t>环保工程</w:t>
                  </w:r>
                </w:p>
              </w:tc>
              <w:tc>
                <w:tcPr>
                  <w:tcW w:w="1937" w:type="dxa"/>
                  <w:tcBorders>
                    <w:tl2br w:val="nil"/>
                    <w:tr2bl w:val="nil"/>
                  </w:tcBorders>
                  <w:vAlign w:val="center"/>
                </w:tcPr>
                <w:p>
                  <w:pPr>
                    <w:pStyle w:val="50"/>
                    <w:spacing w:before="0" w:beforeLines="0" w:after="0" w:afterLines="0"/>
                    <w:rPr>
                      <w:b w:val="0"/>
                      <w:bCs/>
                      <w:color w:val="auto"/>
                      <w:sz w:val="21"/>
                      <w:szCs w:val="18"/>
                    </w:rPr>
                  </w:pPr>
                  <w:r>
                    <w:rPr>
                      <w:b w:val="0"/>
                      <w:bCs/>
                      <w:color w:val="auto"/>
                      <w:sz w:val="21"/>
                      <w:szCs w:val="18"/>
                    </w:rPr>
                    <w:t>污水处理设施</w:t>
                  </w:r>
                </w:p>
              </w:tc>
              <w:tc>
                <w:tcPr>
                  <w:tcW w:w="4910" w:type="dxa"/>
                  <w:tcBorders>
                    <w:tl2br w:val="nil"/>
                    <w:tr2bl w:val="nil"/>
                  </w:tcBorders>
                  <w:vAlign w:val="center"/>
                </w:tcPr>
                <w:p>
                  <w:pPr>
                    <w:jc w:val="center"/>
                    <w:rPr>
                      <w:rFonts w:hint="eastAsia" w:ascii="Times New Roman" w:hAnsi="Times New Roman" w:eastAsia="宋体" w:cs="Times New Roman"/>
                      <w:bCs/>
                      <w:color w:val="auto"/>
                      <w:sz w:val="21"/>
                      <w:szCs w:val="18"/>
                      <w:lang w:val="en-US" w:eastAsia="zh-CN"/>
                    </w:rPr>
                  </w:pPr>
                  <w:r>
                    <w:rPr>
                      <w:rFonts w:hint="eastAsia" w:ascii="Times New Roman" w:hAnsi="Times New Roman" w:eastAsia="宋体" w:cs="Times New Roman"/>
                      <w:bCs/>
                      <w:color w:val="auto"/>
                      <w:sz w:val="21"/>
                      <w:szCs w:val="18"/>
                      <w:lang w:val="en-US" w:eastAsia="zh-CN"/>
                    </w:rPr>
                    <w:t>生活污水通过化粪池处理</w:t>
                  </w:r>
                  <w:r>
                    <w:rPr>
                      <w:rFonts w:hint="eastAsia" w:cs="Times New Roman"/>
                      <w:bCs/>
                      <w:color w:val="auto"/>
                      <w:sz w:val="21"/>
                      <w:szCs w:val="18"/>
                      <w:lang w:val="en-US" w:eastAsia="zh-CN"/>
                    </w:rPr>
                    <w:t>后外排市政污水管网</w:t>
                  </w:r>
                  <w:r>
                    <w:rPr>
                      <w:rFonts w:hint="eastAsia" w:ascii="Times New Roman" w:hAnsi="Times New Roman" w:eastAsia="宋体" w:cs="Times New Roman"/>
                      <w:bCs/>
                      <w:color w:val="auto"/>
                      <w:sz w:val="21"/>
                      <w:szCs w:val="18"/>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1068" w:type="dxa"/>
                  <w:vMerge w:val="continue"/>
                  <w:tcBorders>
                    <w:tl2br w:val="nil"/>
                    <w:tr2bl w:val="nil"/>
                  </w:tcBorders>
                  <w:vAlign w:val="center"/>
                </w:tcPr>
                <w:p>
                  <w:pPr>
                    <w:pStyle w:val="50"/>
                    <w:spacing w:before="0" w:beforeLines="0" w:after="0" w:afterLines="0"/>
                    <w:rPr>
                      <w:b w:val="0"/>
                      <w:bCs/>
                      <w:color w:val="auto"/>
                      <w:sz w:val="21"/>
                      <w:szCs w:val="18"/>
                    </w:rPr>
                  </w:pPr>
                </w:p>
              </w:tc>
              <w:tc>
                <w:tcPr>
                  <w:tcW w:w="1937" w:type="dxa"/>
                  <w:tcBorders>
                    <w:tl2br w:val="nil"/>
                    <w:tr2bl w:val="nil"/>
                  </w:tcBorders>
                  <w:vAlign w:val="center"/>
                </w:tcPr>
                <w:p>
                  <w:pPr>
                    <w:pStyle w:val="50"/>
                    <w:spacing w:before="0" w:beforeLines="0" w:after="0" w:afterLines="0"/>
                    <w:rPr>
                      <w:b w:val="0"/>
                      <w:bCs/>
                      <w:color w:val="auto"/>
                      <w:sz w:val="21"/>
                      <w:szCs w:val="18"/>
                    </w:rPr>
                  </w:pPr>
                  <w:r>
                    <w:rPr>
                      <w:b w:val="0"/>
                      <w:bCs/>
                      <w:color w:val="auto"/>
                      <w:sz w:val="21"/>
                      <w:szCs w:val="18"/>
                    </w:rPr>
                    <w:t>废气处理设施</w:t>
                  </w:r>
                </w:p>
              </w:tc>
              <w:tc>
                <w:tcPr>
                  <w:tcW w:w="4910" w:type="dxa"/>
                  <w:tcBorders>
                    <w:tl2br w:val="nil"/>
                    <w:tr2bl w:val="nil"/>
                  </w:tcBorders>
                  <w:vAlign w:val="center"/>
                </w:tcPr>
                <w:p>
                  <w:pPr>
                    <w:pStyle w:val="50"/>
                    <w:spacing w:before="0" w:beforeLines="0" w:after="0" w:afterLines="0"/>
                    <w:rPr>
                      <w:rFonts w:hint="default" w:eastAsia="宋体"/>
                      <w:b w:val="0"/>
                      <w:bCs/>
                      <w:color w:val="auto"/>
                      <w:sz w:val="21"/>
                      <w:szCs w:val="18"/>
                      <w:lang w:val="en-US" w:eastAsia="zh-CN"/>
                    </w:rPr>
                  </w:pPr>
                  <w:r>
                    <w:rPr>
                      <w:rFonts w:hint="eastAsia"/>
                      <w:b w:val="0"/>
                      <w:bCs/>
                      <w:color w:val="auto"/>
                      <w:sz w:val="21"/>
                      <w:szCs w:val="18"/>
                      <w:lang w:val="en-US" w:eastAsia="zh-CN"/>
                    </w:rPr>
                    <w:t>油烟经油烟机处理后外排周边大气环境，汽车尾气以及垃圾桶恶臭产生量较小可通过加强管理减轻其影响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continue"/>
                  <w:tcBorders>
                    <w:tl2br w:val="nil"/>
                    <w:tr2bl w:val="nil"/>
                  </w:tcBorders>
                  <w:vAlign w:val="center"/>
                </w:tcPr>
                <w:p>
                  <w:pPr>
                    <w:pStyle w:val="50"/>
                    <w:spacing w:before="0" w:beforeLines="0" w:after="0" w:afterLines="0"/>
                    <w:rPr>
                      <w:b w:val="0"/>
                      <w:bCs/>
                      <w:color w:val="auto"/>
                      <w:sz w:val="21"/>
                      <w:szCs w:val="18"/>
                    </w:rPr>
                  </w:pPr>
                </w:p>
              </w:tc>
              <w:tc>
                <w:tcPr>
                  <w:tcW w:w="1937" w:type="dxa"/>
                  <w:tcBorders>
                    <w:tl2br w:val="nil"/>
                    <w:tr2bl w:val="nil"/>
                  </w:tcBorders>
                  <w:vAlign w:val="center"/>
                </w:tcPr>
                <w:p>
                  <w:pPr>
                    <w:pStyle w:val="50"/>
                    <w:spacing w:before="0" w:beforeLines="0" w:after="0" w:afterLines="0"/>
                    <w:rPr>
                      <w:b w:val="0"/>
                      <w:bCs/>
                      <w:color w:val="auto"/>
                      <w:sz w:val="21"/>
                      <w:szCs w:val="18"/>
                    </w:rPr>
                  </w:pPr>
                  <w:r>
                    <w:rPr>
                      <w:b w:val="0"/>
                      <w:bCs/>
                      <w:color w:val="auto"/>
                      <w:sz w:val="21"/>
                      <w:szCs w:val="18"/>
                    </w:rPr>
                    <w:t>噪声处理设施</w:t>
                  </w:r>
                </w:p>
              </w:tc>
              <w:tc>
                <w:tcPr>
                  <w:tcW w:w="4910" w:type="dxa"/>
                  <w:tcBorders>
                    <w:tl2br w:val="nil"/>
                    <w:tr2bl w:val="nil"/>
                  </w:tcBorders>
                  <w:vAlign w:val="center"/>
                </w:tcPr>
                <w:p>
                  <w:pPr>
                    <w:pStyle w:val="50"/>
                    <w:spacing w:before="0" w:beforeLines="0" w:after="0" w:afterLines="0"/>
                    <w:rPr>
                      <w:rFonts w:hint="eastAsia" w:eastAsia="宋体"/>
                      <w:b w:val="0"/>
                      <w:bCs/>
                      <w:color w:val="auto"/>
                      <w:sz w:val="21"/>
                      <w:szCs w:val="18"/>
                      <w:u w:val="single"/>
                      <w:lang w:val="en-US" w:eastAsia="zh-CN"/>
                    </w:rPr>
                  </w:pPr>
                  <w:r>
                    <w:rPr>
                      <w:rFonts w:hint="eastAsia"/>
                      <w:b w:val="0"/>
                      <w:bCs/>
                      <w:color w:val="auto"/>
                      <w:sz w:val="21"/>
                      <w:szCs w:val="18"/>
                      <w:lang w:val="en-US" w:eastAsia="zh-CN"/>
                    </w:rPr>
                    <w:t>配电房变压器位于密闭房间内切采用吸声、基础减震等措施；电梯机组位于密闭房间内我且设置有</w:t>
                  </w:r>
                  <w:r>
                    <w:rPr>
                      <w:b w:val="0"/>
                      <w:bCs/>
                      <w:color w:val="auto"/>
                      <w:sz w:val="21"/>
                      <w:szCs w:val="18"/>
                    </w:rPr>
                    <w:t>基础减振</w:t>
                  </w:r>
                  <w:r>
                    <w:rPr>
                      <w:rFonts w:hint="eastAsia"/>
                      <w:b w:val="0"/>
                      <w:bCs/>
                      <w:color w:val="auto"/>
                      <w:sz w:val="21"/>
                      <w:szCs w:val="18"/>
                      <w:lang w:val="en-US" w:eastAsia="zh-CN"/>
                    </w:rPr>
                    <w:t>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continue"/>
                  <w:tcBorders>
                    <w:tl2br w:val="nil"/>
                    <w:tr2bl w:val="nil"/>
                  </w:tcBorders>
                  <w:vAlign w:val="center"/>
                </w:tcPr>
                <w:p>
                  <w:pPr>
                    <w:pStyle w:val="50"/>
                    <w:spacing w:before="0" w:beforeLines="0" w:after="0" w:afterLines="0"/>
                    <w:rPr>
                      <w:b w:val="0"/>
                      <w:bCs/>
                      <w:color w:val="auto"/>
                      <w:sz w:val="21"/>
                      <w:szCs w:val="18"/>
                    </w:rPr>
                  </w:pPr>
                </w:p>
              </w:tc>
              <w:tc>
                <w:tcPr>
                  <w:tcW w:w="1937" w:type="dxa"/>
                  <w:tcBorders>
                    <w:tl2br w:val="nil"/>
                    <w:tr2bl w:val="nil"/>
                  </w:tcBorders>
                  <w:vAlign w:val="center"/>
                </w:tcPr>
                <w:p>
                  <w:pPr>
                    <w:pStyle w:val="50"/>
                    <w:spacing w:before="0" w:beforeLines="0" w:after="0" w:afterLines="0"/>
                    <w:rPr>
                      <w:b w:val="0"/>
                      <w:bCs/>
                      <w:color w:val="auto"/>
                      <w:sz w:val="21"/>
                      <w:szCs w:val="18"/>
                    </w:rPr>
                  </w:pPr>
                  <w:r>
                    <w:rPr>
                      <w:b w:val="0"/>
                      <w:bCs/>
                      <w:color w:val="auto"/>
                      <w:sz w:val="21"/>
                      <w:szCs w:val="18"/>
                    </w:rPr>
                    <w:t>固体废物处理设施</w:t>
                  </w:r>
                </w:p>
              </w:tc>
              <w:tc>
                <w:tcPr>
                  <w:tcW w:w="4910" w:type="dxa"/>
                  <w:tcBorders>
                    <w:tl2br w:val="nil"/>
                    <w:tr2bl w:val="nil"/>
                  </w:tcBorders>
                  <w:vAlign w:val="center"/>
                </w:tcPr>
                <w:p>
                  <w:pPr>
                    <w:pStyle w:val="50"/>
                    <w:spacing w:before="0" w:beforeLines="0" w:after="0" w:afterLines="0"/>
                    <w:rPr>
                      <w:bCs/>
                      <w:color w:val="auto"/>
                      <w:sz w:val="21"/>
                      <w:szCs w:val="18"/>
                    </w:rPr>
                  </w:pPr>
                  <w:r>
                    <w:rPr>
                      <w:b w:val="0"/>
                      <w:bCs/>
                      <w:color w:val="auto"/>
                      <w:sz w:val="21"/>
                      <w:szCs w:val="18"/>
                    </w:rPr>
                    <w:t>生活垃圾经</w:t>
                  </w:r>
                  <w:r>
                    <w:rPr>
                      <w:rFonts w:hint="eastAsia"/>
                      <w:b w:val="0"/>
                      <w:bCs/>
                      <w:color w:val="auto"/>
                      <w:sz w:val="21"/>
                      <w:szCs w:val="18"/>
                      <w:lang w:val="en-US" w:eastAsia="zh-CN"/>
                    </w:rPr>
                    <w:t>分类收集</w:t>
                  </w:r>
                  <w:r>
                    <w:rPr>
                      <w:b w:val="0"/>
                      <w:bCs/>
                      <w:color w:val="auto"/>
                      <w:sz w:val="21"/>
                      <w:szCs w:val="18"/>
                    </w:rPr>
                    <w:t>垃圾桶收集后交由环卫部门处置</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240" w:lineRule="auto"/>
              <w:jc w:val="center"/>
              <w:textAlignment w:val="auto"/>
              <w:rPr>
                <w:rFonts w:hint="eastAsia" w:cs="宋体"/>
                <w:b/>
                <w:color w:val="auto"/>
                <w:sz w:val="24"/>
                <w:szCs w:val="21"/>
                <w:lang w:val="en-US" w:eastAsia="zh-CN"/>
              </w:rPr>
            </w:pPr>
            <w:r>
              <w:rPr>
                <w:b/>
                <w:color w:val="auto"/>
                <w:sz w:val="24"/>
                <w:szCs w:val="21"/>
              </w:rPr>
              <w:t>表</w:t>
            </w:r>
            <w:r>
              <w:rPr>
                <w:rFonts w:hint="eastAsia"/>
                <w:b/>
                <w:color w:val="auto"/>
                <w:sz w:val="24"/>
                <w:szCs w:val="21"/>
              </w:rPr>
              <w:t>2-</w:t>
            </w:r>
            <w:r>
              <w:rPr>
                <w:rFonts w:hint="eastAsia"/>
                <w:b/>
                <w:color w:val="auto"/>
                <w:sz w:val="24"/>
                <w:szCs w:val="21"/>
                <w:lang w:val="en-US" w:eastAsia="zh-CN"/>
              </w:rPr>
              <w:t xml:space="preserve">2  </w:t>
            </w:r>
            <w:r>
              <w:rPr>
                <w:rFonts w:hint="eastAsia" w:cs="宋体"/>
                <w:b/>
                <w:color w:val="auto"/>
                <w:sz w:val="24"/>
                <w:szCs w:val="21"/>
                <w:lang w:val="en-US" w:eastAsia="zh-CN"/>
              </w:rPr>
              <w:t>综合经济技术指标表</w:t>
            </w:r>
          </w:p>
          <w:tbl>
            <w:tblPr>
              <w:tblStyle w:val="22"/>
              <w:tblW w:w="7937" w:type="dxa"/>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 w:type="dxa"/>
                <w:bottom w:w="0" w:type="dxa"/>
                <w:right w:w="10" w:type="dxa"/>
              </w:tblCellMar>
            </w:tblPr>
            <w:tblGrid>
              <w:gridCol w:w="614"/>
              <w:gridCol w:w="3074"/>
              <w:gridCol w:w="2603"/>
              <w:gridCol w:w="164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7937" w:type="dxa"/>
                  <w:gridSpan w:val="4"/>
                  <w:tcBorders>
                    <w:tl2br w:val="nil"/>
                    <w:tr2bl w:val="nil"/>
                  </w:tcBorders>
                  <w:vAlign w:val="center"/>
                </w:tcPr>
                <w:p>
                  <w:pPr>
                    <w:pStyle w:val="50"/>
                    <w:spacing w:before="0" w:beforeLines="0" w:after="0" w:afterLines="0"/>
                    <w:jc w:val="center"/>
                    <w:rPr>
                      <w:rFonts w:hint="eastAsia" w:ascii="Times New Roman" w:hAnsi="Times New Roman" w:eastAsia="宋体" w:cs="Times New Roman"/>
                      <w:b/>
                      <w:bCs w:val="0"/>
                      <w:color w:val="auto"/>
                      <w:sz w:val="21"/>
                      <w:szCs w:val="18"/>
                      <w:lang w:val="en-US" w:eastAsia="zh-CN"/>
                    </w:rPr>
                  </w:pPr>
                  <w:r>
                    <w:rPr>
                      <w:rFonts w:hint="eastAsia" w:ascii="Times New Roman" w:hAnsi="Times New Roman" w:eastAsia="宋体" w:cs="Times New Roman"/>
                      <w:b/>
                      <w:bCs w:val="0"/>
                      <w:color w:val="auto"/>
                      <w:sz w:val="21"/>
                      <w:szCs w:val="18"/>
                      <w:lang w:val="en-US" w:eastAsia="zh-CN"/>
                    </w:rPr>
                    <w:t>二期综合经济技术指标表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688" w:type="dxa"/>
                  <w:gridSpan w:val="2"/>
                  <w:tcBorders>
                    <w:tl2br w:val="nil"/>
                    <w:tr2bl w:val="nil"/>
                  </w:tcBorders>
                  <w:vAlign w:val="center"/>
                </w:tcPr>
                <w:p>
                  <w:pPr>
                    <w:pStyle w:val="50"/>
                    <w:spacing w:before="0" w:beforeLines="0" w:after="0" w:afterLines="0"/>
                    <w:jc w:val="center"/>
                    <w:rPr>
                      <w:rFonts w:hint="eastAsia" w:ascii="Times New Roman" w:hAnsi="Times New Roman" w:eastAsia="宋体" w:cs="Times New Roman"/>
                      <w:b/>
                      <w:bCs w:val="0"/>
                      <w:color w:val="auto"/>
                      <w:sz w:val="21"/>
                      <w:szCs w:val="18"/>
                      <w:lang w:val="en-US" w:eastAsia="zh-CN"/>
                    </w:rPr>
                  </w:pPr>
                  <w:r>
                    <w:rPr>
                      <w:rFonts w:hint="eastAsia" w:ascii="Times New Roman" w:hAnsi="Times New Roman" w:eastAsia="宋体" w:cs="Times New Roman"/>
                      <w:b/>
                      <w:bCs w:val="0"/>
                      <w:color w:val="auto"/>
                      <w:sz w:val="21"/>
                      <w:szCs w:val="18"/>
                      <w:lang w:val="en-US" w:eastAsia="zh-CN"/>
                    </w:rPr>
                    <w:t>名称</w:t>
                  </w:r>
                </w:p>
              </w:tc>
              <w:tc>
                <w:tcPr>
                  <w:tcW w:w="2603"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bCs w:val="0"/>
                      <w:color w:val="auto"/>
                      <w:sz w:val="21"/>
                      <w:szCs w:val="18"/>
                      <w:lang w:val="en-US" w:eastAsia="zh-CN"/>
                    </w:rPr>
                  </w:pPr>
                  <w:r>
                    <w:rPr>
                      <w:rFonts w:hint="eastAsia" w:ascii="Times New Roman" w:hAnsi="Times New Roman" w:eastAsia="宋体" w:cs="Times New Roman"/>
                      <w:b/>
                      <w:bCs w:val="0"/>
                      <w:color w:val="auto"/>
                      <w:sz w:val="21"/>
                      <w:szCs w:val="18"/>
                      <w:lang w:val="en-US" w:eastAsia="zh-CN"/>
                    </w:rPr>
                    <w:t>数值</w:t>
                  </w:r>
                </w:p>
              </w:tc>
              <w:tc>
                <w:tcPr>
                  <w:tcW w:w="1646"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bCs w:val="0"/>
                      <w:color w:val="auto"/>
                      <w:sz w:val="21"/>
                      <w:szCs w:val="18"/>
                      <w:lang w:val="en-US" w:eastAsia="zh-CN"/>
                    </w:rPr>
                  </w:pPr>
                  <w:r>
                    <w:rPr>
                      <w:rFonts w:hint="eastAsia" w:ascii="Times New Roman" w:hAnsi="Times New Roman" w:eastAsia="宋体" w:cs="Times New Roman"/>
                      <w:b/>
                      <w:bCs w:val="0"/>
                      <w:color w:val="auto"/>
                      <w:sz w:val="21"/>
                      <w:szCs w:val="18"/>
                      <w:lang w:val="en-US" w:eastAsia="zh-CN"/>
                    </w:rPr>
                    <w:t>单位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688" w:type="dxa"/>
                  <w:gridSpan w:val="2"/>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规划用地面积</w:t>
                  </w:r>
                </w:p>
              </w:tc>
              <w:tc>
                <w:tcPr>
                  <w:tcW w:w="2603"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57672.98</w:t>
                  </w:r>
                </w:p>
              </w:tc>
              <w:tc>
                <w:tcPr>
                  <w:tcW w:w="1646"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688" w:type="dxa"/>
                  <w:gridSpan w:val="2"/>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总建筑面积</w:t>
                  </w:r>
                </w:p>
              </w:tc>
              <w:tc>
                <w:tcPr>
                  <w:tcW w:w="2603"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79862.49</w:t>
                  </w:r>
                </w:p>
              </w:tc>
              <w:tc>
                <w:tcPr>
                  <w:tcW w:w="1646"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688" w:type="dxa"/>
                  <w:gridSpan w:val="2"/>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计容建筑面积</w:t>
                  </w:r>
                </w:p>
              </w:tc>
              <w:tc>
                <w:tcPr>
                  <w:tcW w:w="2603"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77462.52</w:t>
                  </w:r>
                </w:p>
              </w:tc>
              <w:tc>
                <w:tcPr>
                  <w:tcW w:w="1646"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14" w:type="dxa"/>
                  <w:vMerge w:val="restart"/>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p>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p>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其中</w:t>
                  </w:r>
                </w:p>
              </w:tc>
              <w:tc>
                <w:tcPr>
                  <w:tcW w:w="3074"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70户型（3栋）</w:t>
                  </w:r>
                </w:p>
              </w:tc>
              <w:tc>
                <w:tcPr>
                  <w:tcW w:w="2603"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9124.6</w:t>
                  </w:r>
                </w:p>
              </w:tc>
              <w:tc>
                <w:tcPr>
                  <w:tcW w:w="1646"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14" w:type="dxa"/>
                  <w:vMerge w:val="continue"/>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3074"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105户型（12栋）</w:t>
                  </w:r>
                </w:p>
              </w:tc>
              <w:tc>
                <w:tcPr>
                  <w:tcW w:w="2603"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39666.62</w:t>
                  </w:r>
                </w:p>
              </w:tc>
              <w:tc>
                <w:tcPr>
                  <w:tcW w:w="1646"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14" w:type="dxa"/>
                  <w:vMerge w:val="continue"/>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3074"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140户型（7栋）</w:t>
                  </w:r>
                </w:p>
              </w:tc>
              <w:tc>
                <w:tcPr>
                  <w:tcW w:w="2603"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28371.3</w:t>
                  </w:r>
                </w:p>
              </w:tc>
              <w:tc>
                <w:tcPr>
                  <w:tcW w:w="1646"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14" w:type="dxa"/>
                  <w:vMerge w:val="continue"/>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3074"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物业用房/门卫室</w:t>
                  </w:r>
                </w:p>
              </w:tc>
              <w:tc>
                <w:tcPr>
                  <w:tcW w:w="2603"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300</w:t>
                  </w:r>
                </w:p>
              </w:tc>
              <w:tc>
                <w:tcPr>
                  <w:tcW w:w="1646"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688" w:type="dxa"/>
                  <w:gridSpan w:val="2"/>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不计容积率建筑面积</w:t>
                  </w:r>
                </w:p>
              </w:tc>
              <w:tc>
                <w:tcPr>
                  <w:tcW w:w="2603"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2399.97</w:t>
                  </w:r>
                </w:p>
              </w:tc>
              <w:tc>
                <w:tcPr>
                  <w:tcW w:w="1646"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688" w:type="dxa"/>
                  <w:gridSpan w:val="2"/>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建筑基底面积</w:t>
                  </w:r>
                </w:p>
              </w:tc>
              <w:tc>
                <w:tcPr>
                  <w:tcW w:w="2603"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11196.39</w:t>
                  </w:r>
                </w:p>
              </w:tc>
              <w:tc>
                <w:tcPr>
                  <w:tcW w:w="1646"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688" w:type="dxa"/>
                  <w:gridSpan w:val="2"/>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建筑密度</w:t>
                  </w:r>
                </w:p>
              </w:tc>
              <w:tc>
                <w:tcPr>
                  <w:tcW w:w="2603"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19.41</w:t>
                  </w:r>
                </w:p>
              </w:tc>
              <w:tc>
                <w:tcPr>
                  <w:tcW w:w="1646"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688" w:type="dxa"/>
                  <w:gridSpan w:val="2"/>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容积率</w:t>
                  </w:r>
                </w:p>
              </w:tc>
              <w:tc>
                <w:tcPr>
                  <w:tcW w:w="2603"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1.35</w:t>
                  </w:r>
                </w:p>
              </w:tc>
              <w:tc>
                <w:tcPr>
                  <w:tcW w:w="1646"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688" w:type="dxa"/>
                  <w:gridSpan w:val="2"/>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绿地率</w:t>
                  </w:r>
                </w:p>
              </w:tc>
              <w:tc>
                <w:tcPr>
                  <w:tcW w:w="2603"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20.10</w:t>
                  </w:r>
                </w:p>
              </w:tc>
              <w:tc>
                <w:tcPr>
                  <w:tcW w:w="1646"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688" w:type="dxa"/>
                  <w:gridSpan w:val="2"/>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总户数</w:t>
                  </w:r>
                </w:p>
              </w:tc>
              <w:tc>
                <w:tcPr>
                  <w:tcW w:w="2603"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636</w:t>
                  </w:r>
                </w:p>
              </w:tc>
              <w:tc>
                <w:tcPr>
                  <w:tcW w:w="1646"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14" w:type="dxa"/>
                  <w:vMerge w:val="restart"/>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p>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其中</w:t>
                  </w:r>
                </w:p>
              </w:tc>
              <w:tc>
                <w:tcPr>
                  <w:tcW w:w="3074"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70户型</w:t>
                  </w:r>
                </w:p>
              </w:tc>
              <w:tc>
                <w:tcPr>
                  <w:tcW w:w="2603"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120</w:t>
                  </w:r>
                </w:p>
              </w:tc>
              <w:tc>
                <w:tcPr>
                  <w:tcW w:w="1646"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14" w:type="dxa"/>
                  <w:vMerge w:val="continue"/>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3074"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105户型</w:t>
                  </w:r>
                </w:p>
              </w:tc>
              <w:tc>
                <w:tcPr>
                  <w:tcW w:w="2603"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336</w:t>
                  </w:r>
                </w:p>
              </w:tc>
              <w:tc>
                <w:tcPr>
                  <w:tcW w:w="1646"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14" w:type="dxa"/>
                  <w:vMerge w:val="continue"/>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3074"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140户型</w:t>
                  </w:r>
                </w:p>
              </w:tc>
              <w:tc>
                <w:tcPr>
                  <w:tcW w:w="2603"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180</w:t>
                  </w:r>
                </w:p>
              </w:tc>
              <w:tc>
                <w:tcPr>
                  <w:tcW w:w="1646"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688" w:type="dxa"/>
                  <w:gridSpan w:val="2"/>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停车位</w:t>
                  </w:r>
                </w:p>
              </w:tc>
              <w:tc>
                <w:tcPr>
                  <w:tcW w:w="2603"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508</w:t>
                  </w:r>
                </w:p>
              </w:tc>
              <w:tc>
                <w:tcPr>
                  <w:tcW w:w="1646" w:type="dxa"/>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个</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7937" w:type="dxa"/>
                  <w:gridSpan w:val="4"/>
                  <w:tcBorders>
                    <w:tl2br w:val="nil"/>
                    <w:tr2bl w:val="nil"/>
                  </w:tcBorders>
                  <w:vAlign w:val="center"/>
                </w:tcPr>
                <w:p>
                  <w:pPr>
                    <w:pStyle w:val="50"/>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其中</w:t>
                  </w:r>
                  <w:r>
                    <w:rPr>
                      <w:rFonts w:hint="eastAsia" w:cs="Times New Roman"/>
                      <w:b w:val="0"/>
                      <w:bCs/>
                      <w:color w:val="auto"/>
                      <w:sz w:val="21"/>
                      <w:szCs w:val="18"/>
                      <w:lang w:val="en-US" w:eastAsia="zh-CN"/>
                    </w:rPr>
                    <w:t>：</w:t>
                  </w:r>
                  <w:r>
                    <w:rPr>
                      <w:rFonts w:hint="eastAsia" w:ascii="Times New Roman" w:hAnsi="Times New Roman" w:eastAsia="宋体" w:cs="Times New Roman"/>
                      <w:b w:val="0"/>
                      <w:bCs/>
                      <w:color w:val="auto"/>
                      <w:sz w:val="21"/>
                      <w:szCs w:val="18"/>
                      <w:lang w:val="en-US" w:eastAsia="zh-CN"/>
                    </w:rPr>
                    <w:t>室外停车位443个，（其中无障碍停车位11个），车库停车位65个，（其中新能源停车位51个）非机动停车位306个（充电桩153个）</w:t>
                  </w:r>
                </w:p>
              </w:tc>
            </w:tr>
          </w:tbl>
          <w:p>
            <w:pPr>
              <w:numPr>
                <w:ilvl w:val="0"/>
                <w:numId w:val="0"/>
              </w:numPr>
              <w:adjustRightInd w:val="0"/>
              <w:snapToGrid w:val="0"/>
              <w:spacing w:line="360" w:lineRule="auto"/>
              <w:jc w:val="left"/>
              <w:rPr>
                <w:rFonts w:cs="宋体"/>
                <w:b/>
                <w:color w:val="auto"/>
                <w:sz w:val="24"/>
                <w:szCs w:val="21"/>
              </w:rPr>
            </w:pPr>
            <w:r>
              <w:rPr>
                <w:rFonts w:hint="eastAsia" w:cs="宋体"/>
                <w:b/>
                <w:color w:val="auto"/>
                <w:sz w:val="24"/>
                <w:szCs w:val="21"/>
                <w:lang w:val="en-US" w:eastAsia="zh-CN"/>
              </w:rPr>
              <w:t>3、</w:t>
            </w:r>
            <w:r>
              <w:rPr>
                <w:rFonts w:hint="eastAsia" w:cs="宋体"/>
                <w:b/>
                <w:color w:val="auto"/>
                <w:sz w:val="24"/>
                <w:szCs w:val="21"/>
              </w:rPr>
              <w:t>公用工程</w:t>
            </w:r>
          </w:p>
          <w:p>
            <w:pPr>
              <w:adjustRightInd w:val="0"/>
              <w:snapToGrid w:val="0"/>
              <w:spacing w:line="360" w:lineRule="auto"/>
              <w:ind w:firstLine="480" w:firstLineChars="200"/>
              <w:jc w:val="left"/>
              <w:rPr>
                <w:rFonts w:cs="宋体"/>
                <w:bCs/>
                <w:color w:val="auto"/>
                <w:sz w:val="24"/>
                <w:szCs w:val="21"/>
              </w:rPr>
            </w:pPr>
            <w:r>
              <w:rPr>
                <w:rFonts w:hint="eastAsia" w:cs="宋体"/>
                <w:bCs/>
                <w:color w:val="auto"/>
                <w:sz w:val="24"/>
                <w:szCs w:val="21"/>
              </w:rPr>
              <w:t>（1）给水</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1）水源</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rPr>
            </w:pPr>
            <w:r>
              <w:rPr>
                <w:rFonts w:hint="eastAsia" w:ascii="Times New Roman" w:hAnsi="Times New Roman" w:eastAsia="宋体" w:cs="宋体"/>
                <w:bCs/>
                <w:color w:val="auto"/>
                <w:sz w:val="24"/>
                <w:szCs w:val="21"/>
                <w:lang w:val="en-US" w:eastAsia="zh-CN"/>
              </w:rPr>
              <w:t>本工程小区外南侧055乡道，东侧团结北路市政道路有连接成环的市政给水管，市政给水厂有不少测量点两条输水干管向市政给水管网输水，南侧 055乡道紧邻项目用地红线给水管网供水压力0.35MPa(道路地面标高28.23)管径DN150；东侧团结北路紧邻项目用地红线给水管网供水压力0.35MPa，测量点道路地面标高，管径DN150。从055乡道及团结北路市政络水管网上名接 DN150 引入管，经总术表和倒流防止器(地上安装)后，供应小区生活用水及室外消火栓用水，供水水质符合国家标准《生活饮用水卫生标准》GB5749 -2022相关要求。</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rPr>
            </w:pPr>
            <w:r>
              <w:rPr>
                <w:rFonts w:hint="eastAsia" w:ascii="Times New Roman" w:hAnsi="Times New Roman" w:eastAsia="宋体" w:cs="宋体"/>
                <w:bCs/>
                <w:color w:val="auto"/>
                <w:sz w:val="24"/>
                <w:szCs w:val="21"/>
              </w:rPr>
              <w:t>本项目员工生活用水由市政自来水管道供水，用水主要为生活用水。项目</w:t>
            </w:r>
            <w:r>
              <w:rPr>
                <w:rFonts w:hint="eastAsia" w:cs="宋体"/>
                <w:bCs/>
                <w:color w:val="auto"/>
                <w:sz w:val="24"/>
                <w:szCs w:val="21"/>
                <w:lang w:val="en-US" w:eastAsia="zh-CN"/>
              </w:rPr>
              <w:t>设计</w:t>
            </w:r>
            <w:r>
              <w:rPr>
                <w:rFonts w:hint="eastAsia" w:ascii="Times New Roman" w:hAnsi="Times New Roman" w:eastAsia="宋体" w:cs="宋体"/>
                <w:bCs/>
                <w:color w:val="auto"/>
                <w:sz w:val="24"/>
                <w:szCs w:val="21"/>
                <w:lang w:val="en-US" w:eastAsia="zh-CN"/>
              </w:rPr>
              <w:t>住户数</w:t>
            </w:r>
            <w:r>
              <w:rPr>
                <w:rFonts w:hint="eastAsia" w:cs="宋体"/>
                <w:bCs/>
                <w:color w:val="auto"/>
                <w:sz w:val="24"/>
                <w:szCs w:val="21"/>
                <w:lang w:val="en-US" w:eastAsia="zh-CN"/>
              </w:rPr>
              <w:t>636</w:t>
            </w:r>
            <w:r>
              <w:rPr>
                <w:rFonts w:hint="eastAsia" w:ascii="Times New Roman" w:hAnsi="Times New Roman" w:eastAsia="宋体" w:cs="宋体"/>
                <w:bCs/>
                <w:color w:val="auto"/>
                <w:sz w:val="24"/>
                <w:szCs w:val="21"/>
                <w:lang w:val="en-US" w:eastAsia="zh-CN"/>
              </w:rPr>
              <w:t>户，</w:t>
            </w:r>
            <w:r>
              <w:rPr>
                <w:rFonts w:hint="eastAsia" w:cs="宋体"/>
                <w:bCs/>
                <w:color w:val="auto"/>
                <w:sz w:val="24"/>
                <w:szCs w:val="21"/>
                <w:lang w:val="en-US" w:eastAsia="zh-CN"/>
              </w:rPr>
              <w:t>根据华容县团洲乡实际情况，入住率按50%计，则</w:t>
            </w:r>
            <w:r>
              <w:rPr>
                <w:rFonts w:hint="eastAsia" w:ascii="Times New Roman" w:hAnsi="Times New Roman" w:eastAsia="宋体" w:cs="宋体"/>
                <w:bCs/>
                <w:color w:val="auto"/>
                <w:sz w:val="24"/>
                <w:szCs w:val="21"/>
                <w:lang w:val="en-US" w:eastAsia="zh-CN"/>
              </w:rPr>
              <w:t>预计总人口</w:t>
            </w:r>
            <w:r>
              <w:rPr>
                <w:rFonts w:hint="eastAsia" w:cs="宋体"/>
                <w:bCs/>
                <w:color w:val="auto"/>
                <w:sz w:val="24"/>
                <w:szCs w:val="21"/>
                <w:lang w:val="en-US" w:eastAsia="zh-CN"/>
              </w:rPr>
              <w:t>1000</w:t>
            </w:r>
            <w:r>
              <w:rPr>
                <w:rFonts w:hint="eastAsia" w:ascii="Times New Roman" w:hAnsi="Times New Roman" w:eastAsia="宋体" w:cs="宋体"/>
                <w:bCs/>
                <w:color w:val="auto"/>
                <w:sz w:val="24"/>
                <w:szCs w:val="21"/>
                <w:lang w:val="en-US" w:eastAsia="zh-CN"/>
              </w:rPr>
              <w:t>人</w:t>
            </w:r>
            <w:r>
              <w:rPr>
                <w:rFonts w:hint="eastAsia" w:ascii="Times New Roman" w:hAnsi="Times New Roman" w:eastAsia="宋体" w:cs="宋体"/>
                <w:bCs/>
                <w:color w:val="auto"/>
                <w:sz w:val="24"/>
                <w:szCs w:val="21"/>
              </w:rPr>
              <w:t>。生活用水量参考《湖南省用水定额》（DB43/T388</w:t>
            </w:r>
            <w:r>
              <w:rPr>
                <w:rFonts w:hint="eastAsia" w:ascii="Times New Roman" w:hAnsi="Times New Roman" w:eastAsia="宋体" w:cs="宋体"/>
                <w:bCs/>
                <w:color w:val="auto"/>
                <w:sz w:val="24"/>
                <w:szCs w:val="21"/>
                <w:lang w:val="en-US" w:eastAsia="zh-CN"/>
              </w:rPr>
              <w:t xml:space="preserve"> </w:t>
            </w:r>
            <w:r>
              <w:rPr>
                <w:rFonts w:hint="eastAsia" w:ascii="Times New Roman" w:hAnsi="Times New Roman" w:eastAsia="宋体" w:cs="宋体"/>
                <w:bCs/>
                <w:color w:val="auto"/>
                <w:sz w:val="24"/>
                <w:szCs w:val="21"/>
              </w:rPr>
              <w:t>-2020）</w:t>
            </w:r>
            <w:r>
              <w:rPr>
                <w:rFonts w:hint="eastAsia" w:cs="宋体"/>
                <w:bCs/>
                <w:color w:val="auto"/>
                <w:sz w:val="24"/>
                <w:szCs w:val="21"/>
                <w:lang w:val="en-US" w:eastAsia="zh-CN"/>
              </w:rPr>
              <w:t>并结合当地人用水习惯，</w:t>
            </w:r>
            <w:r>
              <w:rPr>
                <w:rFonts w:hint="eastAsia" w:ascii="Times New Roman" w:hAnsi="Times New Roman" w:eastAsia="宋体" w:cs="宋体"/>
                <w:bCs/>
                <w:color w:val="auto"/>
                <w:sz w:val="24"/>
                <w:szCs w:val="21"/>
              </w:rPr>
              <w:t>每人</w:t>
            </w:r>
            <w:r>
              <w:rPr>
                <w:rFonts w:hint="eastAsia" w:cs="宋体"/>
                <w:bCs/>
                <w:color w:val="auto"/>
                <w:sz w:val="24"/>
                <w:szCs w:val="21"/>
                <w:lang w:val="en-US" w:eastAsia="zh-CN"/>
              </w:rPr>
              <w:t>100</w:t>
            </w:r>
            <w:r>
              <w:rPr>
                <w:rFonts w:hint="eastAsia" w:ascii="Times New Roman" w:hAnsi="Times New Roman" w:eastAsia="宋体" w:cs="宋体"/>
                <w:bCs/>
                <w:color w:val="auto"/>
                <w:sz w:val="24"/>
                <w:szCs w:val="21"/>
              </w:rPr>
              <w:t>L/d计算，项目生活用水量为</w:t>
            </w:r>
            <w:r>
              <w:rPr>
                <w:rFonts w:hint="eastAsia" w:cs="宋体"/>
                <w:bCs/>
                <w:color w:val="auto"/>
                <w:sz w:val="24"/>
                <w:szCs w:val="21"/>
                <w:lang w:val="en-US" w:eastAsia="zh-CN"/>
              </w:rPr>
              <w:t>100</w:t>
            </w:r>
            <w:r>
              <w:rPr>
                <w:rFonts w:hint="eastAsia" w:ascii="Times New Roman" w:hAnsi="Times New Roman" w:eastAsia="宋体" w:cs="宋体"/>
                <w:bCs/>
                <w:color w:val="auto"/>
                <w:sz w:val="24"/>
                <w:szCs w:val="21"/>
              </w:rPr>
              <w:t>t/d，</w:t>
            </w:r>
            <w:r>
              <w:rPr>
                <w:rFonts w:hint="eastAsia" w:cs="宋体"/>
                <w:bCs/>
                <w:color w:val="auto"/>
                <w:sz w:val="24"/>
                <w:szCs w:val="21"/>
                <w:lang w:val="en-US" w:eastAsia="zh-CN"/>
              </w:rPr>
              <w:t xml:space="preserve">36500 </w:t>
            </w:r>
            <w:r>
              <w:rPr>
                <w:rFonts w:hint="eastAsia" w:ascii="Times New Roman" w:hAnsi="Times New Roman" w:eastAsia="宋体" w:cs="宋体"/>
                <w:bCs/>
                <w:color w:val="auto"/>
                <w:sz w:val="24"/>
                <w:szCs w:val="21"/>
              </w:rPr>
              <w:t>t/a。</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rPr>
            </w:pPr>
            <w:r>
              <w:rPr>
                <w:rFonts w:hint="eastAsia" w:ascii="Times New Roman" w:hAnsi="Times New Roman" w:eastAsia="宋体" w:cs="宋体"/>
                <w:bCs/>
                <w:color w:val="auto"/>
                <w:sz w:val="24"/>
                <w:szCs w:val="21"/>
              </w:rPr>
              <w:t>2）排水</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本项目排水系统采用雨污分流制。主干管排水系统连接市政排水系统，建筑内部按功能区划分，根据《民用建筑设计规范》布置排水系统。</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项目内部雨水管道由雨水口、雨水井及管道组成。楼层屋面雨水经天沟收集后由集水口流入排水管，通过雨水渠排入雨水口，雨水口的布置在道路的交汇处或建筑单元出入处附近、雨落管附近和建筑物前后空地，绿地低洼点等处。雨水口与雨水井连接在道路边沿，雨水井再与雨水干管上的检查井连接。雨水管径为DN400-DN600，安置点雨水通过雨水干管连接市政排水管道，经市政排水管道排入就近的河道。</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卫生间各污水管道均采用通气立管，生活污水分别经化粪池、隔污处理或沉淀处理，再由排污管和生活污水一道经市政污水管沿道路排到市政污水管，再送往污水处理厂进行处理，污水经处理后回用于市政洒水及绿化。</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3）供电</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本项目电源从地块西南角接入一路10KV市政电力网，进户线采用YJV电缆穿钢管埋地引来，电压为220V，负荷等级为三级。</w:t>
            </w:r>
          </w:p>
          <w:p>
            <w:pPr>
              <w:adjustRightInd w:val="0"/>
              <w:snapToGrid w:val="0"/>
              <w:spacing w:line="360" w:lineRule="auto"/>
              <w:ind w:firstLine="480" w:firstLineChars="200"/>
              <w:jc w:val="left"/>
              <w:rPr>
                <w:rFonts w:hint="eastAsia" w:eastAsia="宋体" w:cs="宋体"/>
                <w:bCs/>
                <w:color w:val="auto"/>
                <w:sz w:val="24"/>
                <w:szCs w:val="21"/>
              </w:rPr>
            </w:pPr>
            <w:r>
              <w:rPr>
                <w:rFonts w:hint="eastAsia" w:eastAsia="宋体" w:cs="宋体"/>
                <w:bCs/>
                <w:color w:val="auto"/>
                <w:sz w:val="24"/>
                <w:szCs w:val="21"/>
                <w:lang w:val="en-US" w:eastAsia="zh-CN"/>
              </w:rPr>
              <w:t>4</w:t>
            </w:r>
            <w:r>
              <w:rPr>
                <w:rFonts w:hint="eastAsia" w:eastAsia="宋体" w:cs="宋体"/>
                <w:bCs/>
                <w:color w:val="auto"/>
                <w:sz w:val="24"/>
                <w:szCs w:val="21"/>
              </w:rPr>
              <w:t>）供暖通风</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lang w:val="en-US" w:eastAsia="zh-CN"/>
              </w:rPr>
            </w:pPr>
            <w:r>
              <w:rPr>
                <w:rFonts w:hint="eastAsia" w:eastAsia="宋体" w:cs="宋体"/>
                <w:bCs/>
                <w:color w:val="auto"/>
                <w:sz w:val="24"/>
                <w:szCs w:val="21"/>
              </w:rPr>
              <w:t>本项目不设置中央空调，</w:t>
            </w:r>
            <w:r>
              <w:rPr>
                <w:rFonts w:hint="eastAsia" w:cs="宋体"/>
                <w:bCs/>
                <w:color w:val="auto"/>
                <w:sz w:val="24"/>
                <w:szCs w:val="21"/>
                <w:lang w:val="en-US" w:eastAsia="zh-CN"/>
              </w:rPr>
              <w:t>住户可根据自身情况</w:t>
            </w:r>
            <w:r>
              <w:rPr>
                <w:rFonts w:hint="eastAsia" w:eastAsia="宋体" w:cs="宋体"/>
                <w:bCs/>
                <w:color w:val="auto"/>
                <w:sz w:val="24"/>
                <w:szCs w:val="21"/>
              </w:rPr>
              <w:t>设置室内空调机，按舒适性要</w:t>
            </w:r>
            <w:r>
              <w:rPr>
                <w:rFonts w:hint="eastAsia" w:ascii="Times New Roman" w:hAnsi="Times New Roman" w:eastAsia="宋体" w:cs="宋体"/>
                <w:bCs/>
                <w:color w:val="auto"/>
                <w:sz w:val="24"/>
                <w:szCs w:val="21"/>
                <w:lang w:val="en-US" w:eastAsia="zh-CN"/>
              </w:rPr>
              <w:t>求进行温度调控。</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5）小区内道路工程</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小区内道路采用沥青路面，结构层为土路基、10cm厚级配碎石、15cm厚C30水泥混凝土路面、乳化沥青透层、5cm厚细粒式沥青混凝土路面AC-13，配合比设计应根据结构层次综合考虑功能性要求，上面层重点考虑抗车辙能力、抗滑性能、水稳定性兼顾密水性要求:中面层重点考虑渗水性、水稳定性、抗车撤能力、抗裂性能兼顾耐疲劳性能；下面层重点考虑耐疲劳性能、密水性能、抗裂性能兼顾抗车撤能力</w:t>
            </w:r>
          </w:p>
          <w:p>
            <w:pPr>
              <w:numPr>
                <w:ilvl w:val="0"/>
                <w:numId w:val="0"/>
              </w:numPr>
              <w:adjustRightInd w:val="0"/>
              <w:snapToGrid w:val="0"/>
              <w:spacing w:line="360" w:lineRule="auto"/>
              <w:jc w:val="center"/>
              <w:rPr>
                <w:color w:val="auto"/>
              </w:rPr>
            </w:pPr>
            <w:r>
              <w:rPr>
                <w:color w:val="auto"/>
              </w:rPr>
              <w:drawing>
                <wp:inline distT="0" distB="0" distL="114300" distR="114300">
                  <wp:extent cx="3985895" cy="2185670"/>
                  <wp:effectExtent l="0" t="0" r="14605" b="508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23"/>
                          <a:srcRect l="9055" t="1193"/>
                          <a:stretch>
                            <a:fillRect/>
                          </a:stretch>
                        </pic:blipFill>
                        <pic:spPr>
                          <a:xfrm>
                            <a:off x="0" y="0"/>
                            <a:ext cx="3985895" cy="218567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宋体" w:hAnsi="宋体" w:eastAsia="宋体" w:cs="宋体"/>
                <w:b/>
                <w:bCs/>
                <w:color w:val="auto"/>
                <w:spacing w:val="0"/>
                <w:position w:val="0"/>
                <w:sz w:val="24"/>
                <w:szCs w:val="24"/>
                <w:highlight w:val="none"/>
                <w:lang w:val="en-US" w:eastAsia="zh-CN"/>
              </w:rPr>
            </w:pPr>
            <w:r>
              <w:rPr>
                <w:rFonts w:hint="eastAsia" w:ascii="宋体" w:hAnsi="宋体" w:eastAsia="宋体" w:cs="宋体"/>
                <w:b/>
                <w:bCs/>
                <w:color w:val="auto"/>
                <w:spacing w:val="0"/>
                <w:position w:val="0"/>
                <w:sz w:val="24"/>
                <w:szCs w:val="24"/>
                <w:highlight w:val="none"/>
                <w:lang w:val="en-US" w:eastAsia="zh-CN"/>
              </w:rPr>
              <w:t>小区内道路结构图</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6）绿化设计</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lang w:val="zh-CN" w:eastAsia="zh-CN"/>
              </w:rPr>
            </w:pPr>
            <w:r>
              <w:rPr>
                <w:rFonts w:hint="eastAsia" w:ascii="Times New Roman" w:hAnsi="Times New Roman" w:eastAsia="宋体" w:cs="宋体"/>
                <w:bCs/>
                <w:color w:val="auto"/>
                <w:sz w:val="24"/>
                <w:szCs w:val="21"/>
                <w:lang w:val="en-US" w:eastAsia="zh-CN"/>
              </w:rPr>
              <w:t>华容县团洲垸灾后重建安置房建设项目</w:t>
            </w:r>
            <w:r>
              <w:rPr>
                <w:rFonts w:hint="eastAsia" w:ascii="Times New Roman" w:hAnsi="Times New Roman" w:eastAsia="宋体" w:cs="宋体"/>
                <w:bCs/>
                <w:color w:val="auto"/>
                <w:sz w:val="24"/>
                <w:szCs w:val="21"/>
                <w:lang w:val="zh-CN" w:eastAsia="zh-CN"/>
              </w:rPr>
              <w:t>全线经综合考虑，安置房院内新栽树选择采用红叶石楠球、桢楠、银杏、杜英及草坪等相结合的方式，栽植中注意对管线的合理避让，行道树种植间距按设计规范并按照冠幅要求和种植密度种植。</w:t>
            </w:r>
          </w:p>
          <w:p>
            <w:pPr>
              <w:numPr>
                <w:ilvl w:val="0"/>
                <w:numId w:val="0"/>
              </w:numPr>
              <w:adjustRightInd w:val="0"/>
              <w:snapToGrid w:val="0"/>
              <w:spacing w:line="360" w:lineRule="auto"/>
              <w:jc w:val="left"/>
              <w:rPr>
                <w:rFonts w:hint="eastAsia" w:ascii="Times New Roman" w:hAnsi="Times New Roman" w:eastAsia="宋体" w:cs="宋体"/>
                <w:b/>
                <w:color w:val="auto"/>
                <w:sz w:val="24"/>
                <w:szCs w:val="21"/>
                <w:lang w:val="en-US" w:eastAsia="zh-CN"/>
              </w:rPr>
            </w:pPr>
            <w:r>
              <w:rPr>
                <w:rFonts w:hint="eastAsia" w:cs="宋体"/>
                <w:b/>
                <w:color w:val="auto"/>
                <w:sz w:val="24"/>
                <w:szCs w:val="21"/>
                <w:lang w:val="en-US" w:eastAsia="zh-CN"/>
              </w:rPr>
              <w:t>4</w:t>
            </w:r>
            <w:r>
              <w:rPr>
                <w:rFonts w:hint="eastAsia" w:ascii="Times New Roman" w:hAnsi="Times New Roman" w:eastAsia="宋体" w:cs="宋体"/>
                <w:b/>
                <w:color w:val="auto"/>
                <w:sz w:val="24"/>
                <w:szCs w:val="21"/>
                <w:lang w:val="en-US" w:eastAsia="zh-CN"/>
              </w:rPr>
              <w:t>、用地征收补偿（安置）方案</w:t>
            </w:r>
          </w:p>
          <w:p>
            <w:pPr>
              <w:adjustRightInd w:val="0"/>
              <w:snapToGrid w:val="0"/>
              <w:spacing w:line="360" w:lineRule="auto"/>
              <w:ind w:firstLine="480" w:firstLineChars="200"/>
              <w:jc w:val="left"/>
              <w:rPr>
                <w:rFonts w:hint="default"/>
                <w:color w:val="auto"/>
                <w:lang w:val="en-US" w:eastAsia="zh-CN"/>
              </w:rPr>
            </w:pPr>
            <w:r>
              <w:rPr>
                <w:rFonts w:hint="eastAsia" w:ascii="Times New Roman" w:hAnsi="Times New Roman" w:eastAsia="宋体" w:cs="宋体"/>
                <w:bCs/>
                <w:color w:val="auto"/>
                <w:sz w:val="24"/>
                <w:szCs w:val="21"/>
                <w:lang w:val="en-US" w:eastAsia="zh-CN"/>
              </w:rPr>
              <w:t>本项目为华容县团洲垸灾后重建安置房建设项目（二期），本项目土地权属归属于华容县团洲乡团胜村的集体土地。为顺利开展项目建设，根据《湘政发(2024)1 号》文件，团洲乡团胜村属 II 区，土地征收补偿费670.86万元。拆迁安置由政府部门负责。</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72" w:hRule="atLeast"/>
          <w:jc w:val="center"/>
        </w:trPr>
        <w:tc>
          <w:tcPr>
            <w:tcW w:w="823" w:type="dxa"/>
            <w:vAlign w:val="center"/>
          </w:tcPr>
          <w:p>
            <w:pPr>
              <w:pStyle w:val="19"/>
              <w:adjustRightInd w:val="0"/>
              <w:snapToGrid w:val="0"/>
              <w:spacing w:before="0" w:beforeAutospacing="0" w:after="0" w:afterAutospacing="0"/>
              <w:jc w:val="center"/>
              <w:rPr>
                <w:rFonts w:hint="eastAsia" w:ascii="Times New Roman" w:hAnsi="Times New Roman" w:cs="宋体"/>
                <w:color w:val="auto"/>
                <w:szCs w:val="21"/>
                <w:lang w:val="en-US" w:eastAsia="zh-CN"/>
              </w:rPr>
            </w:pPr>
            <w:r>
              <w:rPr>
                <w:rFonts w:hint="default" w:ascii="Times New Roman" w:hAnsi="Times New Roman" w:cs="Times New Roman"/>
                <w:color w:val="auto"/>
              </w:rPr>
              <w:t>总平面及现场布置</w:t>
            </w:r>
          </w:p>
        </w:tc>
        <w:tc>
          <w:tcPr>
            <w:tcW w:w="8161" w:type="dxa"/>
          </w:tcPr>
          <w:p>
            <w:pPr>
              <w:adjustRightInd w:val="0"/>
              <w:snapToGrid w:val="0"/>
              <w:spacing w:line="360" w:lineRule="auto"/>
              <w:ind w:firstLine="480" w:firstLineChars="200"/>
              <w:jc w:val="left"/>
              <w:rPr>
                <w:rFonts w:hint="eastAsia"/>
                <w:color w:val="auto"/>
                <w:sz w:val="24"/>
                <w:lang w:val="en-US" w:eastAsia="zh-CN"/>
              </w:rPr>
            </w:pPr>
            <w:r>
              <w:rPr>
                <w:rFonts w:hint="eastAsia" w:eastAsia="宋体"/>
                <w:color w:val="auto"/>
                <w:sz w:val="24"/>
                <w:lang w:val="en-US" w:eastAsia="zh-CN"/>
              </w:rPr>
              <w:t>本项目</w:t>
            </w:r>
            <w:r>
              <w:rPr>
                <w:rFonts w:hint="eastAsia"/>
                <w:color w:val="auto"/>
                <w:sz w:val="24"/>
                <w:lang w:val="en-US" w:eastAsia="zh-CN"/>
              </w:rPr>
              <w:t>已建成</w:t>
            </w:r>
            <w:r>
              <w:rPr>
                <w:rFonts w:hint="eastAsia" w:eastAsia="宋体"/>
                <w:color w:val="auto"/>
                <w:sz w:val="24"/>
                <w:lang w:val="en-US" w:eastAsia="zh-CN"/>
              </w:rPr>
              <w:t>，施工期已结束，此处主要分析项目运营期总平面布置情况</w:t>
            </w:r>
            <w:r>
              <w:rPr>
                <w:rFonts w:hint="eastAsia"/>
                <w:color w:val="auto"/>
                <w:sz w:val="24"/>
                <w:lang w:val="en-US" w:eastAsia="zh-CN"/>
              </w:rPr>
              <w:t>。</w:t>
            </w:r>
          </w:p>
          <w:p>
            <w:pPr>
              <w:adjustRightInd w:val="0"/>
              <w:snapToGrid w:val="0"/>
              <w:spacing w:line="360" w:lineRule="auto"/>
              <w:ind w:firstLine="482" w:firstLineChars="200"/>
              <w:jc w:val="left"/>
              <w:rPr>
                <w:rFonts w:hint="eastAsia" w:eastAsia="宋体"/>
                <w:b/>
                <w:bCs/>
                <w:color w:val="auto"/>
                <w:sz w:val="24"/>
                <w:lang w:eastAsia="zh-CN"/>
              </w:rPr>
            </w:pPr>
            <w:r>
              <w:rPr>
                <w:rFonts w:hint="eastAsia"/>
                <w:b/>
                <w:bCs/>
                <w:color w:val="auto"/>
                <w:sz w:val="24"/>
              </w:rPr>
              <w:t>平面布置</w:t>
            </w:r>
            <w:r>
              <w:rPr>
                <w:rFonts w:hint="eastAsia"/>
                <w:b/>
                <w:bCs/>
                <w:color w:val="auto"/>
                <w:sz w:val="24"/>
                <w:lang w:val="en-US" w:eastAsia="zh-CN"/>
              </w:rPr>
              <w:t>及</w:t>
            </w:r>
            <w:r>
              <w:rPr>
                <w:rFonts w:hint="eastAsia"/>
                <w:b/>
                <w:bCs/>
                <w:color w:val="auto"/>
                <w:sz w:val="24"/>
              </w:rPr>
              <w:t>合理性分析</w:t>
            </w:r>
            <w:r>
              <w:rPr>
                <w:rFonts w:hint="eastAsia"/>
                <w:b/>
                <w:bCs/>
                <w:color w:val="auto"/>
                <w:sz w:val="24"/>
                <w:lang w:eastAsia="zh-CN"/>
              </w:rPr>
              <w:t>：</w:t>
            </w:r>
          </w:p>
          <w:p>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着合理利用土地，节约能源，减少运营成本的原则，选址布局以满足日照、通风、消防和卫生为基本条件，以功能特性、交通流线特性等为布局条件，合理的进行基础配套设施、交通组织、绿化、消防、安防等的设计，实现资源利用最大化和集约化。</w:t>
            </w:r>
          </w:p>
          <w:p>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华容县团洲垸灾后重建安置房建设项目（二期）入口位置布置2个</w:t>
            </w:r>
            <w:r>
              <w:rPr>
                <w:rFonts w:hint="eastAsia" w:ascii="Times New Roman" w:hAnsi="Times New Roman" w:eastAsia="宋体" w:cs="Times New Roman"/>
                <w:color w:val="auto"/>
                <w:sz w:val="24"/>
                <w:szCs w:val="24"/>
                <w:lang w:val="en-US" w:eastAsia="zh-CN"/>
              </w:rPr>
              <w:t>出入口，入口为安置房月牙湖大道，地理位置位于华容县团洲安全垸内团洲乡中心小学东侧。</w:t>
            </w:r>
          </w:p>
          <w:p>
            <w:pPr>
              <w:spacing w:line="360" w:lineRule="auto"/>
              <w:ind w:firstLine="480" w:firstLineChars="200"/>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华容县团洲垸灾后重建安置房建设项目（二期）规划住宅用地面积 57672.98 </w:t>
            </w:r>
            <w:r>
              <w:rPr>
                <w:rFonts w:hint="eastAsia" w:cs="Times New Roman"/>
                <w:color w:val="auto"/>
                <w:sz w:val="24"/>
                <w:szCs w:val="24"/>
                <w:lang w:val="en-US" w:eastAsia="zh-CN"/>
              </w:rPr>
              <w:t>平方</w:t>
            </w:r>
            <w:r>
              <w:rPr>
                <w:rFonts w:hint="default" w:ascii="Times New Roman" w:hAnsi="Times New Roman" w:eastAsia="宋体" w:cs="Times New Roman"/>
                <w:color w:val="auto"/>
                <w:sz w:val="24"/>
                <w:szCs w:val="24"/>
                <w:lang w:val="en-US" w:eastAsia="zh-CN"/>
              </w:rPr>
              <w:t>米，新建22栋1+6F电</w:t>
            </w:r>
            <w:r>
              <w:rPr>
                <w:rFonts w:hint="eastAsia" w:ascii="Times New Roman" w:hAnsi="Times New Roman" w:eastAsia="宋体" w:cs="Times New Roman"/>
                <w:color w:val="auto"/>
                <w:sz w:val="24"/>
                <w:szCs w:val="24"/>
                <w:lang w:val="en-US" w:eastAsia="zh-CN"/>
              </w:rPr>
              <w:t>梯住宅楼，三个门卫室，总建筑面积为79862.49平方米，容积率1.35，建筑密度19.41%，绿地率20.10%。</w:t>
            </w:r>
          </w:p>
          <w:p>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eastAsia" w:ascii="Times New Roman" w:hAnsi="Times New Roman" w:cs="宋体"/>
                <w:color w:val="auto"/>
                <w:sz w:val="24"/>
                <w:szCs w:val="21"/>
                <w:lang w:val="en-US" w:eastAsia="zh-CN"/>
              </w:rPr>
              <w:t>华容县团洲垸灾后重建安置房建设项目（</w:t>
            </w:r>
            <w:r>
              <w:rPr>
                <w:rFonts w:hint="eastAsia" w:cs="宋体"/>
                <w:color w:val="auto"/>
                <w:sz w:val="24"/>
                <w:szCs w:val="21"/>
                <w:lang w:val="en-US" w:eastAsia="zh-CN"/>
              </w:rPr>
              <w:t>二期</w:t>
            </w:r>
            <w:r>
              <w:rPr>
                <w:rFonts w:hint="eastAsia" w:ascii="Times New Roman" w:hAnsi="Times New Roman" w:cs="宋体"/>
                <w:color w:val="auto"/>
                <w:sz w:val="24"/>
                <w:szCs w:val="21"/>
                <w:lang w:val="en-US" w:eastAsia="zh-CN"/>
              </w:rPr>
              <w:t>）</w:t>
            </w:r>
            <w:r>
              <w:rPr>
                <w:rFonts w:hint="default" w:ascii="Times New Roman" w:hAnsi="Times New Roman" w:eastAsia="宋体" w:cs="Times New Roman"/>
                <w:color w:val="auto"/>
                <w:sz w:val="24"/>
                <w:szCs w:val="24"/>
                <w:lang w:val="en-US" w:eastAsia="zh-CN"/>
              </w:rPr>
              <w:t>本着相对集中、</w:t>
            </w:r>
            <w:r>
              <w:rPr>
                <w:rFonts w:hint="eastAsia" w:cs="Times New Roman"/>
                <w:color w:val="auto"/>
                <w:sz w:val="24"/>
                <w:szCs w:val="24"/>
                <w:lang w:val="en-US" w:eastAsia="zh-CN"/>
              </w:rPr>
              <w:t>布置</w:t>
            </w:r>
            <w:r>
              <w:rPr>
                <w:rFonts w:hint="default" w:ascii="Times New Roman" w:hAnsi="Times New Roman" w:eastAsia="宋体" w:cs="Times New Roman"/>
                <w:color w:val="auto"/>
                <w:sz w:val="24"/>
                <w:szCs w:val="24"/>
                <w:lang w:val="en-US" w:eastAsia="zh-CN"/>
              </w:rPr>
              <w:t>规划原则展开布局，同时有重点地保持足够的开敞空间，使建筑群落错落有致，疏密结合。</w:t>
            </w:r>
          </w:p>
          <w:p>
            <w:pPr>
              <w:adjustRightInd w:val="0"/>
              <w:snapToGrid w:val="0"/>
              <w:spacing w:line="360" w:lineRule="auto"/>
              <w:ind w:firstLine="480" w:firstLineChars="200"/>
              <w:jc w:val="left"/>
              <w:rPr>
                <w:rFonts w:hint="default"/>
                <w:color w:val="auto"/>
                <w:lang w:val="en-US" w:eastAsia="zh-CN"/>
              </w:rPr>
            </w:pPr>
            <w:r>
              <w:rPr>
                <w:rFonts w:hint="eastAsia"/>
                <w:color w:val="auto"/>
                <w:sz w:val="24"/>
              </w:rPr>
              <w:t>综合来看，项目平面布置基本合理。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2" w:hRule="atLeast"/>
          <w:jc w:val="center"/>
        </w:trPr>
        <w:tc>
          <w:tcPr>
            <w:tcW w:w="823" w:type="dxa"/>
            <w:vAlign w:val="center"/>
          </w:tcPr>
          <w:p>
            <w:pPr>
              <w:pStyle w:val="19"/>
              <w:adjustRightInd w:val="0"/>
              <w:snapToGrid w:val="0"/>
              <w:spacing w:before="0" w:beforeAutospacing="0" w:after="0" w:afterAutospacing="0"/>
              <w:jc w:val="center"/>
              <w:rPr>
                <w:rFonts w:hint="default" w:ascii="Times New Roman" w:hAnsi="Times New Roman" w:cs="Times New Roman"/>
                <w:color w:val="auto"/>
              </w:rPr>
            </w:pPr>
            <w:r>
              <w:rPr>
                <w:rFonts w:hint="eastAsia" w:ascii="Times New Roman" w:hAnsi="Times New Roman" w:cs="Times New Roman"/>
                <w:color w:val="auto"/>
                <w:lang w:val="en-US" w:eastAsia="zh-CN"/>
              </w:rPr>
              <w:t>施工方案</w:t>
            </w:r>
          </w:p>
        </w:tc>
        <w:tc>
          <w:tcPr>
            <w:tcW w:w="8161" w:type="dxa"/>
            <w:vAlign w:val="center"/>
          </w:tcPr>
          <w:p>
            <w:pPr>
              <w:adjustRightInd w:val="0"/>
              <w:snapToGrid w:val="0"/>
              <w:spacing w:line="360" w:lineRule="auto"/>
              <w:ind w:firstLine="480" w:firstLineChars="200"/>
              <w:jc w:val="center"/>
              <w:rPr>
                <w:rFonts w:hint="eastAsia"/>
                <w:color w:val="auto"/>
                <w:sz w:val="24"/>
              </w:rPr>
            </w:pPr>
            <w:r>
              <w:rPr>
                <w:rFonts w:hint="eastAsia" w:eastAsia="宋体"/>
                <w:color w:val="auto"/>
                <w:sz w:val="24"/>
                <w:lang w:val="en-US" w:eastAsia="zh-CN"/>
              </w:rPr>
              <w:t>本项目</w:t>
            </w:r>
            <w:r>
              <w:rPr>
                <w:rFonts w:hint="eastAsia"/>
                <w:color w:val="auto"/>
                <w:sz w:val="24"/>
                <w:lang w:val="en-US" w:eastAsia="zh-CN"/>
              </w:rPr>
              <w:t>已建成</w:t>
            </w:r>
            <w:r>
              <w:rPr>
                <w:rFonts w:hint="eastAsia" w:eastAsia="宋体"/>
                <w:color w:val="auto"/>
                <w:sz w:val="24"/>
                <w:lang w:val="en-US" w:eastAsia="zh-CN"/>
              </w:rPr>
              <w:t>，施工期已结束，无需再进行施工方案的分析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823" w:type="dxa"/>
            <w:vAlign w:val="center"/>
          </w:tcPr>
          <w:p>
            <w:pPr>
              <w:pStyle w:val="19"/>
              <w:adjustRightInd w:val="0"/>
              <w:snapToGrid w:val="0"/>
              <w:spacing w:before="0" w:beforeAutospacing="0" w:after="0" w:afterAutospacing="0"/>
              <w:jc w:val="center"/>
              <w:rPr>
                <w:rFonts w:hint="eastAsia" w:ascii="Times New Roman" w:hAnsi="Times New Roman" w:eastAsia="宋体" w:cs="宋体"/>
                <w:color w:val="auto"/>
                <w:szCs w:val="21"/>
                <w:lang w:eastAsia="zh-CN"/>
              </w:rPr>
            </w:pPr>
            <w:r>
              <w:rPr>
                <w:rFonts w:hint="eastAsia" w:ascii="Times New Roman" w:hAnsi="Times New Roman" w:cs="宋体"/>
                <w:color w:val="auto"/>
                <w:szCs w:val="21"/>
                <w:lang w:val="en-US" w:eastAsia="zh-CN"/>
              </w:rPr>
              <w:t>其他</w:t>
            </w:r>
          </w:p>
        </w:tc>
        <w:tc>
          <w:tcPr>
            <w:tcW w:w="8161" w:type="dxa"/>
          </w:tcPr>
          <w:p>
            <w:pPr>
              <w:numPr>
                <w:ilvl w:val="0"/>
                <w:numId w:val="0"/>
              </w:numPr>
              <w:adjustRightInd w:val="0"/>
              <w:snapToGrid w:val="0"/>
              <w:spacing w:line="360" w:lineRule="auto"/>
              <w:rPr>
                <w:rFonts w:hint="eastAsia"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val="en-US" w:eastAsia="zh-CN"/>
              </w:rPr>
              <w:t>1、项目选址</w:t>
            </w:r>
          </w:p>
          <w:p>
            <w:pPr>
              <w:spacing w:line="360" w:lineRule="auto"/>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本项目选址已取得了华容县自然资源局出具的《建设项目用地预审与选址意见书》，且项目目前已建成，选址具有唯一性，无需进行选址方案的比选。</w:t>
            </w:r>
          </w:p>
          <w:p>
            <w:pPr>
              <w:numPr>
                <w:ilvl w:val="0"/>
                <w:numId w:val="2"/>
              </w:numPr>
              <w:adjustRightInd w:val="0"/>
              <w:snapToGrid w:val="0"/>
              <w:spacing w:line="360" w:lineRule="auto"/>
              <w:rPr>
                <w:rFonts w:hint="eastAsia"/>
                <w:b/>
                <w:bCs/>
                <w:color w:val="auto"/>
                <w:sz w:val="24"/>
                <w:lang w:val="en-US" w:eastAsia="zh-CN"/>
              </w:rPr>
            </w:pPr>
            <w:r>
              <w:rPr>
                <w:rFonts w:hint="eastAsia"/>
                <w:b/>
                <w:bCs/>
                <w:color w:val="auto"/>
                <w:sz w:val="24"/>
                <w:lang w:val="en-US" w:eastAsia="zh-CN"/>
              </w:rPr>
              <w:t>运营期</w:t>
            </w:r>
          </w:p>
          <w:p>
            <w:pPr>
              <w:adjustRightInd w:val="0"/>
              <w:snapToGrid w:val="0"/>
              <w:spacing w:line="360" w:lineRule="auto"/>
              <w:ind w:firstLine="482" w:firstLineChars="200"/>
              <w:jc w:val="left"/>
              <w:rPr>
                <w:rFonts w:hint="eastAsia"/>
                <w:b/>
                <w:bCs/>
                <w:color w:val="auto"/>
                <w:sz w:val="24"/>
                <w:lang w:val="en-US" w:eastAsia="zh-CN"/>
              </w:rPr>
            </w:pPr>
            <w:r>
              <w:rPr>
                <w:rFonts w:hint="eastAsia"/>
                <w:b/>
                <w:bCs/>
                <w:color w:val="auto"/>
                <w:sz w:val="24"/>
                <w:lang w:val="en-US" w:eastAsia="zh-CN"/>
              </w:rPr>
              <w:t>2.1</w:t>
            </w:r>
            <w:r>
              <w:rPr>
                <w:rFonts w:hint="eastAsia" w:eastAsia="宋体" w:cs="宋体"/>
                <w:b/>
                <w:color w:val="auto"/>
                <w:sz w:val="24"/>
                <w:szCs w:val="21"/>
              </w:rPr>
              <w:t>工艺流程</w:t>
            </w:r>
            <w:r>
              <w:rPr>
                <w:rFonts w:hint="eastAsia"/>
                <w:b/>
                <w:bCs/>
                <w:color w:val="auto"/>
                <w:sz w:val="24"/>
                <w:lang w:val="en-US" w:eastAsia="zh-CN"/>
              </w:rPr>
              <w:t>及产污环节分析</w:t>
            </w:r>
          </w:p>
          <w:p>
            <w:pPr>
              <w:pStyle w:val="5"/>
              <w:rPr>
                <w:rFonts w:hint="default"/>
                <w:color w:val="auto"/>
                <w:lang w:val="en-US" w:eastAsia="zh-CN"/>
              </w:rPr>
            </w:pPr>
            <w:r>
              <w:rPr>
                <w:color w:val="auto"/>
                <w:sz w:val="28"/>
              </w:rPr>
              <mc:AlternateContent>
                <mc:Choice Requires="wps">
                  <w:drawing>
                    <wp:anchor distT="0" distB="0" distL="114300" distR="114300" simplePos="0" relativeHeight="251665408" behindDoc="1" locked="0" layoutInCell="1" allowOverlap="1">
                      <wp:simplePos x="0" y="0"/>
                      <wp:positionH relativeFrom="column">
                        <wp:posOffset>1484630</wp:posOffset>
                      </wp:positionH>
                      <wp:positionV relativeFrom="paragraph">
                        <wp:posOffset>690245</wp:posOffset>
                      </wp:positionV>
                      <wp:extent cx="0" cy="431800"/>
                      <wp:effectExtent l="4445" t="0" r="14605" b="44450"/>
                      <wp:wrapTight wrapText="bothSides">
                        <wp:wrapPolygon>
                          <wp:start x="0" y="0"/>
                          <wp:lineTo x="0" y="20965"/>
                          <wp:lineTo x="0" y="20965"/>
                          <wp:lineTo x="0" y="0"/>
                        </wp:wrapPolygon>
                      </wp:wrapTight>
                      <wp:docPr id="94" name="直接箭头连接符 94"/>
                      <wp:cNvGraphicFramePr/>
                      <a:graphic xmlns:a="http://schemas.openxmlformats.org/drawingml/2006/main">
                        <a:graphicData uri="http://schemas.microsoft.com/office/word/2010/wordprocessingShape">
                          <wps:wsp>
                            <wps:cNvCnPr/>
                            <wps:spPr>
                              <a:xfrm>
                                <a:off x="2317750" y="5843905"/>
                                <a:ext cx="0" cy="43180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116.9pt;margin-top:54.35pt;height:34pt;width:0pt;mso-wrap-distance-left:9pt;mso-wrap-distance-right:9pt;z-index:-251651072;mso-width-relative:page;mso-height-relative:page;" filled="f" stroked="t" coordsize="21600,21600" wrapcoords="0 0 0 20965 0 20965 0 0" o:gfxdata="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tiuFNdgAAAALAQAADwAAAAAAAAABACAA&#10;AAAiAAAAZHJzL2Rvd25yZXYueG1sUEsBAhQAFAAAAAgAh07iQKcshOMNAgAA+QMAAA4AAAAAAAAA&#10;AQAgAAAAJwEAAGRycy9lMm9Eb2MueG1sUEsFBgAAAAAGAAYAWQEAAKYFAAAAAA==&#10;">
                      <v:fill on="f" focussize="0,0"/>
                      <v:stroke color="#000000" joinstyle="round"/>
                      <v:imagedata o:title=""/>
                      <o:lock v:ext="edit" aspectratio="f"/>
                      <w10:wrap type="tight"/>
                    </v:shape>
                  </w:pict>
                </mc:Fallback>
              </mc:AlternateContent>
            </w:r>
            <w:r>
              <w:rPr>
                <w:color w:val="auto"/>
                <w:sz w:val="21"/>
              </w:rPr>
              <mc:AlternateContent>
                <mc:Choice Requires="wps">
                  <w:drawing>
                    <wp:anchor distT="0" distB="0" distL="114300" distR="114300" simplePos="0" relativeHeight="251669504" behindDoc="0" locked="0" layoutInCell="1" allowOverlap="1">
                      <wp:simplePos x="0" y="0"/>
                      <wp:positionH relativeFrom="column">
                        <wp:posOffset>1478915</wp:posOffset>
                      </wp:positionH>
                      <wp:positionV relativeFrom="paragraph">
                        <wp:posOffset>681355</wp:posOffset>
                      </wp:positionV>
                      <wp:extent cx="2376170" cy="635"/>
                      <wp:effectExtent l="0" t="0" r="0" b="0"/>
                      <wp:wrapNone/>
                      <wp:docPr id="107" name="直接连接符 107"/>
                      <wp:cNvGraphicFramePr/>
                      <a:graphic xmlns:a="http://schemas.openxmlformats.org/drawingml/2006/main">
                        <a:graphicData uri="http://schemas.microsoft.com/office/word/2010/wordprocessingShape">
                          <wps:wsp>
                            <wps:cNvCnPr/>
                            <wps:spPr>
                              <a:xfrm>
                                <a:off x="2178685" y="5749290"/>
                                <a:ext cx="2376170" cy="63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116.45pt;margin-top:53.65pt;height:0.05pt;width:187.1pt;z-index:251669504;mso-width-relative:page;mso-height-relative:page;" filled="f" stroked="t" coordsize="21600,21600" o:gfxdata="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uR/9DNcAAAALAQAADwAAAAAAAAABACAAAAAiAAAAZHJz&#10;L2Rvd25yZXYueG1sUEsBAhQAFAAAAAgAh07iQMzBHsAFAgAA9gMAAA4AAAAAAAAAAQAgAAAAJgEA&#10;AGRycy9lMm9Eb2MueG1sUEsFBgAAAAAGAAYAWQEAAJ0FAAAAAA==&#10;">
                      <v:fill on="f" focussize="0,0"/>
                      <v:stroke color="#000000" joinstyle="round"/>
                      <v:imagedata o:title=""/>
                      <o:lock v:ext="edit" aspectratio="f"/>
                    </v:line>
                  </w:pict>
                </mc:Fallback>
              </mc:AlternateContent>
            </w: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2674620</wp:posOffset>
                      </wp:positionH>
                      <wp:positionV relativeFrom="paragraph">
                        <wp:posOffset>325755</wp:posOffset>
                      </wp:positionV>
                      <wp:extent cx="635" cy="360045"/>
                      <wp:effectExtent l="4445" t="0" r="13970" b="1905"/>
                      <wp:wrapNone/>
                      <wp:docPr id="108" name="直接连接符 108"/>
                      <wp:cNvGraphicFramePr/>
                      <a:graphic xmlns:a="http://schemas.openxmlformats.org/drawingml/2006/main">
                        <a:graphicData uri="http://schemas.microsoft.com/office/word/2010/wordprocessingShape">
                          <wps:wsp>
                            <wps:cNvCnPr/>
                            <wps:spPr>
                              <a:xfrm>
                                <a:off x="4193540" y="5279390"/>
                                <a:ext cx="635" cy="36004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210.6pt;margin-top:25.65pt;height:28.35pt;width:0.05pt;z-index:251670528;mso-width-relative:page;mso-height-relative:page;" filled="f" stroked="t" coordsize="21600,21600" o:gfxdata="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Il9+cbWAAAACgEAAA8AAAAAAAAAAQAgAAAAIgAAAGRycy9k&#10;b3ducmV2LnhtbFBLAQIUABQAAAAIAIdO4kDAjIXoBAIAAPUDAAAOAAAAAAAAAAEAIAAAACUBAABk&#10;cnMvZTJvRG9jLnhtbFBLBQYAAAAABgAGAFkBAACbBQAAAAA=&#10;">
                      <v:fill on="f" focussize="0,0"/>
                      <v:stroke color="#000000" joinstyle="round"/>
                      <v:imagedata o:title=""/>
                      <o:lock v:ext="edit" aspectratio="f"/>
                    </v:line>
                  </w:pict>
                </mc:Fallback>
              </mc:AlternateContent>
            </w:r>
            <w:r>
              <w:rPr>
                <w:color w:val="auto"/>
              </w:rPr>
              <mc:AlternateContent>
                <mc:Choice Requires="wps">
                  <w:drawing>
                    <wp:anchor distT="0" distB="0" distL="114300" distR="114300" simplePos="0" relativeHeight="251664384" behindDoc="1" locked="0" layoutInCell="1" allowOverlap="1">
                      <wp:simplePos x="0" y="0"/>
                      <wp:positionH relativeFrom="column">
                        <wp:posOffset>2233930</wp:posOffset>
                      </wp:positionH>
                      <wp:positionV relativeFrom="paragraph">
                        <wp:posOffset>40640</wp:posOffset>
                      </wp:positionV>
                      <wp:extent cx="880745" cy="281940"/>
                      <wp:effectExtent l="4445" t="4445" r="10160" b="18415"/>
                      <wp:wrapTight wrapText="bothSides">
                        <wp:wrapPolygon>
                          <wp:start x="-109" y="-341"/>
                          <wp:lineTo x="-109" y="20773"/>
                          <wp:lineTo x="21382" y="20773"/>
                          <wp:lineTo x="21382" y="-341"/>
                          <wp:lineTo x="-109" y="-341"/>
                        </wp:wrapPolygon>
                      </wp:wrapTight>
                      <wp:docPr id="100" name="文本框 100"/>
                      <wp:cNvGraphicFramePr/>
                      <a:graphic xmlns:a="http://schemas.openxmlformats.org/drawingml/2006/main">
                        <a:graphicData uri="http://schemas.microsoft.com/office/word/2010/wordprocessingShape">
                          <wps:wsp>
                            <wps:cNvSpPr txBox="1"/>
                            <wps:spPr>
                              <a:xfrm>
                                <a:off x="1990090" y="360680"/>
                                <a:ext cx="915035" cy="28194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rFonts w:hint="eastAsia" w:ascii="宋体" w:hAnsi="宋体" w:eastAsia="宋体" w:cs="宋体"/>
                                    </w:rPr>
                                  </w:pPr>
                                  <w:r>
                                    <w:rPr>
                                      <w:rFonts w:hint="eastAsia" w:ascii="宋体" w:hAnsi="宋体" w:eastAsia="宋体" w:cs="宋体"/>
                                    </w:rPr>
                                    <w:t>项目运营期</w:t>
                                  </w:r>
                                </w:p>
                              </w:txbxContent>
                            </wps:txbx>
                            <wps:bodyPr wrap="square" upright="1"/>
                          </wps:wsp>
                        </a:graphicData>
                      </a:graphic>
                    </wp:anchor>
                  </w:drawing>
                </mc:Choice>
                <mc:Fallback>
                  <w:pict>
                    <v:shape id="_x0000_s1026" o:spid="_x0000_s1026" o:spt="202" type="#_x0000_t202" style="position:absolute;left:0pt;margin-left:175.9pt;margin-top:3.2pt;height:22.2pt;width:69.35pt;mso-wrap-distance-left:9pt;mso-wrap-distance-right:9pt;z-index:-251652096;mso-width-relative:page;mso-height-relative:page;" fillcolor="#FFFFFF" filled="t" stroked="t" coordsize="21600,21600" wrapcoords="-109 -341 -109 20773 21382 20773 21382 -341 -109 -341" o:gfxdata="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K7nwuDYAAAACAEAAA8AAAAAAAAAAQAgAAAAIgAAAGRycy9kb3ducmV2LnhtbFBLAQIUABQAAAAI&#10;AIdO4kDrO/UgJgIAAGAEAAAOAAAAAAAAAAEAIAAAACcBAABkcnMvZTJvRG9jLnhtbFBLBQYAAAAA&#10;BgAGAFkBAAC/BQAAAAA=&#10;">
                      <v:fill on="t" focussize="0,0"/>
                      <v:stroke color="#000000" joinstyle="miter"/>
                      <v:imagedata o:title=""/>
                      <o:lock v:ext="edit" aspectratio="f"/>
                      <v:textbox>
                        <w:txbxContent>
                          <w:p>
                            <w:pPr>
                              <w:rPr>
                                <w:rFonts w:hint="eastAsia" w:ascii="宋体" w:hAnsi="宋体" w:eastAsia="宋体" w:cs="宋体"/>
                              </w:rPr>
                            </w:pPr>
                            <w:r>
                              <w:rPr>
                                <w:rFonts w:hint="eastAsia" w:ascii="宋体" w:hAnsi="宋体" w:eastAsia="宋体" w:cs="宋体"/>
                              </w:rPr>
                              <w:t>项目运营期</w:t>
                            </w:r>
                          </w:p>
                        </w:txbxContent>
                      </v:textbox>
                      <w10:wrap type="tight"/>
                    </v:shape>
                  </w:pict>
                </mc:Fallback>
              </mc:AlternateContent>
            </w:r>
          </w:p>
          <w:p>
            <w:pPr>
              <w:pStyle w:val="5"/>
              <w:jc w:val="center"/>
              <w:rPr>
                <w:rFonts w:hint="eastAsia"/>
                <w:bCs/>
                <w:color w:val="auto"/>
                <w:sz w:val="24"/>
                <w:szCs w:val="21"/>
              </w:rPr>
            </w:pPr>
            <w:r>
              <w:rPr>
                <w:color w:val="auto"/>
              </w:rPr>
              <mc:AlternateContent>
                <mc:Choice Requires="wps">
                  <w:drawing>
                    <wp:anchor distT="0" distB="0" distL="114300" distR="114300" simplePos="0" relativeHeight="251667456" behindDoc="1" locked="0" layoutInCell="1" allowOverlap="1">
                      <wp:simplePos x="0" y="0"/>
                      <wp:positionH relativeFrom="column">
                        <wp:posOffset>3851910</wp:posOffset>
                      </wp:positionH>
                      <wp:positionV relativeFrom="paragraph">
                        <wp:posOffset>156845</wp:posOffset>
                      </wp:positionV>
                      <wp:extent cx="6350" cy="431800"/>
                      <wp:effectExtent l="4445" t="0" r="8255" b="44450"/>
                      <wp:wrapTight wrapText="bothSides">
                        <wp:wrapPolygon>
                          <wp:start x="36720" y="0"/>
                          <wp:lineTo x="36720" y="20965"/>
                          <wp:lineTo x="36720" y="20965"/>
                          <wp:lineTo x="36720" y="0"/>
                        </wp:wrapPolygon>
                      </wp:wrapTight>
                      <wp:docPr id="99" name="直接连接符 99"/>
                      <wp:cNvGraphicFramePr/>
                      <a:graphic xmlns:a="http://schemas.openxmlformats.org/drawingml/2006/main">
                        <a:graphicData uri="http://schemas.microsoft.com/office/word/2010/wordprocessingShape">
                          <wps:wsp>
                            <wps:cNvCnPr/>
                            <wps:spPr>
                              <a:xfrm flipH="1">
                                <a:off x="0" y="0"/>
                                <a:ext cx="6350" cy="43180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flip:x;margin-left:303.3pt;margin-top:12.35pt;height:34pt;width:0.5pt;mso-wrap-distance-left:9pt;mso-wrap-distance-right:9pt;z-index:-251649024;mso-width-relative:page;mso-height-relative:page;" filled="f" stroked="t" coordsize="21600,21600" wrapcoords="36720 0 36720 20965 36720 20965 36720 0" o:gfxdata="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oaKFA1wAAAAkBAAAPAAAAAAAAAAEAIAAAACIAAABkcnMvZG93&#10;bnJldi54bWxQSwECFAAUAAAACACHTuJAgH3jZwECAADyAwAADgAAAAAAAAABACAAAAAmAQAAZHJz&#10;L2Uyb0RvYy54bWxQSwUGAAAAAAYABgBZAQAAmQUAAAAA&#10;">
                      <v:fill on="f" focussize="0,0"/>
                      <v:stroke color="#000000" joinstyle="round"/>
                      <v:imagedata o:title=""/>
                      <o:lock v:ext="edit" aspectratio="f"/>
                      <w10:wrap type="tight"/>
                    </v:line>
                  </w:pict>
                </mc:Fallback>
              </mc:AlternateContent>
            </w:r>
          </w:p>
          <w:p>
            <w:pPr>
              <w:rPr>
                <w:rFonts w:hint="eastAsia"/>
                <w:bCs/>
                <w:color w:val="auto"/>
                <w:sz w:val="24"/>
                <w:szCs w:val="21"/>
              </w:rPr>
            </w:pPr>
          </w:p>
          <w:p>
            <w:pPr>
              <w:pStyle w:val="29"/>
              <w:rPr>
                <w:rFonts w:hint="eastAsia"/>
                <w:bCs/>
                <w:color w:val="auto"/>
                <w:sz w:val="24"/>
                <w:szCs w:val="21"/>
              </w:rPr>
            </w:pPr>
            <w:r>
              <w:rPr>
                <w:color w:val="auto"/>
              </w:rPr>
              <mc:AlternateContent>
                <mc:Choice Requires="wps">
                  <w:drawing>
                    <wp:anchor distT="0" distB="0" distL="114300" distR="114300" simplePos="0" relativeHeight="251668480" behindDoc="1" locked="0" layoutInCell="1" allowOverlap="1">
                      <wp:simplePos x="0" y="0"/>
                      <wp:positionH relativeFrom="column">
                        <wp:posOffset>3479800</wp:posOffset>
                      </wp:positionH>
                      <wp:positionV relativeFrom="paragraph">
                        <wp:posOffset>75565</wp:posOffset>
                      </wp:positionV>
                      <wp:extent cx="780415" cy="329565"/>
                      <wp:effectExtent l="4445" t="4445" r="15240" b="8890"/>
                      <wp:wrapTight wrapText="bothSides">
                        <wp:wrapPolygon>
                          <wp:start x="-123" y="-291"/>
                          <wp:lineTo x="-123" y="20934"/>
                          <wp:lineTo x="20967" y="20934"/>
                          <wp:lineTo x="20967" y="-291"/>
                          <wp:lineTo x="-123" y="-291"/>
                        </wp:wrapPolygon>
                      </wp:wrapTight>
                      <wp:docPr id="96" name="文本框 96"/>
                      <wp:cNvGraphicFramePr/>
                      <a:graphic xmlns:a="http://schemas.openxmlformats.org/drawingml/2006/main">
                        <a:graphicData uri="http://schemas.microsoft.com/office/word/2010/wordprocessingShape">
                          <wps:wsp>
                            <wps:cNvSpPr txBox="1"/>
                            <wps:spPr>
                              <a:xfrm>
                                <a:off x="0" y="0"/>
                                <a:ext cx="780415" cy="32956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ascii="宋体" w:hAnsi="宋体" w:eastAsia="宋体" w:cs="宋体"/>
                                    </w:rPr>
                                  </w:pPr>
                                  <w:r>
                                    <w:rPr>
                                      <w:rFonts w:hint="eastAsia" w:ascii="宋体" w:hAnsi="宋体" w:eastAsia="宋体" w:cs="宋体"/>
                                    </w:rPr>
                                    <w:t>公辅设施</w:t>
                                  </w:r>
                                </w:p>
                              </w:txbxContent>
                            </wps:txbx>
                            <wps:bodyPr upright="1"/>
                          </wps:wsp>
                        </a:graphicData>
                      </a:graphic>
                    </wp:anchor>
                  </w:drawing>
                </mc:Choice>
                <mc:Fallback>
                  <w:pict>
                    <v:shape id="_x0000_s1026" o:spid="_x0000_s1026" o:spt="202" type="#_x0000_t202" style="position:absolute;left:0pt;margin-left:274pt;margin-top:5.95pt;height:25.95pt;width:61.45pt;mso-wrap-distance-left:9pt;mso-wrap-distance-right:9pt;z-index:-251648000;mso-width-relative:page;mso-height-relative:page;" fillcolor="#FFFFFF" filled="t" stroked="t" coordsize="21600,21600" wrapcoords="-123 -291 -123 20934 20967 20934 20967 -291 -123 -291" o:gfxdata="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D+3wWrYAAAACQEAAA8AAAAAAAAAAQAgAAAA&#10;IgAAAGRycy9kb3ducmV2LnhtbFBLAQIUABQAAAAIAIdO4kCm5X70CwIAADcEAAAOAAAAAAAAAAEA&#10;IAAAACcBAABkcnMvZTJvRG9jLnhtbFBLBQYAAAAABgAGAFkBAACkBQAAAAA=&#10;">
                      <v:fill on="t" focussize="0,0"/>
                      <v:stroke color="#000000" joinstyle="miter"/>
                      <v:imagedata o:title=""/>
                      <o:lock v:ext="edit" aspectratio="f"/>
                      <v:textbox>
                        <w:txbxContent>
                          <w:p>
                            <w:pPr>
                              <w:rPr>
                                <w:rFonts w:hint="eastAsia" w:ascii="宋体" w:hAnsi="宋体" w:eastAsia="宋体" w:cs="宋体"/>
                              </w:rPr>
                            </w:pPr>
                            <w:r>
                              <w:rPr>
                                <w:rFonts w:hint="eastAsia" w:ascii="宋体" w:hAnsi="宋体" w:eastAsia="宋体" w:cs="宋体"/>
                              </w:rPr>
                              <w:t>公辅设施</w:t>
                            </w:r>
                          </w:p>
                        </w:txbxContent>
                      </v:textbox>
                      <w10:wrap type="tight"/>
                    </v:shape>
                  </w:pict>
                </mc:Fallback>
              </mc:AlternateContent>
            </w:r>
            <w:r>
              <w:rPr>
                <w:color w:val="auto"/>
                <w:sz w:val="28"/>
              </w:rPr>
              <mc:AlternateContent>
                <mc:Choice Requires="wpg">
                  <w:drawing>
                    <wp:anchor distT="0" distB="0" distL="114300" distR="114300" simplePos="0" relativeHeight="251666432" behindDoc="1" locked="0" layoutInCell="1" allowOverlap="1">
                      <wp:simplePos x="0" y="0"/>
                      <wp:positionH relativeFrom="column">
                        <wp:posOffset>918845</wp:posOffset>
                      </wp:positionH>
                      <wp:positionV relativeFrom="paragraph">
                        <wp:posOffset>90805</wp:posOffset>
                      </wp:positionV>
                      <wp:extent cx="1089025" cy="1382395"/>
                      <wp:effectExtent l="5080" t="5080" r="10795" b="22225"/>
                      <wp:wrapTight wrapText="bothSides">
                        <wp:wrapPolygon>
                          <wp:start x="3300" y="-79"/>
                          <wp:lineTo x="3300" y="3790"/>
                          <wp:lineTo x="4433" y="4683"/>
                          <wp:lineTo x="10101" y="4683"/>
                          <wp:lineTo x="10101" y="9446"/>
                          <wp:lineTo x="-101" y="9446"/>
                          <wp:lineTo x="-101" y="21352"/>
                          <wp:lineTo x="21436" y="21352"/>
                          <wp:lineTo x="21436" y="9446"/>
                          <wp:lineTo x="11990" y="9446"/>
                          <wp:lineTo x="11612" y="4683"/>
                          <wp:lineTo x="18414" y="4683"/>
                          <wp:lineTo x="20303" y="3790"/>
                          <wp:lineTo x="19547" y="-79"/>
                          <wp:lineTo x="3300" y="-79"/>
                        </wp:wrapPolygon>
                      </wp:wrapTight>
                      <wp:docPr id="110" name="组合 110"/>
                      <wp:cNvGraphicFramePr/>
                      <a:graphic xmlns:a="http://schemas.openxmlformats.org/drawingml/2006/main">
                        <a:graphicData uri="http://schemas.microsoft.com/office/word/2010/wordprocessingGroup">
                          <wpg:wgp>
                            <wpg:cNvGrpSpPr/>
                            <wpg:grpSpPr>
                              <a:xfrm rot="0">
                                <a:off x="1751965" y="6396355"/>
                                <a:ext cx="1089025" cy="1382669"/>
                                <a:chOff x="18454" y="147324"/>
                                <a:chExt cx="1476" cy="2586"/>
                              </a:xfrm>
                            </wpg:grpSpPr>
                            <wps:wsp>
                              <wps:cNvPr id="92" name="文本框 92"/>
                              <wps:cNvSpPr txBox="1"/>
                              <wps:spPr>
                                <a:xfrm>
                                  <a:off x="18454" y="148522"/>
                                  <a:ext cx="1476" cy="138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宋体" w:hAnsi="宋体" w:eastAsia="宋体" w:cs="宋体"/>
                                        <w:szCs w:val="21"/>
                                        <w:lang w:eastAsia="zh-CN"/>
                                      </w:rPr>
                                    </w:pPr>
                                    <w:r>
                                      <w:rPr>
                                        <w:rFonts w:hint="eastAsia" w:ascii="宋体" w:hAnsi="宋体" w:eastAsia="宋体" w:cs="宋体"/>
                                      </w:rPr>
                                      <w:t>生活垃圾、</w:t>
                                    </w:r>
                                    <w:r>
                                      <w:rPr>
                                        <w:rFonts w:hint="eastAsia" w:ascii="宋体" w:hAnsi="宋体" w:eastAsia="宋体" w:cs="宋体"/>
                                        <w:szCs w:val="21"/>
                                        <w:lang w:eastAsia="zh-CN"/>
                                      </w:rPr>
                                      <w:t>生活废水</w:t>
                                    </w:r>
                                    <w:r>
                                      <w:rPr>
                                        <w:rFonts w:hint="eastAsia" w:ascii="宋体" w:hAnsi="宋体" w:eastAsia="宋体" w:cs="宋体"/>
                                        <w:szCs w:val="21"/>
                                      </w:rPr>
                                      <w:t>、</w:t>
                                    </w:r>
                                    <w:r>
                                      <w:rPr>
                                        <w:rFonts w:hint="eastAsia" w:ascii="宋体" w:hAnsi="宋体" w:eastAsia="宋体" w:cs="宋体"/>
                                        <w:szCs w:val="21"/>
                                        <w:lang w:eastAsia="zh-CN"/>
                                      </w:rPr>
                                      <w:t>食堂废水</w:t>
                                    </w:r>
                                    <w:r>
                                      <w:rPr>
                                        <w:rFonts w:hint="eastAsia" w:ascii="宋体" w:hAnsi="宋体" w:eastAsia="宋体" w:cs="宋体"/>
                                        <w:szCs w:val="21"/>
                                      </w:rPr>
                                      <w:t>、油烟废气、</w:t>
                                    </w:r>
                                    <w:r>
                                      <w:rPr>
                                        <w:rFonts w:hint="eastAsia" w:ascii="宋体" w:hAnsi="宋体" w:eastAsia="宋体" w:cs="宋体"/>
                                        <w:szCs w:val="21"/>
                                        <w:lang w:eastAsia="zh-CN"/>
                                      </w:rPr>
                                      <w:t>活动</w:t>
                                    </w:r>
                                    <w:r>
                                      <w:rPr>
                                        <w:rFonts w:hint="eastAsia" w:ascii="宋体" w:hAnsi="宋体" w:eastAsia="宋体" w:cs="宋体"/>
                                        <w:szCs w:val="21"/>
                                      </w:rPr>
                                      <w:t>噪声</w:t>
                                    </w:r>
                                    <w:r>
                                      <w:rPr>
                                        <w:rFonts w:hint="eastAsia" w:ascii="宋体" w:hAnsi="宋体" w:eastAsia="宋体" w:cs="宋体"/>
                                        <w:szCs w:val="21"/>
                                        <w:lang w:eastAsia="zh-CN"/>
                                      </w:rPr>
                                      <w:t>等</w:t>
                                    </w:r>
                                  </w:p>
                                </w:txbxContent>
                              </wps:txbx>
                              <wps:bodyPr upright="1"/>
                            </wps:wsp>
                            <wps:wsp>
                              <wps:cNvPr id="95" name="文本框 95"/>
                              <wps:cNvSpPr txBox="1"/>
                              <wps:spPr>
                                <a:xfrm>
                                  <a:off x="18744" y="147324"/>
                                  <a:ext cx="999" cy="51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宋体" w:hAnsi="宋体" w:eastAsia="宋体" w:cs="宋体"/>
                                      </w:rPr>
                                    </w:pPr>
                                    <w:r>
                                      <w:rPr>
                                        <w:rFonts w:hint="eastAsia" w:ascii="宋体" w:hAnsi="宋体" w:eastAsia="宋体" w:cs="宋体"/>
                                      </w:rPr>
                                      <w:t>生活区</w:t>
                                    </w:r>
                                  </w:p>
                                </w:txbxContent>
                              </wps:txbx>
                              <wps:bodyPr upright="1"/>
                            </wps:wsp>
                            <wps:wsp>
                              <wps:cNvPr id="93" name="直接连接符 93"/>
                              <wps:cNvCnPr/>
                              <wps:spPr>
                                <a:xfrm flipH="1">
                                  <a:off x="19220" y="147849"/>
                                  <a:ext cx="0" cy="664"/>
                                </a:xfrm>
                                <a:prstGeom prst="line">
                                  <a:avLst/>
                                </a:prstGeom>
                                <a:ln w="9525" cap="sq" cmpd="sng">
                                  <a:solidFill>
                                    <a:srgbClr val="000000"/>
                                  </a:solidFill>
                                  <a:prstDash val="sysDot"/>
                                  <a:headEnd type="none" w="med" len="med"/>
                                  <a:tailEnd type="triangle" w="med" len="med"/>
                                </a:ln>
                              </wps:spPr>
                              <wps:bodyPr upright="1"/>
                            </wps:wsp>
                          </wpg:wgp>
                        </a:graphicData>
                      </a:graphic>
                    </wp:anchor>
                  </w:drawing>
                </mc:Choice>
                <mc:Fallback>
                  <w:pict>
                    <v:group id="_x0000_s1026" o:spid="_x0000_s1026" o:spt="203" style="position:absolute;left:0pt;margin-left:72.35pt;margin-top:7.15pt;height:108.85pt;width:85.75pt;mso-wrap-distance-left:9pt;mso-wrap-distance-right:9pt;z-index:-251650048;mso-width-relative:page;mso-height-relative:page;" coordorigin="18454,147324" coordsize="1476,2586" wrapcoords="3300 -79 3300 3790 4433 4683 10101 4683 10101 9446 -101 9446 -101 21352 21436 21352 21436 9446 11990 9446 11612 4683 18414 4683 20303 3790 19547 -79 3300 -79" o:gfxdata="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">
                      <o:lock v:ext="edit" aspectratio="f"/>
                      <v:shape id="_x0000_s1026" o:spid="_x0000_s1026" o:spt="202" type="#_x0000_t202" style="position:absolute;left:18454;top:148522;height:1388;width:1476;" fillcolor="#FFFFFF" filled="t" stroked="t" coordsize="21600,21600" o:gfxdata="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Cedv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宋体" w:hAnsi="宋体" w:eastAsia="宋体" w:cs="宋体"/>
                                  <w:szCs w:val="21"/>
                                  <w:lang w:eastAsia="zh-CN"/>
                                </w:rPr>
                              </w:pPr>
                              <w:r>
                                <w:rPr>
                                  <w:rFonts w:hint="eastAsia" w:ascii="宋体" w:hAnsi="宋体" w:eastAsia="宋体" w:cs="宋体"/>
                                </w:rPr>
                                <w:t>生活垃圾、</w:t>
                              </w:r>
                              <w:r>
                                <w:rPr>
                                  <w:rFonts w:hint="eastAsia" w:ascii="宋体" w:hAnsi="宋体" w:eastAsia="宋体" w:cs="宋体"/>
                                  <w:szCs w:val="21"/>
                                  <w:lang w:eastAsia="zh-CN"/>
                                </w:rPr>
                                <w:t>生活废水</w:t>
                              </w:r>
                              <w:r>
                                <w:rPr>
                                  <w:rFonts w:hint="eastAsia" w:ascii="宋体" w:hAnsi="宋体" w:eastAsia="宋体" w:cs="宋体"/>
                                  <w:szCs w:val="21"/>
                                </w:rPr>
                                <w:t>、</w:t>
                              </w:r>
                              <w:r>
                                <w:rPr>
                                  <w:rFonts w:hint="eastAsia" w:ascii="宋体" w:hAnsi="宋体" w:eastAsia="宋体" w:cs="宋体"/>
                                  <w:szCs w:val="21"/>
                                  <w:lang w:eastAsia="zh-CN"/>
                                </w:rPr>
                                <w:t>食堂废水</w:t>
                              </w:r>
                              <w:r>
                                <w:rPr>
                                  <w:rFonts w:hint="eastAsia" w:ascii="宋体" w:hAnsi="宋体" w:eastAsia="宋体" w:cs="宋体"/>
                                  <w:szCs w:val="21"/>
                                </w:rPr>
                                <w:t>、油烟废气、</w:t>
                              </w:r>
                              <w:r>
                                <w:rPr>
                                  <w:rFonts w:hint="eastAsia" w:ascii="宋体" w:hAnsi="宋体" w:eastAsia="宋体" w:cs="宋体"/>
                                  <w:szCs w:val="21"/>
                                  <w:lang w:eastAsia="zh-CN"/>
                                </w:rPr>
                                <w:t>活动</w:t>
                              </w:r>
                              <w:r>
                                <w:rPr>
                                  <w:rFonts w:hint="eastAsia" w:ascii="宋体" w:hAnsi="宋体" w:eastAsia="宋体" w:cs="宋体"/>
                                  <w:szCs w:val="21"/>
                                </w:rPr>
                                <w:t>噪声</w:t>
                              </w:r>
                              <w:r>
                                <w:rPr>
                                  <w:rFonts w:hint="eastAsia" w:ascii="宋体" w:hAnsi="宋体" w:eastAsia="宋体" w:cs="宋体"/>
                                  <w:szCs w:val="21"/>
                                  <w:lang w:eastAsia="zh-CN"/>
                                </w:rPr>
                                <w:t>等</w:t>
                              </w:r>
                            </w:p>
                          </w:txbxContent>
                        </v:textbox>
                      </v:shape>
                      <v:shape id="_x0000_s1026" o:spid="_x0000_s1026" o:spt="202" type="#_x0000_t202" style="position:absolute;left:18744;top:147324;height:519;width:999;" fillcolor="#FFFFFF" filled="t" stroked="t" coordsize="21600,21600" o:gfxdata="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OB/G7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eastAsia" w:ascii="宋体" w:hAnsi="宋体" w:eastAsia="宋体" w:cs="宋体"/>
                                </w:rPr>
                              </w:pPr>
                              <w:r>
                                <w:rPr>
                                  <w:rFonts w:hint="eastAsia" w:ascii="宋体" w:hAnsi="宋体" w:eastAsia="宋体" w:cs="宋体"/>
                                </w:rPr>
                                <w:t>生活区</w:t>
                              </w:r>
                            </w:p>
                          </w:txbxContent>
                        </v:textbox>
                      </v:shape>
                      <v:line id="_x0000_s1026" o:spid="_x0000_s1026" o:spt="20" style="position:absolute;left:19220;top:147849;flip:x;height:664;width:0;" filled="f" stroked="t" coordsize="21600,21600" o:gfxdata="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DSf+2/&#10;AAAA2wAAAA8AAAAAAAAAAQAgAAAAIgAAAGRycy9kb3ducmV2LnhtbFBLAQIUABQAAAAIAIdO4kAz&#10;LwWeOwAAADkAAAAQAAAAAAAAAAEAIAAAAA4BAABkcnMvc2hhcGV4bWwueG1sUEsFBgAAAAAGAAYA&#10;WwEAALgDAAAAAA==&#10;">
                        <v:fill on="f" focussize="0,0"/>
                        <v:stroke color="#000000" joinstyle="round" dashstyle="1 1" endcap="square" endarrow="block"/>
                        <v:imagedata o:title=""/>
                        <o:lock v:ext="edit" aspectratio="f"/>
                      </v:line>
                      <w10:wrap type="tight"/>
                    </v:group>
                  </w:pict>
                </mc:Fallback>
              </mc:AlternateContent>
            </w:r>
          </w:p>
          <w:p>
            <w:pPr>
              <w:pStyle w:val="29"/>
              <w:rPr>
                <w:rFonts w:hint="eastAsia"/>
                <w:bCs/>
                <w:color w:val="auto"/>
                <w:sz w:val="24"/>
                <w:szCs w:val="21"/>
              </w:rPr>
            </w:pPr>
            <w:r>
              <w:rPr>
                <w:color w:val="auto"/>
              </w:rPr>
              <mc:AlternateContent>
                <mc:Choice Requires="wps">
                  <w:drawing>
                    <wp:anchor distT="0" distB="0" distL="114300" distR="114300" simplePos="0" relativeHeight="251668480" behindDoc="1" locked="0" layoutInCell="1" allowOverlap="1">
                      <wp:simplePos x="0" y="0"/>
                      <wp:positionH relativeFrom="column">
                        <wp:posOffset>3902075</wp:posOffset>
                      </wp:positionH>
                      <wp:positionV relativeFrom="paragraph">
                        <wp:posOffset>168275</wp:posOffset>
                      </wp:positionV>
                      <wp:extent cx="0" cy="360045"/>
                      <wp:effectExtent l="38100" t="4445" r="38100" b="54610"/>
                      <wp:wrapTight wrapText="bothSides">
                        <wp:wrapPolygon>
                          <wp:start x="0" y="-267"/>
                          <wp:lineTo x="0" y="20305"/>
                          <wp:lineTo x="-2147483648" y="20305"/>
                          <wp:lineTo x="-2147483648" y="-267"/>
                          <wp:lineTo x="0" y="-267"/>
                        </wp:wrapPolygon>
                      </wp:wrapTight>
                      <wp:docPr id="91" name="直接连接符 91"/>
                      <wp:cNvGraphicFramePr/>
                      <a:graphic xmlns:a="http://schemas.openxmlformats.org/drawingml/2006/main">
                        <a:graphicData uri="http://schemas.microsoft.com/office/word/2010/wordprocessingShape">
                          <wps:wsp>
                            <wps:cNvCnPr/>
                            <wps:spPr>
                              <a:xfrm flipH="1">
                                <a:off x="0" y="0"/>
                                <a:ext cx="0" cy="360045"/>
                              </a:xfrm>
                              <a:prstGeom prst="line">
                                <a:avLst/>
                              </a:prstGeom>
                              <a:ln w="9525" cap="sq" cmpd="sng">
                                <a:solidFill>
                                  <a:srgbClr val="000000"/>
                                </a:solidFill>
                                <a:prstDash val="sysDot"/>
                                <a:headEnd type="none" w="med" len="med"/>
                                <a:tailEnd type="triangle" w="med" len="med"/>
                              </a:ln>
                            </wps:spPr>
                            <wps:bodyPr upright="1"/>
                          </wps:wsp>
                        </a:graphicData>
                      </a:graphic>
                    </wp:anchor>
                  </w:drawing>
                </mc:Choice>
                <mc:Fallback>
                  <w:pict>
                    <v:line id="_x0000_s1026" o:spid="_x0000_s1026" o:spt="20" style="position:absolute;left:0pt;flip:x;margin-left:307.25pt;margin-top:13.25pt;height:28.35pt;width:0pt;mso-wrap-distance-left:9pt;mso-wrap-distance-right:9pt;z-index:-251648000;mso-width-relative:page;mso-height-relative:page;" filled="f" stroked="t" coordsize="21600,21600" wrapcoords="0 -267 0 20305 -2147483648 20305 -2147483648 -267 0 -267" o:gfxdata="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Y45PS9kAAAAJAQAADwAAAAAAAAABACAAAAAiAAAAZHJz&#10;L2Rvd25yZXYueG1sUEsBAhQAFAAAAAgAh07iQPLd8EADAgAA8gMAAA4AAAAAAAAAAQAgAAAAKAEA&#10;AGRycy9lMm9Eb2MueG1sUEsFBgAAAAAGAAYAWQEAAJ0FAAAAAA==&#10;">
                      <v:fill on="f" focussize="0,0"/>
                      <v:stroke color="#000000" joinstyle="round" dashstyle="1 1" endcap="square" endarrow="block"/>
                      <v:imagedata o:title=""/>
                      <o:lock v:ext="edit" aspectratio="f"/>
                      <w10:wrap type="tight"/>
                    </v:line>
                  </w:pict>
                </mc:Fallback>
              </mc:AlternateContent>
            </w:r>
          </w:p>
          <w:p>
            <w:pPr>
              <w:pStyle w:val="29"/>
              <w:rPr>
                <w:rFonts w:hint="eastAsia"/>
                <w:bCs/>
                <w:color w:val="auto"/>
                <w:sz w:val="24"/>
                <w:szCs w:val="21"/>
              </w:rPr>
            </w:pPr>
          </w:p>
          <w:p>
            <w:pPr>
              <w:pStyle w:val="29"/>
              <w:rPr>
                <w:rFonts w:hint="eastAsia"/>
                <w:bCs/>
                <w:color w:val="auto"/>
                <w:sz w:val="24"/>
                <w:szCs w:val="21"/>
              </w:rPr>
            </w:pPr>
            <w:r>
              <w:rPr>
                <w:color w:val="auto"/>
              </w:rPr>
              <mc:AlternateContent>
                <mc:Choice Requires="wps">
                  <w:drawing>
                    <wp:anchor distT="0" distB="0" distL="114300" distR="114300" simplePos="0" relativeHeight="251663360" behindDoc="1" locked="0" layoutInCell="1" allowOverlap="1">
                      <wp:simplePos x="0" y="0"/>
                      <wp:positionH relativeFrom="column">
                        <wp:posOffset>3289300</wp:posOffset>
                      </wp:positionH>
                      <wp:positionV relativeFrom="paragraph">
                        <wp:posOffset>79375</wp:posOffset>
                      </wp:positionV>
                      <wp:extent cx="1232535" cy="448310"/>
                      <wp:effectExtent l="5080" t="4445" r="19685" b="42545"/>
                      <wp:wrapTight wrapText="bothSides">
                        <wp:wrapPolygon>
                          <wp:start x="-78" y="-214"/>
                          <wp:lineTo x="-78" y="20896"/>
                          <wp:lineTo x="21288" y="20896"/>
                          <wp:lineTo x="21288" y="-214"/>
                          <wp:lineTo x="-78" y="-214"/>
                        </wp:wrapPolygon>
                      </wp:wrapTight>
                      <wp:docPr id="98" name="文本框 98"/>
                      <wp:cNvGraphicFramePr/>
                      <a:graphic xmlns:a="http://schemas.openxmlformats.org/drawingml/2006/main">
                        <a:graphicData uri="http://schemas.microsoft.com/office/word/2010/wordprocessingShape">
                          <wps:wsp>
                            <wps:cNvSpPr txBox="1"/>
                            <wps:spPr>
                              <a:xfrm>
                                <a:off x="0" y="0"/>
                                <a:ext cx="1232535" cy="4483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宋体" w:hAnsi="宋体" w:eastAsia="宋体" w:cs="宋体"/>
                                      <w:sz w:val="21"/>
                                      <w:lang w:val="en-US" w:eastAsia="zh-CN"/>
                                    </w:rPr>
                                  </w:pPr>
                                  <w:r>
                                    <w:rPr>
                                      <w:rFonts w:hint="eastAsia" w:ascii="宋体" w:hAnsi="宋体" w:eastAsia="宋体" w:cs="宋体"/>
                                      <w:sz w:val="21"/>
                                    </w:rPr>
                                    <w:t>汽车尾气、设备噪声</w:t>
                                  </w:r>
                                  <w:r>
                                    <w:rPr>
                                      <w:rFonts w:hint="eastAsia" w:ascii="宋体" w:hAnsi="宋体" w:cs="宋体"/>
                                      <w:sz w:val="21"/>
                                      <w:lang w:val="en-US" w:eastAsia="zh-CN"/>
                                    </w:rPr>
                                    <w:t>等</w:t>
                                  </w:r>
                                </w:p>
                              </w:txbxContent>
                            </wps:txbx>
                            <wps:bodyPr upright="1"/>
                          </wps:wsp>
                        </a:graphicData>
                      </a:graphic>
                    </wp:anchor>
                  </w:drawing>
                </mc:Choice>
                <mc:Fallback>
                  <w:pict>
                    <v:shape id="_x0000_s1026" o:spid="_x0000_s1026" o:spt="202" type="#_x0000_t202" style="position:absolute;left:0pt;margin-left:259pt;margin-top:6.25pt;height:35.3pt;width:97.05pt;mso-wrap-distance-left:9pt;mso-wrap-distance-right:9pt;z-index:-251653120;mso-width-relative:page;mso-height-relative:page;" fillcolor="#FFFFFF" filled="t" stroked="t" coordsize="21600,21600" wrapcoords="-78 -214 -78 20896 21288 20896 21288 -214 -78 -214" o:gfxdata="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NByqQtgAAAAJAQAADwAAAAAAAAABACAA&#10;AAAiAAAAZHJzL2Rvd25yZXYueG1sUEsBAhQAFAAAAAgAh07iQIPajTANAgAAOAQAAA4AAAAAAAAA&#10;AQAgAAAAJwEAAGRycy9lMm9Eb2MueG1sUEsFBgAAAAAGAAYAWQEAAKYFAAAAAA==&#10;">
                      <v:fill on="t" focussize="0,0"/>
                      <v:stroke color="#000000" joinstyle="miter"/>
                      <v:imagedata o:title=""/>
                      <o:lock v:ext="edit" aspectratio="f"/>
                      <v:textbox>
                        <w:txbxContent>
                          <w:p>
                            <w:pPr>
                              <w:pStyle w:val="6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宋体" w:hAnsi="宋体" w:eastAsia="宋体" w:cs="宋体"/>
                                <w:sz w:val="21"/>
                                <w:lang w:val="en-US" w:eastAsia="zh-CN"/>
                              </w:rPr>
                            </w:pPr>
                            <w:r>
                              <w:rPr>
                                <w:rFonts w:hint="eastAsia" w:ascii="宋体" w:hAnsi="宋体" w:eastAsia="宋体" w:cs="宋体"/>
                                <w:sz w:val="21"/>
                              </w:rPr>
                              <w:t>汽车尾气、设备噪声</w:t>
                            </w:r>
                            <w:r>
                              <w:rPr>
                                <w:rFonts w:hint="eastAsia" w:ascii="宋体" w:hAnsi="宋体" w:cs="宋体"/>
                                <w:sz w:val="21"/>
                                <w:lang w:val="en-US" w:eastAsia="zh-CN"/>
                              </w:rPr>
                              <w:t>等</w:t>
                            </w:r>
                          </w:p>
                        </w:txbxContent>
                      </v:textbox>
                      <w10:wrap type="tight"/>
                    </v:shape>
                  </w:pict>
                </mc:Fallback>
              </mc:AlternateContent>
            </w:r>
          </w:p>
          <w:p>
            <w:pPr>
              <w:pStyle w:val="29"/>
              <w:rPr>
                <w:rFonts w:hint="eastAsia"/>
                <w:bCs/>
                <w:color w:val="auto"/>
                <w:sz w:val="24"/>
                <w:szCs w:val="21"/>
              </w:rPr>
            </w:pPr>
          </w:p>
          <w:p>
            <w:pPr>
              <w:pStyle w:val="29"/>
              <w:rPr>
                <w:rFonts w:hint="eastAsia"/>
                <w:bCs/>
                <w:color w:val="auto"/>
                <w:sz w:val="24"/>
                <w:szCs w:val="21"/>
              </w:rPr>
            </w:pPr>
          </w:p>
          <w:p>
            <w:pPr>
              <w:pStyle w:val="29"/>
              <w:rPr>
                <w:rFonts w:hint="eastAsia"/>
                <w:bCs/>
                <w:color w:val="auto"/>
                <w:sz w:val="24"/>
                <w:szCs w:val="21"/>
              </w:rPr>
            </w:pP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center"/>
              <w:textAlignment w:val="auto"/>
              <w:rPr>
                <w:rFonts w:hint="eastAsia" w:ascii="Times New Roman" w:hAnsi="Times New Roman" w:eastAsia="宋体" w:cs="Times New Roman"/>
                <w:b/>
                <w:color w:val="auto"/>
                <w:sz w:val="24"/>
                <w:szCs w:val="21"/>
              </w:rPr>
            </w:pPr>
            <w:r>
              <w:rPr>
                <w:rFonts w:hint="eastAsia" w:ascii="Times New Roman" w:hAnsi="Times New Roman" w:eastAsia="宋体" w:cs="Times New Roman"/>
                <w:b/>
                <w:color w:val="auto"/>
                <w:sz w:val="24"/>
                <w:szCs w:val="21"/>
                <w:lang w:val="en-US" w:eastAsia="zh-CN"/>
              </w:rPr>
              <w:t xml:space="preserve">图2.1 </w:t>
            </w:r>
            <w:r>
              <w:rPr>
                <w:rFonts w:hint="default" w:ascii="Times New Roman" w:hAnsi="Times New Roman" w:eastAsia="宋体" w:cs="Times New Roman"/>
                <w:b/>
                <w:color w:val="auto"/>
                <w:sz w:val="24"/>
                <w:szCs w:val="21"/>
              </w:rPr>
              <w:t>营运期工艺流程及产污环节图</w:t>
            </w:r>
          </w:p>
          <w:p>
            <w:pPr>
              <w:jc w:val="center"/>
              <w:rPr>
                <w:color w:val="auto"/>
              </w:rPr>
            </w:pPr>
          </w:p>
          <w:p>
            <w:pPr>
              <w:adjustRightInd w:val="0"/>
              <w:snapToGrid w:val="0"/>
              <w:spacing w:line="360" w:lineRule="auto"/>
              <w:ind w:firstLine="482" w:firstLineChars="200"/>
              <w:jc w:val="left"/>
              <w:rPr>
                <w:b/>
                <w:color w:val="auto"/>
                <w:sz w:val="24"/>
                <w:szCs w:val="21"/>
              </w:rPr>
            </w:pPr>
            <w:r>
              <w:rPr>
                <w:rFonts w:hint="eastAsia"/>
                <w:b/>
                <w:color w:val="auto"/>
                <w:sz w:val="24"/>
                <w:szCs w:val="21"/>
              </w:rPr>
              <w:t>2</w:t>
            </w:r>
            <w:r>
              <w:rPr>
                <w:rFonts w:hint="eastAsia"/>
                <w:b/>
                <w:color w:val="auto"/>
                <w:sz w:val="24"/>
                <w:szCs w:val="21"/>
                <w:lang w:val="en-US" w:eastAsia="zh-CN"/>
              </w:rPr>
              <w:t>.2</w:t>
            </w:r>
            <w:r>
              <w:rPr>
                <w:rFonts w:hint="eastAsia"/>
                <w:b/>
                <w:color w:val="auto"/>
                <w:sz w:val="24"/>
                <w:szCs w:val="21"/>
              </w:rPr>
              <w:t>主要产污环节</w:t>
            </w:r>
          </w:p>
          <w:p>
            <w:pPr>
              <w:spacing w:line="360" w:lineRule="auto"/>
              <w:ind w:firstLine="484" w:firstLineChars="202"/>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（1）废水：</w:t>
            </w:r>
            <w:r>
              <w:rPr>
                <w:rFonts w:hint="eastAsia" w:cs="Times New Roman"/>
                <w:color w:val="auto"/>
                <w:sz w:val="24"/>
                <w:lang w:val="en-US" w:eastAsia="zh-CN"/>
              </w:rPr>
              <w:t>生活污水</w:t>
            </w:r>
            <w:r>
              <w:rPr>
                <w:rFonts w:hint="default" w:ascii="Times New Roman" w:hAnsi="Times New Roman" w:eastAsia="宋体" w:cs="Times New Roman"/>
                <w:color w:val="auto"/>
                <w:sz w:val="24"/>
              </w:rPr>
              <w:t>。</w:t>
            </w:r>
          </w:p>
          <w:p>
            <w:pPr>
              <w:spacing w:line="360" w:lineRule="auto"/>
              <w:ind w:firstLine="484" w:firstLineChars="202"/>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（2）废气：油烟废气、汽车尾气。</w:t>
            </w:r>
          </w:p>
          <w:p>
            <w:pPr>
              <w:spacing w:line="360" w:lineRule="auto"/>
              <w:ind w:firstLine="484" w:firstLineChars="202"/>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（3）噪声：设备噪声（配电</w:t>
            </w:r>
            <w:r>
              <w:rPr>
                <w:rFonts w:hint="eastAsia" w:cs="Times New Roman"/>
                <w:color w:val="auto"/>
                <w:sz w:val="24"/>
                <w:lang w:val="en-US" w:eastAsia="zh-CN"/>
              </w:rPr>
              <w:t>间、电梯机组</w:t>
            </w:r>
            <w:r>
              <w:rPr>
                <w:rFonts w:hint="default" w:ascii="Times New Roman" w:hAnsi="Times New Roman" w:eastAsia="宋体" w:cs="Times New Roman"/>
                <w:color w:val="auto"/>
                <w:sz w:val="24"/>
              </w:rPr>
              <w:t>等设备）、机动车辆噪声及人群活动噪声。</w:t>
            </w:r>
          </w:p>
          <w:p>
            <w:pPr>
              <w:adjustRightInd w:val="0"/>
              <w:snapToGrid w:val="0"/>
              <w:spacing w:line="360" w:lineRule="auto"/>
              <w:ind w:firstLine="480" w:firstLineChars="200"/>
              <w:jc w:val="left"/>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rPr>
              <w:t>（4）固废：生活垃圾</w:t>
            </w:r>
          </w:p>
          <w:p>
            <w:pPr>
              <w:adjustRightInd w:val="0"/>
              <w:snapToGrid w:val="0"/>
              <w:spacing w:line="360" w:lineRule="auto"/>
              <w:ind w:firstLine="480" w:firstLineChars="200"/>
              <w:jc w:val="left"/>
              <w:rPr>
                <w:rFonts w:hint="default"/>
                <w:bCs/>
                <w:color w:val="auto"/>
                <w:sz w:val="24"/>
                <w:szCs w:val="21"/>
                <w:lang w:val="en-US"/>
              </w:rPr>
            </w:pPr>
          </w:p>
          <w:p>
            <w:pPr>
              <w:adjustRightInd w:val="0"/>
              <w:snapToGrid w:val="0"/>
              <w:spacing w:line="360" w:lineRule="auto"/>
              <w:ind w:firstLine="480" w:firstLineChars="200"/>
              <w:jc w:val="left"/>
              <w:rPr>
                <w:rFonts w:hint="default"/>
                <w:bCs/>
                <w:color w:val="auto"/>
                <w:sz w:val="24"/>
                <w:szCs w:val="21"/>
                <w:lang w:val="en-US"/>
              </w:rPr>
            </w:pPr>
          </w:p>
          <w:p>
            <w:pPr>
              <w:adjustRightInd w:val="0"/>
              <w:snapToGrid w:val="0"/>
              <w:spacing w:line="360" w:lineRule="auto"/>
              <w:ind w:firstLine="480" w:firstLineChars="200"/>
              <w:jc w:val="left"/>
              <w:rPr>
                <w:rFonts w:hint="default"/>
                <w:bCs/>
                <w:color w:val="auto"/>
                <w:sz w:val="24"/>
                <w:szCs w:val="21"/>
                <w:lang w:val="en-US"/>
              </w:rPr>
            </w:pPr>
          </w:p>
          <w:p>
            <w:pPr>
              <w:adjustRightInd w:val="0"/>
              <w:snapToGrid w:val="0"/>
              <w:spacing w:line="360" w:lineRule="auto"/>
              <w:ind w:firstLine="480" w:firstLineChars="200"/>
              <w:jc w:val="left"/>
              <w:rPr>
                <w:rFonts w:hint="default"/>
                <w:bCs/>
                <w:color w:val="auto"/>
                <w:sz w:val="24"/>
                <w:szCs w:val="21"/>
                <w:lang w:val="en-US"/>
              </w:rPr>
            </w:pPr>
          </w:p>
          <w:p>
            <w:pPr>
              <w:adjustRightInd w:val="0"/>
              <w:snapToGrid w:val="0"/>
              <w:spacing w:line="360" w:lineRule="auto"/>
              <w:ind w:firstLine="480" w:firstLineChars="200"/>
              <w:jc w:val="left"/>
              <w:rPr>
                <w:rFonts w:hint="default"/>
                <w:bCs/>
                <w:color w:val="auto"/>
                <w:sz w:val="24"/>
                <w:szCs w:val="21"/>
                <w:lang w:val="en-US"/>
              </w:rPr>
            </w:pPr>
          </w:p>
          <w:p>
            <w:pPr>
              <w:adjustRightInd w:val="0"/>
              <w:snapToGrid w:val="0"/>
              <w:spacing w:line="360" w:lineRule="auto"/>
              <w:ind w:firstLine="480" w:firstLineChars="200"/>
              <w:jc w:val="left"/>
              <w:rPr>
                <w:rFonts w:hint="default"/>
                <w:bCs/>
                <w:color w:val="auto"/>
                <w:sz w:val="24"/>
                <w:szCs w:val="21"/>
                <w:lang w:val="en-US"/>
              </w:rPr>
            </w:pPr>
          </w:p>
        </w:tc>
      </w:tr>
    </w:tbl>
    <w:p>
      <w:pPr>
        <w:pStyle w:val="19"/>
        <w:jc w:val="center"/>
        <w:rPr>
          <w:rFonts w:ascii="黑体" w:hAnsi="黑体" w:eastAsia="黑体"/>
          <w:snapToGrid w:val="0"/>
          <w:color w:val="auto"/>
          <w:sz w:val="36"/>
          <w:szCs w:val="36"/>
        </w:rPr>
        <w:sectPr>
          <w:footerReference r:id="rId6"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19"/>
        <w:jc w:val="center"/>
        <w:outlineLvl w:val="0"/>
        <w:rPr>
          <w:rFonts w:ascii="黑体" w:hAnsi="黑体" w:eastAsia="黑体"/>
          <w:snapToGrid w:val="0"/>
          <w:color w:val="auto"/>
          <w:sz w:val="30"/>
          <w:szCs w:val="30"/>
        </w:rPr>
      </w:pPr>
      <w:bookmarkStart w:id="12" w:name="_Toc27085"/>
      <w:bookmarkStart w:id="13" w:name="_Toc22086"/>
      <w:r>
        <w:rPr>
          <w:rFonts w:hint="eastAsia" w:ascii="黑体" w:hAnsi="黑体" w:eastAsia="黑体"/>
          <w:snapToGrid w:val="0"/>
          <w:color w:val="auto"/>
          <w:sz w:val="30"/>
          <w:szCs w:val="30"/>
        </w:rPr>
        <w:t>三、</w:t>
      </w:r>
      <w:r>
        <w:rPr>
          <w:rFonts w:hint="eastAsia" w:ascii="黑体" w:hAnsi="黑体" w:eastAsia="黑体"/>
          <w:snapToGrid w:val="0"/>
          <w:color w:val="auto"/>
          <w:sz w:val="30"/>
          <w:szCs w:val="30"/>
          <w:lang w:val="en-US" w:eastAsia="zh-CN"/>
        </w:rPr>
        <w:t>生态</w:t>
      </w:r>
      <w:r>
        <w:rPr>
          <w:rFonts w:hint="eastAsia" w:ascii="黑体" w:hAnsi="黑体" w:eastAsia="黑体"/>
          <w:snapToGrid w:val="0"/>
          <w:color w:val="auto"/>
          <w:sz w:val="30"/>
          <w:szCs w:val="30"/>
        </w:rPr>
        <w:t>环境现状、环境保护目标及评价标准</w:t>
      </w:r>
      <w:bookmarkEnd w:id="12"/>
      <w:bookmarkEnd w:id="13"/>
    </w:p>
    <w:tbl>
      <w:tblPr>
        <w:tblStyle w:val="22"/>
        <w:tblW w:w="89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1" w:type="dxa"/>
          <w:bottom w:w="0" w:type="dxa"/>
          <w:right w:w="51"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431" w:hRule="atLeast"/>
          <w:jc w:val="center"/>
        </w:trPr>
        <w:tc>
          <w:tcPr>
            <w:tcW w:w="800" w:type="dxa"/>
            <w:vAlign w:val="center"/>
          </w:tcPr>
          <w:p>
            <w:pPr>
              <w:adjustRightInd w:val="0"/>
              <w:snapToGrid w:val="0"/>
              <w:jc w:val="center"/>
              <w:rPr>
                <w:rFonts w:hint="default" w:eastAsia="宋体" w:cs="宋体"/>
                <w:color w:val="auto"/>
                <w:kern w:val="0"/>
                <w:sz w:val="24"/>
                <w:szCs w:val="21"/>
                <w:lang w:val="en-US" w:eastAsia="zh-CN"/>
              </w:rPr>
            </w:pPr>
            <w:r>
              <w:rPr>
                <w:rFonts w:hint="eastAsia" w:cs="宋体"/>
                <w:color w:val="auto"/>
                <w:kern w:val="0"/>
                <w:sz w:val="24"/>
                <w:szCs w:val="21"/>
                <w:lang w:val="en-US" w:eastAsia="zh-CN"/>
              </w:rPr>
              <w:t>生态环境现状</w:t>
            </w:r>
          </w:p>
        </w:tc>
        <w:tc>
          <w:tcPr>
            <w:tcW w:w="8190" w:type="dxa"/>
            <w:vAlign w:val="center"/>
          </w:tcPr>
          <w:p>
            <w:pPr>
              <w:spacing w:line="360" w:lineRule="auto"/>
              <w:rPr>
                <w:b/>
                <w:color w:val="auto"/>
                <w:sz w:val="24"/>
                <w:szCs w:val="21"/>
              </w:rPr>
            </w:pPr>
            <w:r>
              <w:rPr>
                <w:rFonts w:hint="eastAsia"/>
                <w:b/>
                <w:color w:val="auto"/>
                <w:sz w:val="24"/>
                <w:szCs w:val="21"/>
              </w:rPr>
              <w:t>1</w:t>
            </w:r>
            <w:r>
              <w:rPr>
                <w:b/>
                <w:color w:val="auto"/>
                <w:sz w:val="24"/>
                <w:szCs w:val="21"/>
              </w:rPr>
              <w:t>、环境空气质量现状</w:t>
            </w:r>
          </w:p>
          <w:p>
            <w:pPr>
              <w:pStyle w:val="65"/>
              <w:ind w:firstLine="480"/>
              <w:rPr>
                <w:rFonts w:hint="default" w:ascii="Times New Roman" w:hAnsi="Times New Roman" w:cs="Times New Roman"/>
                <w:b/>
                <w:bCs/>
                <w:color w:val="auto"/>
              </w:rPr>
            </w:pPr>
            <w:r>
              <w:rPr>
                <w:rFonts w:hint="default" w:ascii="Times New Roman" w:hAnsi="Times New Roman" w:cs="Times New Roman"/>
                <w:b/>
                <w:bCs/>
                <w:color w:val="auto"/>
              </w:rPr>
              <w:t>1、大气环境质量现状</w:t>
            </w:r>
          </w:p>
          <w:p>
            <w:pPr>
              <w:pStyle w:val="65"/>
              <w:ind w:firstLine="480"/>
              <w:rPr>
                <w:rFonts w:hint="default" w:ascii="Times New Roman" w:hAnsi="Times New Roman" w:cs="Times New Roman"/>
                <w:color w:val="auto"/>
              </w:rPr>
            </w:pPr>
            <w:r>
              <w:rPr>
                <w:rFonts w:hint="default" w:ascii="Times New Roman" w:hAnsi="Times New Roman" w:cs="Times New Roman"/>
                <w:color w:val="auto"/>
              </w:rPr>
              <w:t>根据《环境影响评价技术导则大气环境》（HJ2.2-2018），项目所在区域达标情况判定优先采用国家或地方生态环境主管部门公开发布的环境质量公告或环境质量报告中的数据或结论。本项目</w:t>
            </w:r>
            <w:r>
              <w:rPr>
                <w:rFonts w:hint="default" w:ascii="Times New Roman" w:hAnsi="Times New Roman" w:cs="Times New Roman"/>
                <w:color w:val="auto"/>
                <w:szCs w:val="21"/>
              </w:rPr>
              <w:t>SO</w:t>
            </w:r>
            <w:r>
              <w:rPr>
                <w:rFonts w:hint="default" w:ascii="Times New Roman" w:hAnsi="Times New Roman" w:cs="Times New Roman"/>
                <w:color w:val="auto"/>
                <w:szCs w:val="21"/>
                <w:vertAlign w:val="subscript"/>
              </w:rPr>
              <w:t>2</w:t>
            </w:r>
            <w:r>
              <w:rPr>
                <w:rFonts w:hint="default" w:ascii="Times New Roman" w:hAnsi="Times New Roman" w:cs="Times New Roman"/>
                <w:color w:val="auto"/>
                <w:szCs w:val="21"/>
              </w:rPr>
              <w:t>、NO</w:t>
            </w:r>
            <w:r>
              <w:rPr>
                <w:rFonts w:hint="default" w:ascii="Times New Roman" w:hAnsi="Times New Roman" w:cs="Times New Roman"/>
                <w:color w:val="auto"/>
                <w:szCs w:val="21"/>
                <w:vertAlign w:val="subscript"/>
              </w:rPr>
              <w:t>2</w:t>
            </w:r>
            <w:r>
              <w:rPr>
                <w:rFonts w:hint="default" w:ascii="Times New Roman" w:hAnsi="Times New Roman" w:cs="Times New Roman"/>
                <w:color w:val="auto"/>
                <w:szCs w:val="21"/>
              </w:rPr>
              <w:t>、PM</w:t>
            </w:r>
            <w:r>
              <w:rPr>
                <w:rFonts w:hint="default" w:ascii="Times New Roman" w:hAnsi="Times New Roman" w:cs="Times New Roman"/>
                <w:color w:val="auto"/>
                <w:szCs w:val="21"/>
                <w:vertAlign w:val="subscript"/>
              </w:rPr>
              <w:t>10</w:t>
            </w:r>
            <w:r>
              <w:rPr>
                <w:rFonts w:hint="default" w:ascii="Times New Roman" w:hAnsi="Times New Roman" w:cs="Times New Roman"/>
                <w:color w:val="auto"/>
                <w:szCs w:val="21"/>
              </w:rPr>
              <w:t>、PM</w:t>
            </w:r>
            <w:r>
              <w:rPr>
                <w:rFonts w:hint="default" w:ascii="Times New Roman" w:hAnsi="Times New Roman" w:cs="Times New Roman"/>
                <w:color w:val="auto"/>
                <w:szCs w:val="21"/>
                <w:vertAlign w:val="subscript"/>
              </w:rPr>
              <w:t>2.5</w:t>
            </w:r>
            <w:r>
              <w:rPr>
                <w:rFonts w:hint="default" w:ascii="Times New Roman" w:hAnsi="Times New Roman" w:cs="Times New Roman"/>
                <w:color w:val="auto"/>
                <w:szCs w:val="21"/>
              </w:rPr>
              <w:t>、CO、O</w:t>
            </w:r>
            <w:r>
              <w:rPr>
                <w:rFonts w:hint="default" w:ascii="Times New Roman" w:hAnsi="Times New Roman" w:cs="Times New Roman"/>
                <w:color w:val="auto"/>
                <w:szCs w:val="21"/>
                <w:vertAlign w:val="subscript"/>
              </w:rPr>
              <w:t>3</w:t>
            </w:r>
            <w:r>
              <w:rPr>
                <w:rFonts w:hint="default" w:ascii="Times New Roman" w:hAnsi="Times New Roman" w:cs="Times New Roman"/>
                <w:color w:val="auto"/>
              </w:rPr>
              <w:t>等基本污染物环境空气质量现状采用岳阳市生态环境局公开发布的2023年度华容县空气质量年报中公布的数据。</w:t>
            </w:r>
          </w:p>
          <w:p>
            <w:pPr>
              <w:pStyle w:val="66"/>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rPr>
            </w:pPr>
            <w:r>
              <w:rPr>
                <w:rFonts w:hint="default" w:ascii="Times New Roman" w:hAnsi="Times New Roman" w:cs="Times New Roman"/>
                <w:color w:val="auto"/>
              </w:rPr>
              <w:t>表3-1  2023年度华容县环境空气质量状况统计表单位：ug/m</w:t>
            </w:r>
            <w:r>
              <w:rPr>
                <w:rFonts w:hint="default" w:ascii="Times New Roman" w:hAnsi="Times New Roman" w:cs="Times New Roman"/>
                <w:color w:val="auto"/>
                <w:vertAlign w:val="superscript"/>
              </w:rPr>
              <w:t>3</w:t>
            </w:r>
          </w:p>
          <w:tbl>
            <w:tblPr>
              <w:tblStyle w:val="22"/>
              <w:tblW w:w="796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8"/>
              <w:gridCol w:w="2783"/>
              <w:gridCol w:w="1011"/>
              <w:gridCol w:w="1068"/>
              <w:gridCol w:w="1097"/>
              <w:gridCol w:w="11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4"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b/>
                      <w:bCs/>
                      <w:color w:val="auto"/>
                    </w:rPr>
                  </w:pPr>
                  <w:r>
                    <w:rPr>
                      <w:rFonts w:hint="default" w:ascii="Times New Roman" w:hAnsi="Times New Roman" w:cs="Times New Roman"/>
                      <w:b/>
                      <w:bCs/>
                      <w:color w:val="auto"/>
                    </w:rPr>
                    <w:t>污染物</w:t>
                  </w:r>
                </w:p>
              </w:tc>
              <w:tc>
                <w:tcPr>
                  <w:tcW w:w="2805"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b/>
                      <w:bCs/>
                      <w:color w:val="auto"/>
                    </w:rPr>
                  </w:pPr>
                  <w:r>
                    <w:rPr>
                      <w:rFonts w:hint="default" w:ascii="Times New Roman" w:hAnsi="Times New Roman" w:cs="Times New Roman"/>
                      <w:b/>
                      <w:bCs/>
                      <w:color w:val="auto"/>
                    </w:rPr>
                    <w:t>评价指标</w:t>
                  </w:r>
                </w:p>
              </w:tc>
              <w:tc>
                <w:tcPr>
                  <w:tcW w:w="1018"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b/>
                      <w:bCs/>
                      <w:color w:val="auto"/>
                    </w:rPr>
                  </w:pPr>
                  <w:r>
                    <w:rPr>
                      <w:rFonts w:hint="default" w:ascii="Times New Roman" w:hAnsi="Times New Roman" w:cs="Times New Roman"/>
                      <w:b/>
                      <w:bCs/>
                      <w:color w:val="auto"/>
                    </w:rPr>
                    <w:t>现状</w:t>
                  </w:r>
                </w:p>
                <w:p>
                  <w:pPr>
                    <w:pStyle w:val="67"/>
                    <w:rPr>
                      <w:rFonts w:hint="default" w:ascii="Times New Roman" w:hAnsi="Times New Roman" w:cs="Times New Roman"/>
                      <w:b/>
                      <w:bCs/>
                      <w:color w:val="auto"/>
                    </w:rPr>
                  </w:pPr>
                  <w:r>
                    <w:rPr>
                      <w:rFonts w:hint="default" w:ascii="Times New Roman" w:hAnsi="Times New Roman" w:cs="Times New Roman"/>
                      <w:b/>
                      <w:bCs/>
                      <w:color w:val="auto"/>
                    </w:rPr>
                    <w:t>浓度</w:t>
                  </w:r>
                </w:p>
              </w:tc>
              <w:tc>
                <w:tcPr>
                  <w:tcW w:w="1075"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b/>
                      <w:bCs/>
                      <w:color w:val="auto"/>
                    </w:rPr>
                  </w:pPr>
                  <w:r>
                    <w:rPr>
                      <w:rFonts w:hint="default" w:ascii="Times New Roman" w:hAnsi="Times New Roman" w:cs="Times New Roman"/>
                      <w:b/>
                      <w:bCs/>
                      <w:color w:val="auto"/>
                    </w:rPr>
                    <w:t>标准值</w:t>
                  </w:r>
                </w:p>
              </w:tc>
              <w:tc>
                <w:tcPr>
                  <w:tcW w:w="1105"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b/>
                      <w:bCs/>
                      <w:color w:val="auto"/>
                    </w:rPr>
                  </w:pPr>
                  <w:r>
                    <w:rPr>
                      <w:rFonts w:hint="default" w:ascii="Times New Roman" w:hAnsi="Times New Roman" w:cs="Times New Roman"/>
                      <w:b/>
                      <w:bCs/>
                      <w:color w:val="auto"/>
                    </w:rPr>
                    <w:t>占标率%</w:t>
                  </w:r>
                </w:p>
              </w:tc>
              <w:tc>
                <w:tcPr>
                  <w:tcW w:w="1120"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b/>
                      <w:bCs/>
                      <w:color w:val="auto"/>
                    </w:rPr>
                  </w:pPr>
                  <w:r>
                    <w:rPr>
                      <w:rFonts w:hint="default" w:ascii="Times New Roman" w:hAnsi="Times New Roman" w:cs="Times New Roman"/>
                      <w:b/>
                      <w:bCs/>
                      <w:color w:val="auto"/>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4"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bCs/>
                      <w:color w:val="auto"/>
                      <w:szCs w:val="21"/>
                    </w:rPr>
                    <w:t>PM</w:t>
                  </w:r>
                  <w:r>
                    <w:rPr>
                      <w:rFonts w:hint="default" w:ascii="Times New Roman" w:hAnsi="Times New Roman" w:cs="Times New Roman"/>
                      <w:bCs/>
                      <w:color w:val="auto"/>
                      <w:szCs w:val="21"/>
                      <w:vertAlign w:val="subscript"/>
                    </w:rPr>
                    <w:t>2.5</w:t>
                  </w:r>
                </w:p>
              </w:tc>
              <w:tc>
                <w:tcPr>
                  <w:tcW w:w="2805"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年平均质量浓度</w:t>
                  </w:r>
                </w:p>
              </w:tc>
              <w:tc>
                <w:tcPr>
                  <w:tcW w:w="1018"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33</w:t>
                  </w:r>
                </w:p>
              </w:tc>
              <w:tc>
                <w:tcPr>
                  <w:tcW w:w="1075"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szCs w:val="21"/>
                    </w:rPr>
                    <w:t>35</w:t>
                  </w:r>
                </w:p>
              </w:tc>
              <w:tc>
                <w:tcPr>
                  <w:tcW w:w="1105"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64.3</w:t>
                  </w:r>
                </w:p>
              </w:tc>
              <w:tc>
                <w:tcPr>
                  <w:tcW w:w="1120"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4"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szCs w:val="21"/>
                    </w:rPr>
                    <w:t>PM</w:t>
                  </w:r>
                  <w:r>
                    <w:rPr>
                      <w:rFonts w:hint="default" w:ascii="Times New Roman" w:hAnsi="Times New Roman" w:cs="Times New Roman"/>
                      <w:color w:val="auto"/>
                      <w:szCs w:val="21"/>
                      <w:vertAlign w:val="subscript"/>
                    </w:rPr>
                    <w:t>10</w:t>
                  </w:r>
                </w:p>
              </w:tc>
              <w:tc>
                <w:tcPr>
                  <w:tcW w:w="2805"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年平均质量浓度</w:t>
                  </w:r>
                </w:p>
              </w:tc>
              <w:tc>
                <w:tcPr>
                  <w:tcW w:w="1018"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45</w:t>
                  </w:r>
                </w:p>
              </w:tc>
              <w:tc>
                <w:tcPr>
                  <w:tcW w:w="1075"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szCs w:val="21"/>
                    </w:rPr>
                    <w:t>70</w:t>
                  </w:r>
                </w:p>
              </w:tc>
              <w:tc>
                <w:tcPr>
                  <w:tcW w:w="1105"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94.3</w:t>
                  </w:r>
                </w:p>
              </w:tc>
              <w:tc>
                <w:tcPr>
                  <w:tcW w:w="1120"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4"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szCs w:val="21"/>
                    </w:rPr>
                    <w:t>SO</w:t>
                  </w:r>
                  <w:r>
                    <w:rPr>
                      <w:rFonts w:hint="default" w:ascii="Times New Roman" w:hAnsi="Times New Roman" w:cs="Times New Roman"/>
                      <w:color w:val="auto"/>
                      <w:szCs w:val="21"/>
                      <w:vertAlign w:val="subscript"/>
                    </w:rPr>
                    <w:t>2</w:t>
                  </w:r>
                </w:p>
              </w:tc>
              <w:tc>
                <w:tcPr>
                  <w:tcW w:w="2805"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年平均质量浓度</w:t>
                  </w:r>
                </w:p>
              </w:tc>
              <w:tc>
                <w:tcPr>
                  <w:tcW w:w="1018"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7</w:t>
                  </w:r>
                </w:p>
              </w:tc>
              <w:tc>
                <w:tcPr>
                  <w:tcW w:w="1075"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szCs w:val="21"/>
                    </w:rPr>
                    <w:t>60</w:t>
                  </w:r>
                </w:p>
              </w:tc>
              <w:tc>
                <w:tcPr>
                  <w:tcW w:w="1105"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11.7</w:t>
                  </w:r>
                </w:p>
              </w:tc>
              <w:tc>
                <w:tcPr>
                  <w:tcW w:w="1120"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4"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szCs w:val="21"/>
                    </w:rPr>
                    <w:t>NO</w:t>
                  </w:r>
                  <w:r>
                    <w:rPr>
                      <w:rFonts w:hint="default" w:ascii="Times New Roman" w:hAnsi="Times New Roman" w:cs="Times New Roman"/>
                      <w:color w:val="auto"/>
                      <w:szCs w:val="21"/>
                      <w:vertAlign w:val="subscript"/>
                    </w:rPr>
                    <w:t>2</w:t>
                  </w:r>
                </w:p>
              </w:tc>
              <w:tc>
                <w:tcPr>
                  <w:tcW w:w="2805"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年平均质量浓度</w:t>
                  </w:r>
                </w:p>
              </w:tc>
              <w:tc>
                <w:tcPr>
                  <w:tcW w:w="1018"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13</w:t>
                  </w:r>
                </w:p>
              </w:tc>
              <w:tc>
                <w:tcPr>
                  <w:tcW w:w="1075"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szCs w:val="21"/>
                    </w:rPr>
                    <w:t>40</w:t>
                  </w:r>
                </w:p>
              </w:tc>
              <w:tc>
                <w:tcPr>
                  <w:tcW w:w="1105"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32.5</w:t>
                  </w:r>
                </w:p>
              </w:tc>
              <w:tc>
                <w:tcPr>
                  <w:tcW w:w="1120"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4"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bCs/>
                      <w:color w:val="auto"/>
                      <w:szCs w:val="21"/>
                    </w:rPr>
                    <w:t>CO</w:t>
                  </w:r>
                </w:p>
              </w:tc>
              <w:tc>
                <w:tcPr>
                  <w:tcW w:w="2805"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第95百分位数24h平均质量浓度</w:t>
                  </w:r>
                </w:p>
              </w:tc>
              <w:tc>
                <w:tcPr>
                  <w:tcW w:w="1018"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1000</w:t>
                  </w:r>
                </w:p>
              </w:tc>
              <w:tc>
                <w:tcPr>
                  <w:tcW w:w="1075"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szCs w:val="21"/>
                    </w:rPr>
                    <w:t>4000</w:t>
                  </w:r>
                </w:p>
              </w:tc>
              <w:tc>
                <w:tcPr>
                  <w:tcW w:w="1105"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25.0</w:t>
                  </w:r>
                </w:p>
              </w:tc>
              <w:tc>
                <w:tcPr>
                  <w:tcW w:w="1120"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4"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bCs/>
                      <w:color w:val="auto"/>
                      <w:szCs w:val="21"/>
                    </w:rPr>
                    <w:t>O</w:t>
                  </w:r>
                  <w:r>
                    <w:rPr>
                      <w:rFonts w:hint="default" w:ascii="Times New Roman" w:hAnsi="Times New Roman" w:cs="Times New Roman"/>
                      <w:bCs/>
                      <w:color w:val="auto"/>
                      <w:szCs w:val="21"/>
                      <w:vertAlign w:val="subscript"/>
                    </w:rPr>
                    <w:t>3</w:t>
                  </w:r>
                </w:p>
              </w:tc>
              <w:tc>
                <w:tcPr>
                  <w:tcW w:w="2805"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第90百分位数最大8h平均质量浓度</w:t>
                  </w:r>
                </w:p>
              </w:tc>
              <w:tc>
                <w:tcPr>
                  <w:tcW w:w="1018"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128</w:t>
                  </w:r>
                </w:p>
              </w:tc>
              <w:tc>
                <w:tcPr>
                  <w:tcW w:w="1075"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szCs w:val="21"/>
                    </w:rPr>
                    <w:t>160</w:t>
                  </w:r>
                </w:p>
              </w:tc>
              <w:tc>
                <w:tcPr>
                  <w:tcW w:w="1105"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80.0</w:t>
                  </w:r>
                </w:p>
              </w:tc>
              <w:tc>
                <w:tcPr>
                  <w:tcW w:w="1120" w:type="dxa"/>
                  <w:tcBorders>
                    <w:tl2br w:val="nil"/>
                    <w:tr2bl w:val="nil"/>
                  </w:tcBorders>
                  <w:noWrap w:val="0"/>
                  <w:tcMar>
                    <w:top w:w="0" w:type="dxa"/>
                    <w:left w:w="108" w:type="dxa"/>
                    <w:bottom w:w="0" w:type="dxa"/>
                    <w:right w:w="108" w:type="dxa"/>
                  </w:tcMar>
                  <w:vAlign w:val="center"/>
                </w:tcPr>
                <w:p>
                  <w:pPr>
                    <w:pStyle w:val="67"/>
                    <w:rPr>
                      <w:rFonts w:hint="default" w:ascii="Times New Roman" w:hAnsi="Times New Roman" w:cs="Times New Roman"/>
                      <w:color w:val="auto"/>
                    </w:rPr>
                  </w:pPr>
                  <w:r>
                    <w:rPr>
                      <w:rFonts w:hint="default" w:ascii="Times New Roman" w:hAnsi="Times New Roman" w:cs="Times New Roman"/>
                      <w:color w:val="auto"/>
                    </w:rPr>
                    <w:t>是</w:t>
                  </w:r>
                </w:p>
              </w:tc>
            </w:tr>
          </w:tbl>
          <w:p>
            <w:pPr>
              <w:pStyle w:val="65"/>
              <w:ind w:firstLine="480"/>
              <w:rPr>
                <w:rFonts w:hint="default" w:ascii="Times New Roman" w:hAnsi="Times New Roman" w:cs="Times New Roman"/>
                <w:color w:val="auto"/>
              </w:rPr>
            </w:pPr>
            <w:r>
              <w:rPr>
                <w:rFonts w:hint="default" w:ascii="Times New Roman" w:hAnsi="Times New Roman" w:cs="Times New Roman"/>
                <w:color w:val="auto"/>
              </w:rPr>
              <w:t>根据上表监测结果分析：项目所在地的PM</w:t>
            </w:r>
            <w:r>
              <w:rPr>
                <w:rFonts w:hint="default" w:ascii="Times New Roman" w:hAnsi="Times New Roman" w:cs="Times New Roman"/>
                <w:color w:val="auto"/>
                <w:vertAlign w:val="subscript"/>
              </w:rPr>
              <w:t>10</w:t>
            </w:r>
            <w:r>
              <w:rPr>
                <w:rFonts w:hint="default" w:ascii="Times New Roman" w:hAnsi="Times New Roman" w:cs="Times New Roman"/>
                <w:color w:val="auto"/>
              </w:rPr>
              <w:t>、PM</w:t>
            </w:r>
            <w:r>
              <w:rPr>
                <w:rFonts w:hint="default" w:ascii="Times New Roman" w:hAnsi="Times New Roman" w:cs="Times New Roman"/>
                <w:color w:val="auto"/>
                <w:vertAlign w:val="subscript"/>
              </w:rPr>
              <w:t>2.5</w:t>
            </w:r>
            <w:r>
              <w:rPr>
                <w:rFonts w:hint="default" w:ascii="Times New Roman" w:hAnsi="Times New Roman" w:cs="Times New Roman"/>
                <w:color w:val="auto"/>
              </w:rPr>
              <w:t>、SO</w:t>
            </w:r>
            <w:r>
              <w:rPr>
                <w:rFonts w:hint="default" w:ascii="Times New Roman" w:hAnsi="Times New Roman" w:cs="Times New Roman"/>
                <w:color w:val="auto"/>
                <w:vertAlign w:val="subscript"/>
              </w:rPr>
              <w:t>2</w:t>
            </w:r>
            <w:r>
              <w:rPr>
                <w:rFonts w:hint="default" w:ascii="Times New Roman" w:hAnsi="Times New Roman" w:cs="Times New Roman"/>
                <w:color w:val="auto"/>
              </w:rPr>
              <w:t>、NO</w:t>
            </w:r>
            <w:r>
              <w:rPr>
                <w:rFonts w:hint="default" w:ascii="Times New Roman" w:hAnsi="Times New Roman" w:cs="Times New Roman"/>
                <w:color w:val="auto"/>
                <w:vertAlign w:val="subscript"/>
              </w:rPr>
              <w:t>2</w:t>
            </w:r>
            <w:r>
              <w:rPr>
                <w:rFonts w:hint="default" w:ascii="Times New Roman" w:hAnsi="Times New Roman" w:cs="Times New Roman"/>
                <w:color w:val="auto"/>
              </w:rPr>
              <w:t>、O</w:t>
            </w:r>
            <w:r>
              <w:rPr>
                <w:rFonts w:hint="default" w:ascii="Times New Roman" w:hAnsi="Times New Roman" w:cs="Times New Roman"/>
                <w:color w:val="auto"/>
                <w:vertAlign w:val="subscript"/>
              </w:rPr>
              <w:t>3</w:t>
            </w:r>
            <w:r>
              <w:rPr>
                <w:rFonts w:hint="default" w:ascii="Times New Roman" w:hAnsi="Times New Roman" w:cs="Times New Roman"/>
                <w:color w:val="auto"/>
              </w:rPr>
              <w:t>、CO年平均浓度值符合《环境空气质量标准》（GB3095-2012）中二级标准要求，区域环境空气</w:t>
            </w:r>
            <w:r>
              <w:rPr>
                <w:rFonts w:hint="eastAsia" w:cs="Times New Roman"/>
                <w:color w:val="auto"/>
                <w:lang w:eastAsia="zh-CN"/>
              </w:rPr>
              <w:t>质量现状</w:t>
            </w:r>
            <w:r>
              <w:rPr>
                <w:rFonts w:hint="default" w:ascii="Times New Roman" w:hAnsi="Times New Roman" w:cs="Times New Roman"/>
                <w:color w:val="auto"/>
              </w:rPr>
              <w:t>为达标区。</w:t>
            </w:r>
          </w:p>
          <w:p>
            <w:pPr>
              <w:pStyle w:val="65"/>
              <w:ind w:firstLine="48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2、地表水环境质量现状</w:t>
            </w:r>
          </w:p>
          <w:p>
            <w:pPr>
              <w:pStyle w:val="65"/>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根据《建设项目环境影响报告表编制技术指南》（2021年版），地表水环境质量现状调查可引用与建设项目距离近的有效数据，包括近3年的规划环境影响评价的监测数据，所在流域控制单元内国家、地方控制断面监测数据，生态环境主管部门发布的水环境质量数据或地表水达标情况的结论。为了解项目区域地表水环境质量现状，本次评价引用湖南省生态环境厅发布的2023年1月~12月藕池河东支（东）三个省控断面数据（白莲村、团洲、禹九村），评价结果如下：</w:t>
            </w:r>
          </w:p>
          <w:p>
            <w:pPr>
              <w:pStyle w:val="66"/>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highlight w:val="none"/>
              </w:rPr>
            </w:pPr>
          </w:p>
          <w:p>
            <w:pPr>
              <w:pStyle w:val="66"/>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表3-2  地表水环境质量现状评价结果表</w:t>
            </w:r>
          </w:p>
          <w:tbl>
            <w:tblPr>
              <w:tblStyle w:val="23"/>
              <w:tblW w:w="4995"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81"/>
              <w:gridCol w:w="469"/>
              <w:gridCol w:w="436"/>
              <w:gridCol w:w="469"/>
              <w:gridCol w:w="469"/>
              <w:gridCol w:w="510"/>
              <w:gridCol w:w="510"/>
              <w:gridCol w:w="531"/>
              <w:gridCol w:w="436"/>
              <w:gridCol w:w="490"/>
              <w:gridCol w:w="531"/>
              <w:gridCol w:w="474"/>
              <w:gridCol w:w="446"/>
              <w:gridCol w:w="69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982" w:type="pct"/>
                  <w:tcBorders>
                    <w:tl2br w:val="nil"/>
                    <w:tr2bl w:val="nil"/>
                  </w:tcBorders>
                  <w:noWrap w:val="0"/>
                  <w:vAlign w:val="center"/>
                </w:tcPr>
                <w:p>
                  <w:pPr>
                    <w:pStyle w:val="67"/>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断面</w:t>
                  </w:r>
                </w:p>
              </w:tc>
              <w:tc>
                <w:tcPr>
                  <w:tcW w:w="291"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1月</w:t>
                  </w:r>
                </w:p>
              </w:tc>
              <w:tc>
                <w:tcPr>
                  <w:tcW w:w="270"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2月</w:t>
                  </w:r>
                </w:p>
              </w:tc>
              <w:tc>
                <w:tcPr>
                  <w:tcW w:w="291"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3月</w:t>
                  </w:r>
                </w:p>
              </w:tc>
              <w:tc>
                <w:tcPr>
                  <w:tcW w:w="291"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4月</w:t>
                  </w:r>
                </w:p>
              </w:tc>
              <w:tc>
                <w:tcPr>
                  <w:tcW w:w="317"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5月</w:t>
                  </w:r>
                </w:p>
              </w:tc>
              <w:tc>
                <w:tcPr>
                  <w:tcW w:w="317"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6月</w:t>
                  </w:r>
                </w:p>
              </w:tc>
              <w:tc>
                <w:tcPr>
                  <w:tcW w:w="330"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7月</w:t>
                  </w:r>
                </w:p>
              </w:tc>
              <w:tc>
                <w:tcPr>
                  <w:tcW w:w="270"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8月</w:t>
                  </w:r>
                </w:p>
              </w:tc>
              <w:tc>
                <w:tcPr>
                  <w:tcW w:w="304"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9月</w:t>
                  </w:r>
                </w:p>
              </w:tc>
              <w:tc>
                <w:tcPr>
                  <w:tcW w:w="330"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10月</w:t>
                  </w:r>
                </w:p>
              </w:tc>
              <w:tc>
                <w:tcPr>
                  <w:tcW w:w="294"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11月</w:t>
                  </w:r>
                </w:p>
              </w:tc>
              <w:tc>
                <w:tcPr>
                  <w:tcW w:w="276"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12月</w:t>
                  </w:r>
                </w:p>
              </w:tc>
              <w:tc>
                <w:tcPr>
                  <w:tcW w:w="432"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982" w:type="pct"/>
                  <w:tcBorders>
                    <w:tl2br w:val="nil"/>
                    <w:tr2bl w:val="nil"/>
                  </w:tcBorders>
                  <w:noWrap w:val="0"/>
                  <w:vAlign w:val="center"/>
                </w:tcPr>
                <w:p>
                  <w:pPr>
                    <w:pStyle w:val="67"/>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藕池河东支（东）-白莲村</w:t>
                  </w:r>
                </w:p>
              </w:tc>
              <w:tc>
                <w:tcPr>
                  <w:tcW w:w="291"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70"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91"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91"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17"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17"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30"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70"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04"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30"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94"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76"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432"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982" w:type="pct"/>
                  <w:tcBorders>
                    <w:tl2br w:val="nil"/>
                    <w:tr2bl w:val="nil"/>
                  </w:tcBorders>
                  <w:noWrap w:val="0"/>
                  <w:vAlign w:val="center"/>
                </w:tcPr>
                <w:p>
                  <w:pPr>
                    <w:pStyle w:val="67"/>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藕池河东支（东）-团洲</w:t>
                  </w:r>
                </w:p>
              </w:tc>
              <w:tc>
                <w:tcPr>
                  <w:tcW w:w="291"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70"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91"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91"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17"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17"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30"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70"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04"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30"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94"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76"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432"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982" w:type="pct"/>
                  <w:tcBorders>
                    <w:tl2br w:val="nil"/>
                    <w:tr2bl w:val="nil"/>
                  </w:tcBorders>
                  <w:noWrap w:val="0"/>
                  <w:vAlign w:val="center"/>
                </w:tcPr>
                <w:p>
                  <w:pPr>
                    <w:pStyle w:val="67"/>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藕池河东支（东）-禹九村</w:t>
                  </w:r>
                </w:p>
              </w:tc>
              <w:tc>
                <w:tcPr>
                  <w:tcW w:w="291"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70"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91"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91"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17"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17"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30"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70"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04"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30"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94"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76"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432" w:type="pct"/>
                  <w:tcBorders>
                    <w:tl2br w:val="nil"/>
                    <w:tr2bl w:val="nil"/>
                  </w:tcBorders>
                  <w:noWrap w:val="0"/>
                  <w:vAlign w:val="center"/>
                </w:tcPr>
                <w:p>
                  <w:pPr>
                    <w:pStyle w:val="67"/>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r>
          </w:tbl>
          <w:p>
            <w:pPr>
              <w:pStyle w:val="65"/>
              <w:spacing w:before="156"/>
              <w:ind w:firstLine="480"/>
              <w:rPr>
                <w:rFonts w:hint="default" w:ascii="Times New Roman" w:hAnsi="Times New Roman" w:cs="Times New Roman"/>
                <w:color w:val="auto"/>
              </w:rPr>
            </w:pPr>
            <w:r>
              <w:rPr>
                <w:rFonts w:hint="default" w:ascii="Times New Roman" w:hAnsi="Times New Roman" w:cs="Times New Roman"/>
                <w:color w:val="auto"/>
                <w:highlight w:val="none"/>
              </w:rPr>
              <w:t>由上表监测结果可知，藕池河东支三个监测断面2023年均能满足</w:t>
            </w:r>
            <w:r>
              <w:rPr>
                <w:rFonts w:hint="default" w:ascii="Times New Roman" w:hAnsi="Times New Roman" w:cs="Times New Roman"/>
                <w:color w:val="auto"/>
                <w:kern w:val="0"/>
                <w:highlight w:val="none"/>
              </w:rPr>
              <w:t>《地表水环境质量标准》（GB3838-2002）中Ⅲ类标准，地表水环境质量现</w:t>
            </w:r>
            <w:r>
              <w:rPr>
                <w:rFonts w:hint="default" w:ascii="Times New Roman" w:hAnsi="Times New Roman" w:cs="Times New Roman"/>
                <w:color w:val="auto"/>
                <w:kern w:val="0"/>
              </w:rPr>
              <w:t>状较好。</w:t>
            </w:r>
          </w:p>
          <w:p>
            <w:pPr>
              <w:pStyle w:val="65"/>
              <w:ind w:firstLine="480"/>
              <w:rPr>
                <w:rFonts w:hint="default" w:ascii="Times New Roman" w:hAnsi="Times New Roman" w:cs="Times New Roman"/>
                <w:b/>
                <w:bCs/>
                <w:color w:val="auto"/>
              </w:rPr>
            </w:pPr>
            <w:r>
              <w:rPr>
                <w:rFonts w:hint="default" w:ascii="Times New Roman" w:hAnsi="Times New Roman" w:cs="Times New Roman"/>
                <w:b/>
                <w:bCs/>
                <w:color w:val="auto"/>
              </w:rPr>
              <w:t>3、声环境质量现状</w:t>
            </w:r>
          </w:p>
          <w:p>
            <w:pPr>
              <w:pStyle w:val="65"/>
              <w:ind w:firstLine="48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根据现场勘查</w:t>
            </w:r>
            <w:r>
              <w:rPr>
                <w:rFonts w:hint="default" w:ascii="Times New Roman" w:hAnsi="Times New Roman" w:cs="Times New Roman"/>
                <w:color w:val="auto"/>
              </w:rPr>
              <w:t>。</w:t>
            </w:r>
            <w:r>
              <w:rPr>
                <w:rFonts w:hint="eastAsia" w:ascii="Times New Roman" w:hAnsi="Times New Roman" w:cs="Times New Roman"/>
                <w:color w:val="auto"/>
                <w:lang w:val="en-US" w:eastAsia="zh-CN"/>
              </w:rPr>
              <w:t>本项目对其四个边界处进行了噪声现状监测</w:t>
            </w:r>
            <w:r>
              <w:rPr>
                <w:rFonts w:hint="default" w:ascii="Times New Roman" w:hAnsi="Times New Roman" w:cs="Times New Roman"/>
                <w:color w:val="auto"/>
              </w:rPr>
              <w:t>。</w:t>
            </w:r>
            <w:r>
              <w:rPr>
                <w:rFonts w:hint="default" w:ascii="Times New Roman" w:hAnsi="Times New Roman" w:cs="Times New Roman"/>
                <w:color w:val="auto"/>
                <w:lang w:val="en-US" w:eastAsia="zh-CN"/>
              </w:rPr>
              <w:t>监测结果详见下表</w:t>
            </w:r>
            <w:r>
              <w:rPr>
                <w:rFonts w:hint="eastAsia" w:cs="Times New Roman"/>
                <w:color w:val="auto"/>
                <w:lang w:val="en-US" w:eastAsia="zh-CN"/>
              </w:rPr>
              <w:t>3-3所示</w:t>
            </w:r>
            <w:r>
              <w:rPr>
                <w:rFonts w:hint="default" w:ascii="Times New Roman" w:hAnsi="Times New Roman" w:cs="Times New Roman"/>
                <w:color w:val="auto"/>
                <w:lang w:val="en-US" w:eastAsia="zh-CN"/>
              </w:rPr>
              <w:t>。</w:t>
            </w:r>
          </w:p>
          <w:p>
            <w:pPr>
              <w:pStyle w:val="66"/>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val="en-US" w:eastAsia="zh-CN"/>
              </w:rPr>
              <w:t>表</w:t>
            </w:r>
            <w:r>
              <w:rPr>
                <w:rFonts w:hint="default" w:ascii="Times New Roman" w:hAnsi="Times New Roman" w:eastAsia="宋体" w:cs="Times New Roman"/>
                <w:color w:val="auto"/>
                <w:highlight w:val="none"/>
              </w:rPr>
              <w:t>3-</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 xml:space="preserve">  </w:t>
            </w:r>
            <w:r>
              <w:rPr>
                <w:rFonts w:hint="default" w:ascii="Times New Roman" w:hAnsi="Times New Roman" w:eastAsia="宋体" w:cs="Times New Roman"/>
                <w:color w:val="auto"/>
                <w:highlight w:val="none"/>
                <w:lang w:val="en-US" w:eastAsia="zh-CN"/>
              </w:rPr>
              <w:t xml:space="preserve"> 声</w:t>
            </w:r>
            <w:r>
              <w:rPr>
                <w:rFonts w:hint="default" w:ascii="Times New Roman" w:hAnsi="Times New Roman" w:eastAsia="宋体" w:cs="Times New Roman"/>
                <w:color w:val="auto"/>
                <w:highlight w:val="none"/>
              </w:rPr>
              <w:t>环</w:t>
            </w:r>
            <w:r>
              <w:rPr>
                <w:rFonts w:hint="default" w:ascii="Times New Roman" w:hAnsi="Times New Roman" w:cs="Times New Roman"/>
                <w:color w:val="auto"/>
                <w:highlight w:val="none"/>
              </w:rPr>
              <w:t>境质量现状评价结果表</w:t>
            </w:r>
          </w:p>
          <w:tbl>
            <w:tblPr>
              <w:tblStyle w:val="69"/>
              <w:tblW w:w="7937"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672"/>
              <w:gridCol w:w="1204"/>
              <w:gridCol w:w="1825"/>
              <w:gridCol w:w="1031"/>
              <w:gridCol w:w="1319"/>
              <w:gridCol w:w="994"/>
              <w:gridCol w:w="89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tcBorders>
                    <w:tl2br w:val="nil"/>
                    <w:tr2bl w:val="nil"/>
                  </w:tcBorders>
                  <w:noWrap w:val="0"/>
                  <w:vAlign w:val="center"/>
                </w:tcPr>
                <w:p>
                  <w:pPr>
                    <w:pStyle w:val="67"/>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检测类别</w:t>
                  </w:r>
                </w:p>
              </w:tc>
              <w:tc>
                <w:tcPr>
                  <w:tcW w:w="1204" w:type="dxa"/>
                  <w:tcBorders>
                    <w:tl2br w:val="nil"/>
                    <w:tr2bl w:val="nil"/>
                  </w:tcBorders>
                  <w:noWrap w:val="0"/>
                  <w:vAlign w:val="center"/>
                </w:tcPr>
                <w:p>
                  <w:pPr>
                    <w:pStyle w:val="67"/>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采样日期</w:t>
                  </w:r>
                </w:p>
              </w:tc>
              <w:tc>
                <w:tcPr>
                  <w:tcW w:w="1825" w:type="dxa"/>
                  <w:tcBorders>
                    <w:tl2br w:val="nil"/>
                    <w:tr2bl w:val="nil"/>
                  </w:tcBorders>
                  <w:noWrap w:val="0"/>
                  <w:vAlign w:val="center"/>
                </w:tcPr>
                <w:p>
                  <w:pPr>
                    <w:pStyle w:val="67"/>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检测点位</w:t>
                  </w:r>
                </w:p>
              </w:tc>
              <w:tc>
                <w:tcPr>
                  <w:tcW w:w="1031" w:type="dxa"/>
                  <w:tcBorders>
                    <w:tl2br w:val="nil"/>
                    <w:tr2bl w:val="nil"/>
                  </w:tcBorders>
                  <w:noWrap w:val="0"/>
                  <w:vAlign w:val="center"/>
                </w:tcPr>
                <w:p>
                  <w:pPr>
                    <w:pStyle w:val="67"/>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检测时段</w:t>
                  </w:r>
                </w:p>
              </w:tc>
              <w:tc>
                <w:tcPr>
                  <w:tcW w:w="1319" w:type="dxa"/>
                  <w:tcBorders>
                    <w:tl2br w:val="nil"/>
                    <w:tr2bl w:val="nil"/>
                  </w:tcBorders>
                  <w:noWrap w:val="0"/>
                  <w:vAlign w:val="center"/>
                </w:tcPr>
                <w:p>
                  <w:pPr>
                    <w:pStyle w:val="67"/>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检测结果</w:t>
                  </w:r>
                </w:p>
              </w:tc>
              <w:tc>
                <w:tcPr>
                  <w:tcW w:w="994" w:type="dxa"/>
                  <w:tcBorders>
                    <w:tl2br w:val="nil"/>
                    <w:tr2bl w:val="nil"/>
                  </w:tcBorders>
                  <w:noWrap w:val="0"/>
                  <w:vAlign w:val="center"/>
                </w:tcPr>
                <w:p>
                  <w:pPr>
                    <w:pStyle w:val="67"/>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参考限值</w:t>
                  </w:r>
                </w:p>
              </w:tc>
              <w:tc>
                <w:tcPr>
                  <w:tcW w:w="892" w:type="dxa"/>
                  <w:tcBorders>
                    <w:tl2br w:val="nil"/>
                    <w:tr2bl w:val="nil"/>
                  </w:tcBorders>
                  <w:noWrap w:val="0"/>
                  <w:vAlign w:val="center"/>
                </w:tcPr>
                <w:p>
                  <w:pPr>
                    <w:pStyle w:val="67"/>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单位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7" w:hRule="atLeast"/>
                <w:jc w:val="center"/>
              </w:trPr>
              <w:tc>
                <w:tcPr>
                  <w:tcW w:w="672" w:type="dxa"/>
                  <w:vMerge w:val="restart"/>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噪声</w:t>
                  </w:r>
                </w:p>
              </w:tc>
              <w:tc>
                <w:tcPr>
                  <w:tcW w:w="1204" w:type="dxa"/>
                  <w:vMerge w:val="restart"/>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202</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0</w:t>
                  </w:r>
                  <w:r>
                    <w:rPr>
                      <w:rFonts w:hint="eastAsia" w:ascii="Times New Roman" w:hAnsi="Times New Roman" w:cs="Times New Roman"/>
                      <w:color w:val="auto"/>
                      <w:highlight w:val="none"/>
                      <w:lang w:val="en-US" w:eastAsia="zh-CN"/>
                    </w:rPr>
                    <w:t>4</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04</w:t>
                  </w:r>
                </w:p>
              </w:tc>
              <w:tc>
                <w:tcPr>
                  <w:tcW w:w="1825" w:type="dxa"/>
                  <w:vMerge w:val="restart"/>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eastAsia="en-US"/>
                    </w:rPr>
                  </w:pPr>
                  <w:r>
                    <w:rPr>
                      <w:rFonts w:hint="default" w:ascii="Times New Roman" w:hAnsi="Times New Roman" w:eastAsia="宋体" w:cs="Times New Roman"/>
                      <w:color w:val="auto"/>
                      <w:highlight w:val="none"/>
                      <w:lang w:val="en-US" w:eastAsia="zh-CN"/>
                    </w:rPr>
                    <w:t>厂区</w:t>
                  </w:r>
                  <w:r>
                    <w:rPr>
                      <w:rFonts w:hint="eastAsia" w:cs="Times New Roman"/>
                      <w:color w:val="auto"/>
                      <w:highlight w:val="none"/>
                      <w:lang w:val="en-US" w:eastAsia="zh-CN"/>
                    </w:rPr>
                    <w:t>东</w:t>
                  </w:r>
                  <w:r>
                    <w:rPr>
                      <w:rFonts w:hint="default" w:ascii="Times New Roman" w:hAnsi="Times New Roman" w:eastAsia="宋体" w:cs="Times New Roman"/>
                      <w:color w:val="auto"/>
                      <w:highlight w:val="none"/>
                      <w:lang w:val="en-US" w:eastAsia="zh-CN"/>
                    </w:rPr>
                    <w:t>侧敏感点</w:t>
                  </w:r>
                </w:p>
              </w:tc>
              <w:tc>
                <w:tcPr>
                  <w:tcW w:w="1031" w:type="dxa"/>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eastAsia="en-US"/>
                    </w:rPr>
                  </w:pPr>
                  <w:r>
                    <w:rPr>
                      <w:rFonts w:hint="default" w:ascii="Times New Roman" w:hAnsi="Times New Roman" w:eastAsia="宋体" w:cs="Times New Roman"/>
                      <w:color w:val="auto"/>
                      <w:highlight w:val="none"/>
                      <w:lang w:val="en-US" w:eastAsia="en-US"/>
                    </w:rPr>
                    <w:t>昼间</w:t>
                  </w:r>
                </w:p>
              </w:tc>
              <w:tc>
                <w:tcPr>
                  <w:tcW w:w="1319"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54</w:t>
                  </w:r>
                </w:p>
              </w:tc>
              <w:tc>
                <w:tcPr>
                  <w:tcW w:w="994"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60</w:t>
                  </w:r>
                </w:p>
              </w:tc>
              <w:tc>
                <w:tcPr>
                  <w:tcW w:w="892" w:type="dxa"/>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825"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eastAsia="en-US"/>
                    </w:rPr>
                  </w:pPr>
                </w:p>
              </w:tc>
              <w:tc>
                <w:tcPr>
                  <w:tcW w:w="1031" w:type="dxa"/>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w:t>
                  </w:r>
                  <w:r>
                    <w:rPr>
                      <w:rFonts w:hint="default" w:ascii="Times New Roman" w:hAnsi="Times New Roman" w:eastAsia="宋体" w:cs="Times New Roman"/>
                      <w:color w:val="auto"/>
                      <w:highlight w:val="none"/>
                      <w:lang w:val="en-US" w:eastAsia="en-US"/>
                    </w:rPr>
                    <w:t>间</w:t>
                  </w:r>
                </w:p>
              </w:tc>
              <w:tc>
                <w:tcPr>
                  <w:tcW w:w="1319"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48</w:t>
                  </w:r>
                </w:p>
              </w:tc>
              <w:tc>
                <w:tcPr>
                  <w:tcW w:w="994"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50</w:t>
                  </w:r>
                </w:p>
              </w:tc>
              <w:tc>
                <w:tcPr>
                  <w:tcW w:w="892" w:type="dxa"/>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825" w:type="dxa"/>
                  <w:vMerge w:val="restart"/>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eastAsia="en-US"/>
                    </w:rPr>
                  </w:pPr>
                  <w:r>
                    <w:rPr>
                      <w:rFonts w:hint="default" w:ascii="Times New Roman" w:hAnsi="Times New Roman" w:eastAsia="宋体" w:cs="Times New Roman"/>
                      <w:color w:val="auto"/>
                      <w:highlight w:val="none"/>
                      <w:lang w:val="en-US" w:eastAsia="zh-CN"/>
                    </w:rPr>
                    <w:t>厂区</w:t>
                  </w:r>
                  <w:r>
                    <w:rPr>
                      <w:rFonts w:hint="eastAsia" w:cs="Times New Roman"/>
                      <w:color w:val="auto"/>
                      <w:highlight w:val="none"/>
                      <w:lang w:val="en-US" w:eastAsia="zh-CN"/>
                    </w:rPr>
                    <w:t>南</w:t>
                  </w:r>
                  <w:r>
                    <w:rPr>
                      <w:rFonts w:hint="default" w:ascii="Times New Roman" w:hAnsi="Times New Roman" w:eastAsia="宋体" w:cs="Times New Roman"/>
                      <w:color w:val="auto"/>
                      <w:highlight w:val="none"/>
                      <w:lang w:val="en-US" w:eastAsia="zh-CN"/>
                    </w:rPr>
                    <w:t>侧敏感点</w:t>
                  </w:r>
                </w:p>
              </w:tc>
              <w:tc>
                <w:tcPr>
                  <w:tcW w:w="1031"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en-US"/>
                    </w:rPr>
                    <w:t>昼间</w:t>
                  </w:r>
                </w:p>
              </w:tc>
              <w:tc>
                <w:tcPr>
                  <w:tcW w:w="1319"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56</w:t>
                  </w:r>
                </w:p>
              </w:tc>
              <w:tc>
                <w:tcPr>
                  <w:tcW w:w="994"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60</w:t>
                  </w:r>
                </w:p>
              </w:tc>
              <w:tc>
                <w:tcPr>
                  <w:tcW w:w="892"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825"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eastAsia="en-US"/>
                    </w:rPr>
                  </w:pPr>
                </w:p>
              </w:tc>
              <w:tc>
                <w:tcPr>
                  <w:tcW w:w="1031"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w:t>
                  </w:r>
                  <w:r>
                    <w:rPr>
                      <w:rFonts w:hint="default" w:ascii="Times New Roman" w:hAnsi="Times New Roman" w:eastAsia="宋体" w:cs="Times New Roman"/>
                      <w:color w:val="auto"/>
                      <w:highlight w:val="none"/>
                      <w:lang w:val="en-US" w:eastAsia="en-US"/>
                    </w:rPr>
                    <w:t>间</w:t>
                  </w:r>
                </w:p>
              </w:tc>
              <w:tc>
                <w:tcPr>
                  <w:tcW w:w="1319"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49</w:t>
                  </w:r>
                </w:p>
              </w:tc>
              <w:tc>
                <w:tcPr>
                  <w:tcW w:w="994"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50</w:t>
                  </w:r>
                </w:p>
              </w:tc>
              <w:tc>
                <w:tcPr>
                  <w:tcW w:w="892"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825" w:type="dxa"/>
                  <w:vMerge w:val="restart"/>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eastAsia="en-US"/>
                    </w:rPr>
                  </w:pPr>
                  <w:r>
                    <w:rPr>
                      <w:rFonts w:hint="default" w:ascii="Times New Roman" w:hAnsi="Times New Roman" w:eastAsia="宋体" w:cs="Times New Roman"/>
                      <w:color w:val="auto"/>
                      <w:highlight w:val="none"/>
                      <w:lang w:val="en-US" w:eastAsia="zh-CN"/>
                    </w:rPr>
                    <w:t>厂区</w:t>
                  </w:r>
                  <w:r>
                    <w:rPr>
                      <w:rFonts w:hint="eastAsia" w:cs="Times New Roman"/>
                      <w:color w:val="auto"/>
                      <w:highlight w:val="none"/>
                      <w:lang w:val="en-US" w:eastAsia="zh-CN"/>
                    </w:rPr>
                    <w:t>西</w:t>
                  </w:r>
                  <w:r>
                    <w:rPr>
                      <w:rFonts w:hint="default" w:ascii="Times New Roman" w:hAnsi="Times New Roman" w:eastAsia="宋体" w:cs="Times New Roman"/>
                      <w:color w:val="auto"/>
                      <w:highlight w:val="none"/>
                      <w:lang w:val="en-US" w:eastAsia="zh-CN"/>
                    </w:rPr>
                    <w:t>侧敏感点</w:t>
                  </w:r>
                </w:p>
              </w:tc>
              <w:tc>
                <w:tcPr>
                  <w:tcW w:w="1031"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en-US"/>
                    </w:rPr>
                    <w:t>昼间</w:t>
                  </w:r>
                </w:p>
              </w:tc>
              <w:tc>
                <w:tcPr>
                  <w:tcW w:w="1319" w:type="dxa"/>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57</w:t>
                  </w:r>
                </w:p>
              </w:tc>
              <w:tc>
                <w:tcPr>
                  <w:tcW w:w="994" w:type="dxa"/>
                  <w:tcBorders>
                    <w:tl2br w:val="nil"/>
                    <w:tr2bl w:val="nil"/>
                  </w:tcBorders>
                  <w:shd w:val="clear" w:color="auto" w:fill="auto"/>
                  <w:noWrap w:val="0"/>
                  <w:vAlign w:val="center"/>
                </w:tcPr>
                <w:p>
                  <w:pPr>
                    <w:pStyle w:val="67"/>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60</w:t>
                  </w:r>
                </w:p>
              </w:tc>
              <w:tc>
                <w:tcPr>
                  <w:tcW w:w="892"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825"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eastAsia="en-US"/>
                    </w:rPr>
                  </w:pPr>
                </w:p>
              </w:tc>
              <w:tc>
                <w:tcPr>
                  <w:tcW w:w="1031"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w:t>
                  </w:r>
                  <w:r>
                    <w:rPr>
                      <w:rFonts w:hint="default" w:ascii="Times New Roman" w:hAnsi="Times New Roman" w:eastAsia="宋体" w:cs="Times New Roman"/>
                      <w:color w:val="auto"/>
                      <w:highlight w:val="none"/>
                      <w:lang w:val="en-US" w:eastAsia="en-US"/>
                    </w:rPr>
                    <w:t>间</w:t>
                  </w:r>
                </w:p>
              </w:tc>
              <w:tc>
                <w:tcPr>
                  <w:tcW w:w="1319" w:type="dxa"/>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51</w:t>
                  </w:r>
                </w:p>
              </w:tc>
              <w:tc>
                <w:tcPr>
                  <w:tcW w:w="994" w:type="dxa"/>
                  <w:tcBorders>
                    <w:tl2br w:val="nil"/>
                    <w:tr2bl w:val="nil"/>
                  </w:tcBorders>
                  <w:shd w:val="clear" w:color="auto" w:fill="auto"/>
                  <w:noWrap w:val="0"/>
                  <w:vAlign w:val="center"/>
                </w:tcPr>
                <w:p>
                  <w:pPr>
                    <w:pStyle w:val="67"/>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50</w:t>
                  </w:r>
                </w:p>
              </w:tc>
              <w:tc>
                <w:tcPr>
                  <w:tcW w:w="892"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825" w:type="dxa"/>
                  <w:vMerge w:val="restart"/>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eastAsia="en-US"/>
                    </w:rPr>
                  </w:pPr>
                  <w:r>
                    <w:rPr>
                      <w:rFonts w:hint="default" w:ascii="Times New Roman" w:hAnsi="Times New Roman" w:eastAsia="宋体" w:cs="Times New Roman"/>
                      <w:color w:val="auto"/>
                      <w:highlight w:val="none"/>
                      <w:lang w:val="en-US" w:eastAsia="zh-CN"/>
                    </w:rPr>
                    <w:t>厂区</w:t>
                  </w:r>
                  <w:r>
                    <w:rPr>
                      <w:rFonts w:hint="eastAsia" w:cs="Times New Roman"/>
                      <w:color w:val="auto"/>
                      <w:highlight w:val="none"/>
                      <w:lang w:val="en-US" w:eastAsia="zh-CN"/>
                    </w:rPr>
                    <w:t>北</w:t>
                  </w:r>
                  <w:r>
                    <w:rPr>
                      <w:rFonts w:hint="default" w:ascii="Times New Roman" w:hAnsi="Times New Roman" w:eastAsia="宋体" w:cs="Times New Roman"/>
                      <w:color w:val="auto"/>
                      <w:highlight w:val="none"/>
                      <w:lang w:val="en-US" w:eastAsia="zh-CN"/>
                    </w:rPr>
                    <w:t>侧敏感点</w:t>
                  </w:r>
                </w:p>
              </w:tc>
              <w:tc>
                <w:tcPr>
                  <w:tcW w:w="1031"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en-US"/>
                    </w:rPr>
                    <w:t>昼间</w:t>
                  </w:r>
                </w:p>
              </w:tc>
              <w:tc>
                <w:tcPr>
                  <w:tcW w:w="1319" w:type="dxa"/>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56</w:t>
                  </w:r>
                </w:p>
              </w:tc>
              <w:tc>
                <w:tcPr>
                  <w:tcW w:w="994"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60</w:t>
                  </w:r>
                </w:p>
              </w:tc>
              <w:tc>
                <w:tcPr>
                  <w:tcW w:w="892"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825"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eastAsia="en-US"/>
                    </w:rPr>
                  </w:pPr>
                </w:p>
              </w:tc>
              <w:tc>
                <w:tcPr>
                  <w:tcW w:w="1031"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w:t>
                  </w:r>
                  <w:r>
                    <w:rPr>
                      <w:rFonts w:hint="default" w:ascii="Times New Roman" w:hAnsi="Times New Roman" w:eastAsia="宋体" w:cs="Times New Roman"/>
                      <w:color w:val="auto"/>
                      <w:highlight w:val="none"/>
                      <w:lang w:val="en-US" w:eastAsia="en-US"/>
                    </w:rPr>
                    <w:t>间</w:t>
                  </w:r>
                </w:p>
              </w:tc>
              <w:tc>
                <w:tcPr>
                  <w:tcW w:w="1319" w:type="dxa"/>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50</w:t>
                  </w:r>
                </w:p>
              </w:tc>
              <w:tc>
                <w:tcPr>
                  <w:tcW w:w="994"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50</w:t>
                  </w:r>
                </w:p>
              </w:tc>
              <w:tc>
                <w:tcPr>
                  <w:tcW w:w="892"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204" w:type="dxa"/>
                  <w:vMerge w:val="restart"/>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rPr>
                    <w:t>202</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0</w:t>
                  </w:r>
                  <w:r>
                    <w:rPr>
                      <w:rFonts w:hint="eastAsia" w:ascii="Times New Roman" w:hAnsi="Times New Roman" w:cs="Times New Roman"/>
                      <w:color w:val="auto"/>
                      <w:highlight w:val="none"/>
                      <w:lang w:val="en-US" w:eastAsia="zh-CN"/>
                    </w:rPr>
                    <w:t>4</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05</w:t>
                  </w:r>
                </w:p>
              </w:tc>
              <w:tc>
                <w:tcPr>
                  <w:tcW w:w="1825" w:type="dxa"/>
                  <w:vMerge w:val="restart"/>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厂区</w:t>
                  </w:r>
                  <w:r>
                    <w:rPr>
                      <w:rFonts w:hint="eastAsia" w:cs="Times New Roman"/>
                      <w:color w:val="auto"/>
                      <w:highlight w:val="none"/>
                      <w:lang w:val="en-US" w:eastAsia="zh-CN"/>
                    </w:rPr>
                    <w:t>东</w:t>
                  </w:r>
                  <w:r>
                    <w:rPr>
                      <w:rFonts w:hint="default" w:ascii="Times New Roman" w:hAnsi="Times New Roman" w:eastAsia="宋体" w:cs="Times New Roman"/>
                      <w:color w:val="auto"/>
                      <w:highlight w:val="none"/>
                      <w:lang w:val="en-US" w:eastAsia="zh-CN"/>
                    </w:rPr>
                    <w:t>侧敏感点</w:t>
                  </w:r>
                </w:p>
              </w:tc>
              <w:tc>
                <w:tcPr>
                  <w:tcW w:w="1031"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en-US"/>
                    </w:rPr>
                    <w:t>昼间</w:t>
                  </w:r>
                </w:p>
              </w:tc>
              <w:tc>
                <w:tcPr>
                  <w:tcW w:w="1319"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55</w:t>
                  </w:r>
                </w:p>
              </w:tc>
              <w:tc>
                <w:tcPr>
                  <w:tcW w:w="994"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rPr>
                  </w:pPr>
                  <w:r>
                    <w:rPr>
                      <w:rFonts w:hint="eastAsia" w:cs="Times New Roman"/>
                      <w:color w:val="auto"/>
                      <w:highlight w:val="none"/>
                      <w:lang w:val="en-US" w:eastAsia="zh-CN"/>
                    </w:rPr>
                    <w:t>60</w:t>
                  </w:r>
                </w:p>
              </w:tc>
              <w:tc>
                <w:tcPr>
                  <w:tcW w:w="892"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825"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eastAsia="zh-CN"/>
                    </w:rPr>
                  </w:pPr>
                </w:p>
              </w:tc>
              <w:tc>
                <w:tcPr>
                  <w:tcW w:w="1031"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w:t>
                  </w:r>
                  <w:r>
                    <w:rPr>
                      <w:rFonts w:hint="default" w:ascii="Times New Roman" w:hAnsi="Times New Roman" w:eastAsia="宋体" w:cs="Times New Roman"/>
                      <w:color w:val="auto"/>
                      <w:highlight w:val="none"/>
                      <w:lang w:val="en-US" w:eastAsia="en-US"/>
                    </w:rPr>
                    <w:t>间</w:t>
                  </w:r>
                </w:p>
              </w:tc>
              <w:tc>
                <w:tcPr>
                  <w:tcW w:w="1319"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48</w:t>
                  </w:r>
                </w:p>
              </w:tc>
              <w:tc>
                <w:tcPr>
                  <w:tcW w:w="994"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rPr>
                  </w:pPr>
                  <w:r>
                    <w:rPr>
                      <w:rFonts w:hint="eastAsia" w:cs="Times New Roman"/>
                      <w:color w:val="auto"/>
                      <w:highlight w:val="none"/>
                      <w:lang w:val="en-US" w:eastAsia="zh-CN"/>
                    </w:rPr>
                    <w:t>50</w:t>
                  </w:r>
                </w:p>
              </w:tc>
              <w:tc>
                <w:tcPr>
                  <w:tcW w:w="892"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825" w:type="dxa"/>
                  <w:vMerge w:val="restart"/>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厂区</w:t>
                  </w:r>
                  <w:r>
                    <w:rPr>
                      <w:rFonts w:hint="eastAsia" w:cs="Times New Roman"/>
                      <w:color w:val="auto"/>
                      <w:highlight w:val="none"/>
                      <w:lang w:val="en-US" w:eastAsia="zh-CN"/>
                    </w:rPr>
                    <w:t>南</w:t>
                  </w:r>
                  <w:r>
                    <w:rPr>
                      <w:rFonts w:hint="default" w:ascii="Times New Roman" w:hAnsi="Times New Roman" w:eastAsia="宋体" w:cs="Times New Roman"/>
                      <w:color w:val="auto"/>
                      <w:highlight w:val="none"/>
                      <w:lang w:val="en-US" w:eastAsia="zh-CN"/>
                    </w:rPr>
                    <w:t>侧敏感点</w:t>
                  </w:r>
                </w:p>
              </w:tc>
              <w:tc>
                <w:tcPr>
                  <w:tcW w:w="1031"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en-US"/>
                    </w:rPr>
                    <w:t>昼间</w:t>
                  </w:r>
                </w:p>
              </w:tc>
              <w:tc>
                <w:tcPr>
                  <w:tcW w:w="1319"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56</w:t>
                  </w:r>
                </w:p>
              </w:tc>
              <w:tc>
                <w:tcPr>
                  <w:tcW w:w="994"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60</w:t>
                  </w:r>
                </w:p>
              </w:tc>
              <w:tc>
                <w:tcPr>
                  <w:tcW w:w="892"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825"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eastAsia="zh-CN"/>
                    </w:rPr>
                  </w:pPr>
                </w:p>
              </w:tc>
              <w:tc>
                <w:tcPr>
                  <w:tcW w:w="1031"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w:t>
                  </w:r>
                  <w:r>
                    <w:rPr>
                      <w:rFonts w:hint="default" w:ascii="Times New Roman" w:hAnsi="Times New Roman" w:eastAsia="宋体" w:cs="Times New Roman"/>
                      <w:color w:val="auto"/>
                      <w:highlight w:val="none"/>
                      <w:lang w:val="en-US" w:eastAsia="en-US"/>
                    </w:rPr>
                    <w:t>间</w:t>
                  </w:r>
                </w:p>
              </w:tc>
              <w:tc>
                <w:tcPr>
                  <w:tcW w:w="1319"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48</w:t>
                  </w:r>
                </w:p>
              </w:tc>
              <w:tc>
                <w:tcPr>
                  <w:tcW w:w="994"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50</w:t>
                  </w:r>
                </w:p>
              </w:tc>
              <w:tc>
                <w:tcPr>
                  <w:tcW w:w="892"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825" w:type="dxa"/>
                  <w:vMerge w:val="restart"/>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厂区</w:t>
                  </w:r>
                  <w:r>
                    <w:rPr>
                      <w:rFonts w:hint="eastAsia" w:cs="Times New Roman"/>
                      <w:color w:val="auto"/>
                      <w:highlight w:val="none"/>
                      <w:lang w:val="en-US" w:eastAsia="zh-CN"/>
                    </w:rPr>
                    <w:t>西</w:t>
                  </w:r>
                  <w:r>
                    <w:rPr>
                      <w:rFonts w:hint="default" w:ascii="Times New Roman" w:hAnsi="Times New Roman" w:eastAsia="宋体" w:cs="Times New Roman"/>
                      <w:color w:val="auto"/>
                      <w:highlight w:val="none"/>
                      <w:lang w:val="en-US" w:eastAsia="zh-CN"/>
                    </w:rPr>
                    <w:t>侧敏感点</w:t>
                  </w:r>
                </w:p>
              </w:tc>
              <w:tc>
                <w:tcPr>
                  <w:tcW w:w="1031"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en-US"/>
                    </w:rPr>
                    <w:t>昼间</w:t>
                  </w:r>
                </w:p>
              </w:tc>
              <w:tc>
                <w:tcPr>
                  <w:tcW w:w="1319" w:type="dxa"/>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57</w:t>
                  </w:r>
                </w:p>
              </w:tc>
              <w:tc>
                <w:tcPr>
                  <w:tcW w:w="994" w:type="dxa"/>
                  <w:tcBorders>
                    <w:tl2br w:val="nil"/>
                    <w:tr2bl w:val="nil"/>
                  </w:tcBorders>
                  <w:shd w:val="clear" w:color="auto" w:fill="auto"/>
                  <w:noWrap w:val="0"/>
                  <w:vAlign w:val="center"/>
                </w:tcPr>
                <w:p>
                  <w:pPr>
                    <w:pStyle w:val="67"/>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60</w:t>
                  </w:r>
                </w:p>
              </w:tc>
              <w:tc>
                <w:tcPr>
                  <w:tcW w:w="892"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825"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eastAsia="zh-CN"/>
                    </w:rPr>
                  </w:pPr>
                </w:p>
              </w:tc>
              <w:tc>
                <w:tcPr>
                  <w:tcW w:w="1031"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w:t>
                  </w:r>
                  <w:r>
                    <w:rPr>
                      <w:rFonts w:hint="default" w:ascii="Times New Roman" w:hAnsi="Times New Roman" w:eastAsia="宋体" w:cs="Times New Roman"/>
                      <w:color w:val="auto"/>
                      <w:highlight w:val="none"/>
                      <w:lang w:val="en-US" w:eastAsia="en-US"/>
                    </w:rPr>
                    <w:t>间</w:t>
                  </w:r>
                </w:p>
              </w:tc>
              <w:tc>
                <w:tcPr>
                  <w:tcW w:w="1319" w:type="dxa"/>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50</w:t>
                  </w:r>
                </w:p>
              </w:tc>
              <w:tc>
                <w:tcPr>
                  <w:tcW w:w="994" w:type="dxa"/>
                  <w:tcBorders>
                    <w:tl2br w:val="nil"/>
                    <w:tr2bl w:val="nil"/>
                  </w:tcBorders>
                  <w:shd w:val="clear" w:color="auto" w:fill="auto"/>
                  <w:noWrap w:val="0"/>
                  <w:vAlign w:val="center"/>
                </w:tcPr>
                <w:p>
                  <w:pPr>
                    <w:pStyle w:val="67"/>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50</w:t>
                  </w:r>
                </w:p>
              </w:tc>
              <w:tc>
                <w:tcPr>
                  <w:tcW w:w="892"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825" w:type="dxa"/>
                  <w:vMerge w:val="restart"/>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厂区</w:t>
                  </w:r>
                  <w:r>
                    <w:rPr>
                      <w:rFonts w:hint="eastAsia" w:cs="Times New Roman"/>
                      <w:color w:val="auto"/>
                      <w:highlight w:val="none"/>
                      <w:lang w:val="en-US" w:eastAsia="zh-CN"/>
                    </w:rPr>
                    <w:t>北</w:t>
                  </w:r>
                  <w:r>
                    <w:rPr>
                      <w:rFonts w:hint="default" w:ascii="Times New Roman" w:hAnsi="Times New Roman" w:eastAsia="宋体" w:cs="Times New Roman"/>
                      <w:color w:val="auto"/>
                      <w:highlight w:val="none"/>
                      <w:lang w:val="en-US" w:eastAsia="zh-CN"/>
                    </w:rPr>
                    <w:t>侧敏感点</w:t>
                  </w:r>
                </w:p>
              </w:tc>
              <w:tc>
                <w:tcPr>
                  <w:tcW w:w="1031"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en-US"/>
                    </w:rPr>
                    <w:t>昼间</w:t>
                  </w:r>
                </w:p>
              </w:tc>
              <w:tc>
                <w:tcPr>
                  <w:tcW w:w="1319" w:type="dxa"/>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57</w:t>
                  </w:r>
                </w:p>
              </w:tc>
              <w:tc>
                <w:tcPr>
                  <w:tcW w:w="994"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60</w:t>
                  </w:r>
                </w:p>
              </w:tc>
              <w:tc>
                <w:tcPr>
                  <w:tcW w:w="892"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rPr>
                  </w:pPr>
                </w:p>
              </w:tc>
              <w:tc>
                <w:tcPr>
                  <w:tcW w:w="1825" w:type="dxa"/>
                  <w:vMerge w:val="continue"/>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eastAsia="zh-CN"/>
                    </w:rPr>
                  </w:pPr>
                </w:p>
              </w:tc>
              <w:tc>
                <w:tcPr>
                  <w:tcW w:w="1031"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w:t>
                  </w:r>
                  <w:r>
                    <w:rPr>
                      <w:rFonts w:hint="default" w:ascii="Times New Roman" w:hAnsi="Times New Roman" w:eastAsia="宋体" w:cs="Times New Roman"/>
                      <w:color w:val="auto"/>
                      <w:highlight w:val="none"/>
                      <w:lang w:val="en-US" w:eastAsia="en-US"/>
                    </w:rPr>
                    <w:t>间</w:t>
                  </w:r>
                </w:p>
              </w:tc>
              <w:tc>
                <w:tcPr>
                  <w:tcW w:w="1319" w:type="dxa"/>
                  <w:tcBorders>
                    <w:tl2br w:val="nil"/>
                    <w:tr2bl w:val="nil"/>
                  </w:tcBorders>
                  <w:noWrap w:val="0"/>
                  <w:vAlign w:val="center"/>
                </w:tcPr>
                <w:p>
                  <w:pPr>
                    <w:pStyle w:val="67"/>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50</w:t>
                  </w:r>
                </w:p>
              </w:tc>
              <w:tc>
                <w:tcPr>
                  <w:tcW w:w="994"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50</w:t>
                  </w:r>
                </w:p>
              </w:tc>
              <w:tc>
                <w:tcPr>
                  <w:tcW w:w="892" w:type="dxa"/>
                  <w:tcBorders>
                    <w:tl2br w:val="nil"/>
                    <w:tr2bl w:val="nil"/>
                  </w:tcBorders>
                  <w:noWrap w:val="0"/>
                  <w:vAlign w:val="center"/>
                </w:tcPr>
                <w:p>
                  <w:pPr>
                    <w:pStyle w:val="67"/>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bl>
          <w:p>
            <w:pPr>
              <w:pStyle w:val="65"/>
              <w:spacing w:before="156"/>
              <w:ind w:firstLine="480"/>
              <w:rPr>
                <w:rFonts w:hint="default" w:ascii="Times New Roman" w:hAnsi="Times New Roman" w:cs="Times New Roman"/>
                <w:color w:val="auto"/>
              </w:rPr>
            </w:pPr>
            <w:r>
              <w:rPr>
                <w:rFonts w:hint="default" w:ascii="Times New Roman" w:hAnsi="Times New Roman" w:cs="Times New Roman"/>
                <w:color w:val="auto"/>
                <w:highlight w:val="none"/>
              </w:rPr>
              <w:t>由上表监测结果可知，</w:t>
            </w:r>
            <w:r>
              <w:rPr>
                <w:rFonts w:hint="eastAsia" w:ascii="Times New Roman" w:hAnsi="Times New Roman" w:cs="Times New Roman"/>
                <w:color w:val="auto"/>
                <w:highlight w:val="none"/>
                <w:lang w:val="en-US" w:eastAsia="zh-CN"/>
              </w:rPr>
              <w:t>本项目周边最近敏感点现状噪声值满足</w:t>
            </w:r>
            <w:r>
              <w:rPr>
                <w:rFonts w:hint="default" w:ascii="Times New Roman" w:hAnsi="Times New Roman" w:cs="Times New Roman"/>
                <w:color w:val="auto"/>
                <w:kern w:val="0"/>
                <w:highlight w:val="none"/>
              </w:rPr>
              <w:t>《</w:t>
            </w:r>
            <w:r>
              <w:rPr>
                <w:rFonts w:hint="eastAsia" w:ascii="Times New Roman" w:hAnsi="Times New Roman" w:cs="Times New Roman"/>
                <w:color w:val="auto"/>
                <w:kern w:val="0"/>
                <w:highlight w:val="none"/>
                <w:lang w:val="en-US" w:eastAsia="zh-CN"/>
              </w:rPr>
              <w:t>声环境</w:t>
            </w:r>
            <w:r>
              <w:rPr>
                <w:rFonts w:hint="default" w:ascii="Times New Roman" w:hAnsi="Times New Roman" w:cs="Times New Roman"/>
                <w:color w:val="auto"/>
                <w:kern w:val="0"/>
                <w:highlight w:val="none"/>
              </w:rPr>
              <w:t>环境质量标准》（GB</w:t>
            </w:r>
            <w:r>
              <w:rPr>
                <w:rFonts w:hint="eastAsia" w:ascii="Times New Roman" w:hAnsi="Times New Roman" w:cs="Times New Roman"/>
                <w:color w:val="auto"/>
                <w:kern w:val="0"/>
                <w:highlight w:val="none"/>
                <w:lang w:val="en-US" w:eastAsia="zh-CN"/>
              </w:rPr>
              <w:t>3096</w:t>
            </w:r>
            <w:r>
              <w:rPr>
                <w:rFonts w:hint="default" w:ascii="Times New Roman" w:hAnsi="Times New Roman" w:cs="Times New Roman"/>
                <w:color w:val="auto"/>
                <w:kern w:val="0"/>
                <w:highlight w:val="none"/>
              </w:rPr>
              <w:t>-200</w:t>
            </w:r>
            <w:r>
              <w:rPr>
                <w:rFonts w:hint="eastAsia" w:ascii="Times New Roman" w:hAnsi="Times New Roman" w:cs="Times New Roman"/>
                <w:color w:val="auto"/>
                <w:kern w:val="0"/>
                <w:highlight w:val="none"/>
                <w:lang w:val="en-US" w:eastAsia="zh-CN"/>
              </w:rPr>
              <w:t>8</w:t>
            </w:r>
            <w:r>
              <w:rPr>
                <w:rFonts w:hint="default" w:ascii="Times New Roman" w:hAnsi="Times New Roman" w:cs="Times New Roman"/>
                <w:color w:val="auto"/>
                <w:kern w:val="0"/>
                <w:highlight w:val="none"/>
              </w:rPr>
              <w:t>）中</w:t>
            </w:r>
            <w:r>
              <w:rPr>
                <w:rFonts w:hint="eastAsia" w:cs="Times New Roman"/>
                <w:color w:val="auto"/>
                <w:kern w:val="0"/>
                <w:highlight w:val="none"/>
                <w:lang w:val="en-US" w:eastAsia="zh-CN"/>
              </w:rPr>
              <w:t>2</w:t>
            </w:r>
            <w:r>
              <w:rPr>
                <w:rFonts w:hint="default" w:ascii="Times New Roman" w:hAnsi="Times New Roman" w:cs="Times New Roman"/>
                <w:color w:val="auto"/>
                <w:kern w:val="0"/>
                <w:highlight w:val="none"/>
              </w:rPr>
              <w:t>类标准，</w:t>
            </w:r>
            <w:r>
              <w:rPr>
                <w:rFonts w:hint="eastAsia" w:ascii="Times New Roman" w:hAnsi="Times New Roman" w:cs="Times New Roman"/>
                <w:color w:val="auto"/>
                <w:kern w:val="0"/>
                <w:highlight w:val="none"/>
                <w:lang w:val="en-US" w:eastAsia="zh-CN"/>
              </w:rPr>
              <w:t>周边环境声</w:t>
            </w:r>
            <w:r>
              <w:rPr>
                <w:rFonts w:hint="default" w:ascii="Times New Roman" w:hAnsi="Times New Roman" w:cs="Times New Roman"/>
                <w:color w:val="auto"/>
                <w:kern w:val="0"/>
                <w:highlight w:val="none"/>
              </w:rPr>
              <w:t>环境质量现</w:t>
            </w:r>
            <w:r>
              <w:rPr>
                <w:rFonts w:hint="default" w:ascii="Times New Roman" w:hAnsi="Times New Roman" w:cs="Times New Roman"/>
                <w:color w:val="auto"/>
                <w:kern w:val="0"/>
              </w:rPr>
              <w:t>状较好。</w:t>
            </w:r>
          </w:p>
          <w:p>
            <w:pPr>
              <w:pStyle w:val="65"/>
              <w:ind w:firstLine="480"/>
              <w:rPr>
                <w:rFonts w:hint="default" w:ascii="Times New Roman" w:hAnsi="Times New Roman" w:cs="Times New Roman"/>
                <w:b/>
                <w:bCs/>
                <w:color w:val="auto"/>
              </w:rPr>
            </w:pPr>
            <w:r>
              <w:rPr>
                <w:rFonts w:hint="default" w:ascii="Times New Roman" w:hAnsi="Times New Roman" w:cs="Times New Roman"/>
                <w:b/>
                <w:bCs/>
                <w:color w:val="auto"/>
              </w:rPr>
              <w:t>4、地下水环境质量现状</w:t>
            </w:r>
          </w:p>
          <w:p>
            <w:pPr>
              <w:pStyle w:val="65"/>
              <w:ind w:firstLine="480"/>
              <w:rPr>
                <w:rFonts w:hint="default" w:ascii="Times New Roman" w:hAnsi="Times New Roman" w:cs="Times New Roman"/>
                <w:color w:val="auto"/>
              </w:rPr>
            </w:pPr>
            <w:r>
              <w:rPr>
                <w:rFonts w:hint="default" w:ascii="Times New Roman" w:hAnsi="Times New Roman" w:eastAsia="宋体" w:cs="Times New Roman"/>
                <w:color w:val="auto"/>
                <w:lang w:val="en-US" w:eastAsia="zh-CN"/>
              </w:rPr>
              <w:t>根据《建设项目环境影响报告表编制技术指南 （污染影响类）（试行）》，原则上不开展</w:t>
            </w:r>
            <w:r>
              <w:rPr>
                <w:rFonts w:hint="eastAsia" w:cs="Times New Roman"/>
                <w:color w:val="auto"/>
                <w:lang w:val="en-US" w:eastAsia="zh-CN"/>
              </w:rPr>
              <w:t>地下水</w:t>
            </w:r>
            <w:r>
              <w:rPr>
                <w:rFonts w:hint="default" w:ascii="Times New Roman" w:hAnsi="Times New Roman" w:eastAsia="宋体" w:cs="Times New Roman"/>
                <w:color w:val="auto"/>
                <w:lang w:val="en-US" w:eastAsia="zh-CN"/>
              </w:rPr>
              <w:t>质量现状调查</w:t>
            </w:r>
            <w:r>
              <w:rPr>
                <w:rFonts w:hint="eastAsia" w:cs="Times New Roman"/>
                <w:color w:val="auto"/>
                <w:lang w:val="en-US" w:eastAsia="zh-CN"/>
              </w:rPr>
              <w:t>。</w:t>
            </w:r>
            <w:r>
              <w:rPr>
                <w:rFonts w:hint="default" w:ascii="Times New Roman" w:hAnsi="Times New Roman" w:eastAsia="宋体" w:cs="Times New Roman"/>
                <w:color w:val="auto"/>
                <w:lang w:val="en-US" w:eastAsia="zh-CN"/>
              </w:rPr>
              <w:t>本项目</w:t>
            </w:r>
            <w:r>
              <w:rPr>
                <w:rFonts w:hint="eastAsia" w:ascii="Times New Roman" w:hAnsi="Times New Roman" w:cs="Times New Roman"/>
                <w:color w:val="auto"/>
                <w:lang w:val="en-US" w:eastAsia="zh-CN"/>
              </w:rPr>
              <w:t>为安置小区建设</w:t>
            </w:r>
            <w:r>
              <w:rPr>
                <w:rFonts w:hint="default" w:ascii="Times New Roman" w:hAnsi="Times New Roman" w:eastAsia="宋体" w:cs="Times New Roman"/>
                <w:color w:val="auto"/>
                <w:lang w:val="en-US" w:eastAsia="zh-CN"/>
              </w:rPr>
              <w:t>，</w:t>
            </w:r>
            <w:r>
              <w:rPr>
                <w:rFonts w:hint="eastAsia" w:cs="Times New Roman"/>
                <w:color w:val="auto"/>
                <w:lang w:val="en-US" w:eastAsia="zh-CN"/>
              </w:rPr>
              <w:t>不涉及地下取水，</w:t>
            </w:r>
            <w:r>
              <w:rPr>
                <w:rFonts w:hint="default" w:ascii="Times New Roman" w:hAnsi="Times New Roman" w:eastAsia="宋体" w:cs="Times New Roman"/>
                <w:color w:val="auto"/>
                <w:lang w:val="en-US" w:eastAsia="zh-CN"/>
              </w:rPr>
              <w:t>不存在</w:t>
            </w:r>
            <w:r>
              <w:rPr>
                <w:rFonts w:hint="eastAsia" w:cs="Times New Roman"/>
                <w:color w:val="auto"/>
                <w:lang w:val="en-US" w:eastAsia="zh-CN"/>
              </w:rPr>
              <w:t>地下水</w:t>
            </w:r>
            <w:r>
              <w:rPr>
                <w:rFonts w:hint="default" w:ascii="Times New Roman" w:hAnsi="Times New Roman" w:eastAsia="宋体" w:cs="Times New Roman"/>
                <w:color w:val="auto"/>
                <w:lang w:val="en-US" w:eastAsia="zh-CN"/>
              </w:rPr>
              <w:t>环境污染途径，可不进行</w:t>
            </w:r>
            <w:r>
              <w:rPr>
                <w:rFonts w:hint="eastAsia" w:cs="Times New Roman"/>
                <w:color w:val="auto"/>
                <w:lang w:val="en-US" w:eastAsia="zh-CN"/>
              </w:rPr>
              <w:t>地下水</w:t>
            </w:r>
            <w:r>
              <w:rPr>
                <w:rFonts w:hint="default" w:ascii="Times New Roman" w:hAnsi="Times New Roman" w:eastAsia="宋体" w:cs="Times New Roman"/>
                <w:color w:val="auto"/>
                <w:lang w:val="en-US" w:eastAsia="zh-CN"/>
              </w:rPr>
              <w:t>质量现状监测。</w:t>
            </w:r>
          </w:p>
          <w:p>
            <w:pPr>
              <w:pStyle w:val="65"/>
              <w:ind w:firstLine="480"/>
              <w:rPr>
                <w:rFonts w:hint="default" w:ascii="Times New Roman" w:hAnsi="Times New Roman" w:cs="Times New Roman"/>
                <w:b/>
                <w:bCs/>
                <w:color w:val="auto"/>
              </w:rPr>
            </w:pPr>
            <w:r>
              <w:rPr>
                <w:rFonts w:hint="eastAsia" w:ascii="Times New Roman" w:hAnsi="Times New Roman" w:cs="Times New Roman"/>
                <w:b/>
                <w:bCs/>
                <w:color w:val="auto"/>
                <w:lang w:val="en-US" w:eastAsia="zh-CN"/>
              </w:rPr>
              <w:t>5、</w:t>
            </w:r>
            <w:r>
              <w:rPr>
                <w:rFonts w:hint="default" w:ascii="Times New Roman" w:hAnsi="Times New Roman" w:cs="Times New Roman"/>
                <w:b/>
                <w:bCs/>
                <w:color w:val="auto"/>
                <w:lang w:val="en-US" w:eastAsia="zh-CN"/>
              </w:rPr>
              <w:t>土壤环境</w:t>
            </w:r>
            <w:r>
              <w:rPr>
                <w:rFonts w:hint="default" w:ascii="Times New Roman" w:hAnsi="Times New Roman" w:cs="Times New Roman"/>
                <w:b/>
                <w:bCs/>
                <w:color w:val="auto"/>
              </w:rPr>
              <w:t>质量现状</w:t>
            </w:r>
          </w:p>
          <w:p>
            <w:pPr>
              <w:pStyle w:val="65"/>
              <w:ind w:firstLine="48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根据《建设项目环境影响报告表编制技术指南 （污染影响类）（试行）》，原则上不开展环境质量现状调查。本项目</w:t>
            </w:r>
            <w:r>
              <w:rPr>
                <w:rFonts w:hint="eastAsia" w:ascii="Times New Roman" w:hAnsi="Times New Roman" w:cs="Times New Roman"/>
                <w:color w:val="auto"/>
                <w:lang w:val="en-US" w:eastAsia="zh-CN"/>
              </w:rPr>
              <w:t>为安置小区建设</w:t>
            </w:r>
            <w:r>
              <w:rPr>
                <w:rFonts w:hint="default" w:ascii="Times New Roman" w:hAnsi="Times New Roman" w:eastAsia="宋体" w:cs="Times New Roman"/>
                <w:color w:val="auto"/>
                <w:lang w:val="en-US" w:eastAsia="zh-CN"/>
              </w:rPr>
              <w:t>，不存在土壤环境污染途径，可不进行土壤质量现状监测。</w:t>
            </w:r>
          </w:p>
          <w:p>
            <w:pPr>
              <w:pStyle w:val="65"/>
              <w:numPr>
                <w:ilvl w:val="0"/>
                <w:numId w:val="0"/>
              </w:numPr>
              <w:ind w:left="630" w:leftChars="0"/>
              <w:rPr>
                <w:rFonts w:hint="default" w:ascii="Times New Roman" w:hAnsi="Times New Roman" w:cs="Times New Roman"/>
                <w:b/>
                <w:bCs/>
                <w:color w:val="auto"/>
              </w:rPr>
            </w:pPr>
            <w:r>
              <w:rPr>
                <w:rFonts w:hint="eastAsia" w:ascii="Times New Roman" w:hAnsi="Times New Roman" w:cs="Times New Roman"/>
                <w:b/>
                <w:bCs/>
                <w:color w:val="auto"/>
                <w:lang w:val="en-US" w:eastAsia="zh-CN"/>
              </w:rPr>
              <w:t>6、</w:t>
            </w:r>
            <w:r>
              <w:rPr>
                <w:rFonts w:hint="default" w:ascii="Times New Roman" w:hAnsi="Times New Roman" w:cs="Times New Roman"/>
                <w:b/>
                <w:bCs/>
                <w:color w:val="auto"/>
                <w:lang w:val="en-US" w:eastAsia="zh-CN"/>
              </w:rPr>
              <w:t>生态环境现状</w:t>
            </w:r>
          </w:p>
          <w:p>
            <w:pPr>
              <w:pStyle w:val="65"/>
              <w:ind w:firstLine="480"/>
              <w:rPr>
                <w:color w:val="auto"/>
                <w:szCs w:val="24"/>
              </w:rPr>
            </w:pPr>
            <w:r>
              <w:rPr>
                <w:rFonts w:hint="eastAsia" w:cs="Times New Roman"/>
                <w:color w:val="auto"/>
                <w:szCs w:val="22"/>
                <w:lang w:val="en-US" w:eastAsia="zh-CN"/>
              </w:rPr>
              <w:t>详见生态专章。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431" w:hRule="atLeast"/>
          <w:jc w:val="center"/>
        </w:trPr>
        <w:tc>
          <w:tcPr>
            <w:tcW w:w="800" w:type="dxa"/>
            <w:vAlign w:val="center"/>
          </w:tcPr>
          <w:p>
            <w:pPr>
              <w:adjustRightInd w:val="0"/>
              <w:snapToGrid w:val="0"/>
              <w:jc w:val="center"/>
              <w:rPr>
                <w:rFonts w:hint="eastAsia" w:cs="宋体"/>
                <w:color w:val="auto"/>
                <w:kern w:val="0"/>
                <w:sz w:val="24"/>
                <w:szCs w:val="21"/>
              </w:rPr>
            </w:pPr>
            <w:r>
              <w:rPr>
                <w:rFonts w:hint="default" w:ascii="Times New Roman" w:hAnsi="Times New Roman" w:cs="Times New Roman"/>
                <w:bCs/>
                <w:color w:val="auto"/>
              </w:rPr>
              <w:t>与项目有关的原有环境污染和生态破坏问题</w:t>
            </w:r>
          </w:p>
        </w:tc>
        <w:tc>
          <w:tcPr>
            <w:tcW w:w="8190" w:type="dxa"/>
            <w:vAlign w:val="center"/>
          </w:tcPr>
          <w:p>
            <w:pPr>
              <w:adjustRightInd w:val="0"/>
              <w:snapToGrid w:val="0"/>
              <w:spacing w:line="360" w:lineRule="auto"/>
              <w:ind w:firstLine="480" w:firstLineChars="200"/>
              <w:jc w:val="center"/>
              <w:rPr>
                <w:rFonts w:hint="eastAsia" w:cs="Times New Roman"/>
                <w:color w:val="auto"/>
                <w:szCs w:val="22"/>
                <w:lang w:val="en-US" w:eastAsia="zh-CN"/>
              </w:rPr>
            </w:pPr>
            <w:r>
              <w:rPr>
                <w:rFonts w:hint="eastAsia" w:ascii="Times New Roman" w:hAnsi="Times New Roman" w:eastAsia="宋体" w:cs="宋体"/>
                <w:bCs/>
                <w:color w:val="auto"/>
                <w:sz w:val="24"/>
                <w:szCs w:val="21"/>
                <w:lang w:val="en-US" w:eastAsia="zh-CN"/>
              </w:rPr>
              <w:t>本项目建设前原有用地为普通耕地，主要用于种植蔬菜、水稻、玉米等常见农作物。</w:t>
            </w:r>
            <w:r>
              <w:rPr>
                <w:rFonts w:hint="eastAsia" w:cs="宋体"/>
                <w:bCs/>
                <w:color w:val="auto"/>
                <w:sz w:val="24"/>
                <w:szCs w:val="21"/>
                <w:lang w:val="en-US" w:eastAsia="zh-CN"/>
              </w:rPr>
              <w:t>原用地范围内</w:t>
            </w:r>
            <w:r>
              <w:rPr>
                <w:rFonts w:hint="eastAsia" w:ascii="Times New Roman" w:hAnsi="Times New Roman" w:eastAsia="宋体" w:cs="宋体"/>
                <w:bCs/>
                <w:color w:val="auto"/>
                <w:sz w:val="24"/>
                <w:szCs w:val="21"/>
                <w:lang w:val="en-US" w:eastAsia="zh-CN"/>
              </w:rPr>
              <w:t>不存在工业生产，无与项目有关的原有环境污染问题。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1632" w:hRule="atLeast"/>
          <w:jc w:val="center"/>
        </w:trPr>
        <w:tc>
          <w:tcPr>
            <w:tcW w:w="800" w:type="dxa"/>
            <w:vAlign w:val="center"/>
          </w:tcPr>
          <w:p>
            <w:pPr>
              <w:adjustRightInd w:val="0"/>
              <w:snapToGrid w:val="0"/>
              <w:jc w:val="center"/>
              <w:rPr>
                <w:rFonts w:cs="宋体"/>
                <w:color w:val="auto"/>
                <w:kern w:val="0"/>
                <w:sz w:val="24"/>
                <w:szCs w:val="21"/>
              </w:rPr>
            </w:pPr>
            <w:r>
              <w:rPr>
                <w:rFonts w:hint="eastAsia" w:cs="宋体"/>
                <w:color w:val="auto"/>
                <w:kern w:val="0"/>
                <w:sz w:val="24"/>
                <w:szCs w:val="21"/>
                <w:lang w:val="en-US" w:eastAsia="zh-CN"/>
              </w:rPr>
              <w:t>生态</w:t>
            </w:r>
            <w:r>
              <w:rPr>
                <w:rFonts w:hint="eastAsia" w:cs="宋体"/>
                <w:color w:val="auto"/>
                <w:kern w:val="0"/>
                <w:sz w:val="24"/>
                <w:szCs w:val="21"/>
              </w:rPr>
              <w:t>环境</w:t>
            </w:r>
          </w:p>
          <w:p>
            <w:pPr>
              <w:adjustRightInd w:val="0"/>
              <w:snapToGrid w:val="0"/>
              <w:jc w:val="center"/>
              <w:rPr>
                <w:rFonts w:cs="宋体"/>
                <w:color w:val="auto"/>
                <w:kern w:val="0"/>
                <w:sz w:val="24"/>
                <w:szCs w:val="21"/>
              </w:rPr>
            </w:pPr>
            <w:r>
              <w:rPr>
                <w:rFonts w:hint="eastAsia" w:cs="宋体"/>
                <w:color w:val="auto"/>
                <w:kern w:val="0"/>
                <w:sz w:val="24"/>
                <w:szCs w:val="21"/>
              </w:rPr>
              <w:t>保护</w:t>
            </w:r>
          </w:p>
          <w:p>
            <w:pPr>
              <w:adjustRightInd w:val="0"/>
              <w:snapToGrid w:val="0"/>
              <w:jc w:val="center"/>
              <w:rPr>
                <w:rFonts w:cs="宋体"/>
                <w:color w:val="auto"/>
                <w:kern w:val="0"/>
                <w:sz w:val="24"/>
                <w:szCs w:val="21"/>
              </w:rPr>
            </w:pPr>
            <w:r>
              <w:rPr>
                <w:rFonts w:hint="eastAsia" w:cs="宋体"/>
                <w:color w:val="auto"/>
                <w:kern w:val="0"/>
                <w:sz w:val="24"/>
                <w:szCs w:val="21"/>
              </w:rPr>
              <w:t>目标</w:t>
            </w:r>
          </w:p>
        </w:tc>
        <w:tc>
          <w:tcPr>
            <w:tcW w:w="8190" w:type="dxa"/>
            <w:vAlign w:val="center"/>
          </w:tcPr>
          <w:p>
            <w:pPr>
              <w:pStyle w:val="9"/>
              <w:ind w:firstLine="0" w:firstLineChars="0"/>
              <w:rPr>
                <w:rFonts w:eastAsia="宋体"/>
                <w:b/>
                <w:bCs/>
                <w:color w:val="auto"/>
                <w:sz w:val="24"/>
                <w:szCs w:val="24"/>
              </w:rPr>
            </w:pPr>
            <w:r>
              <w:rPr>
                <w:rFonts w:hint="eastAsia"/>
                <w:b/>
                <w:bCs/>
                <w:color w:val="auto"/>
                <w:sz w:val="24"/>
                <w:szCs w:val="24"/>
                <w:lang w:val="en-US" w:eastAsia="zh-CN"/>
              </w:rPr>
              <w:t>1</w:t>
            </w:r>
            <w:r>
              <w:rPr>
                <w:rFonts w:hint="eastAsia" w:eastAsia="宋体"/>
                <w:b/>
                <w:bCs/>
                <w:color w:val="auto"/>
                <w:sz w:val="24"/>
                <w:szCs w:val="24"/>
              </w:rPr>
              <w:t>、大气环境</w:t>
            </w:r>
          </w:p>
          <w:p>
            <w:pPr>
              <w:pStyle w:val="9"/>
              <w:ind w:firstLine="480"/>
              <w:jc w:val="both"/>
              <w:rPr>
                <w:rFonts w:hint="eastAsia"/>
                <w:color w:val="auto"/>
                <w:sz w:val="24"/>
                <w:szCs w:val="24"/>
              </w:rPr>
            </w:pPr>
            <w:r>
              <w:rPr>
                <w:rFonts w:hint="eastAsia"/>
                <w:color w:val="auto"/>
                <w:sz w:val="24"/>
                <w:szCs w:val="24"/>
              </w:rPr>
              <w:t>项目厂界外</w:t>
            </w:r>
            <w:r>
              <w:rPr>
                <w:rFonts w:hint="eastAsia"/>
                <w:color w:val="auto"/>
                <w:sz w:val="24"/>
                <w:szCs w:val="24"/>
                <w:lang w:val="en-US" w:eastAsia="zh-CN"/>
              </w:rPr>
              <w:t>500m</w:t>
            </w:r>
            <w:r>
              <w:rPr>
                <w:rFonts w:hint="eastAsia"/>
                <w:color w:val="auto"/>
                <w:sz w:val="24"/>
                <w:szCs w:val="24"/>
              </w:rPr>
              <w:t>范围内的大气环境保护目标主要为</w:t>
            </w:r>
            <w:r>
              <w:rPr>
                <w:rFonts w:hint="eastAsia"/>
                <w:color w:val="auto"/>
                <w:sz w:val="24"/>
                <w:szCs w:val="24"/>
                <w:lang w:val="en-US" w:eastAsia="zh-CN"/>
              </w:rPr>
              <w:t>项目西侧的团洲乡花园小区、团洲乡中心小学以及东西两侧的团洲乡居民点。</w:t>
            </w:r>
          </w:p>
          <w:p>
            <w:pPr>
              <w:pStyle w:val="9"/>
              <w:ind w:firstLine="0" w:firstLineChars="0"/>
              <w:rPr>
                <w:rFonts w:hint="eastAsia" w:eastAsia="宋体"/>
                <w:b/>
                <w:bCs/>
                <w:color w:val="auto"/>
                <w:sz w:val="24"/>
                <w:szCs w:val="24"/>
              </w:rPr>
            </w:pPr>
            <w:r>
              <w:rPr>
                <w:rFonts w:hint="eastAsia" w:eastAsia="宋体"/>
                <w:b/>
                <w:bCs/>
                <w:color w:val="auto"/>
                <w:sz w:val="24"/>
                <w:szCs w:val="24"/>
                <w:lang w:val="en-US" w:eastAsia="zh-CN"/>
              </w:rPr>
              <w:t>2</w:t>
            </w:r>
            <w:r>
              <w:rPr>
                <w:rFonts w:hint="eastAsia" w:eastAsia="宋体"/>
                <w:b/>
                <w:bCs/>
                <w:color w:val="auto"/>
                <w:sz w:val="24"/>
                <w:szCs w:val="24"/>
              </w:rPr>
              <w:t>、地下水环境</w:t>
            </w:r>
          </w:p>
          <w:p>
            <w:pPr>
              <w:pStyle w:val="9"/>
              <w:ind w:firstLine="480"/>
              <w:jc w:val="both"/>
              <w:rPr>
                <w:color w:val="auto"/>
                <w:sz w:val="24"/>
                <w:szCs w:val="24"/>
              </w:rPr>
            </w:pPr>
            <w:r>
              <w:rPr>
                <w:rFonts w:hint="eastAsia"/>
                <w:color w:val="auto"/>
                <w:sz w:val="24"/>
                <w:szCs w:val="24"/>
              </w:rPr>
              <w:t>项目厂界外5</w:t>
            </w:r>
            <w:r>
              <w:rPr>
                <w:color w:val="auto"/>
                <w:sz w:val="24"/>
                <w:szCs w:val="24"/>
              </w:rPr>
              <w:t>00</w:t>
            </w:r>
            <w:r>
              <w:rPr>
                <w:rFonts w:hint="eastAsia"/>
                <w:color w:val="auto"/>
                <w:sz w:val="24"/>
                <w:szCs w:val="24"/>
              </w:rPr>
              <w:t>m范围内不涉及地下水集中式饮用水保护区等特殊地下水资源。</w:t>
            </w:r>
          </w:p>
          <w:p>
            <w:pPr>
              <w:pStyle w:val="9"/>
              <w:ind w:firstLine="0" w:firstLineChars="0"/>
              <w:rPr>
                <w:rFonts w:hint="eastAsia" w:eastAsia="宋体"/>
                <w:b/>
                <w:bCs/>
                <w:color w:val="auto"/>
                <w:sz w:val="24"/>
                <w:szCs w:val="24"/>
                <w:lang w:val="en-US" w:eastAsia="zh-CN"/>
              </w:rPr>
            </w:pPr>
            <w:r>
              <w:rPr>
                <w:rFonts w:hint="eastAsia" w:eastAsia="宋体"/>
                <w:b/>
                <w:bCs/>
                <w:color w:val="auto"/>
                <w:sz w:val="24"/>
                <w:szCs w:val="24"/>
                <w:lang w:val="en-US" w:eastAsia="zh-CN"/>
              </w:rPr>
              <w:t>3</w:t>
            </w:r>
            <w:r>
              <w:rPr>
                <w:rFonts w:hint="eastAsia" w:eastAsia="宋体"/>
                <w:b/>
                <w:bCs/>
                <w:color w:val="auto"/>
                <w:sz w:val="24"/>
                <w:szCs w:val="24"/>
              </w:rPr>
              <w:t>、声</w:t>
            </w:r>
            <w:r>
              <w:rPr>
                <w:rFonts w:hint="eastAsia" w:eastAsia="宋体"/>
                <w:b/>
                <w:bCs/>
                <w:color w:val="auto"/>
                <w:sz w:val="24"/>
                <w:szCs w:val="24"/>
                <w:lang w:val="en-US" w:eastAsia="zh-CN"/>
              </w:rPr>
              <w:t>环境</w:t>
            </w:r>
          </w:p>
          <w:p>
            <w:pPr>
              <w:pStyle w:val="9"/>
              <w:ind w:firstLine="480"/>
              <w:rPr>
                <w:rFonts w:hint="eastAsia"/>
                <w:color w:val="auto"/>
                <w:sz w:val="24"/>
                <w:szCs w:val="24"/>
                <w:lang w:val="en-US" w:eastAsia="zh-CN"/>
              </w:rPr>
            </w:pPr>
            <w:r>
              <w:rPr>
                <w:rFonts w:hint="eastAsia"/>
                <w:color w:val="auto"/>
                <w:sz w:val="24"/>
                <w:szCs w:val="24"/>
                <w:lang w:val="en-US" w:eastAsia="zh-CN"/>
              </w:rPr>
              <w:t>项目厂界外50m范围内声环境保护目标</w:t>
            </w:r>
            <w:r>
              <w:rPr>
                <w:rFonts w:hint="eastAsia"/>
                <w:color w:val="auto"/>
                <w:sz w:val="24"/>
                <w:szCs w:val="24"/>
              </w:rPr>
              <w:t>主要为</w:t>
            </w:r>
            <w:r>
              <w:rPr>
                <w:rFonts w:hint="eastAsia"/>
                <w:color w:val="auto"/>
                <w:sz w:val="24"/>
                <w:szCs w:val="24"/>
                <w:lang w:val="en-US" w:eastAsia="zh-CN"/>
              </w:rPr>
              <w:t>项目西侧的团洲乡花园小区以及周边紧邻的团洲乡居民点。</w:t>
            </w:r>
          </w:p>
          <w:p>
            <w:pPr>
              <w:pStyle w:val="9"/>
              <w:ind w:firstLine="0" w:firstLineChars="0"/>
              <w:rPr>
                <w:rFonts w:hint="eastAsia" w:eastAsia="宋体"/>
                <w:b/>
                <w:bCs/>
                <w:color w:val="auto"/>
                <w:sz w:val="24"/>
                <w:szCs w:val="24"/>
                <w:lang w:val="en-US" w:eastAsia="zh-CN"/>
              </w:rPr>
            </w:pPr>
            <w:r>
              <w:rPr>
                <w:rFonts w:hint="eastAsia" w:eastAsia="宋体"/>
                <w:b/>
                <w:bCs/>
                <w:color w:val="auto"/>
                <w:sz w:val="24"/>
                <w:szCs w:val="24"/>
                <w:lang w:val="en-US" w:eastAsia="zh-CN"/>
              </w:rPr>
              <w:t>4、生态环境</w:t>
            </w:r>
          </w:p>
          <w:p>
            <w:pPr>
              <w:pStyle w:val="9"/>
              <w:ind w:firstLine="480"/>
              <w:rPr>
                <w:rFonts w:hint="eastAsia"/>
                <w:color w:val="auto"/>
                <w:sz w:val="24"/>
                <w:szCs w:val="24"/>
                <w:lang w:val="en-US" w:eastAsia="zh-CN"/>
              </w:rPr>
            </w:pPr>
            <w:r>
              <w:rPr>
                <w:rFonts w:hint="eastAsia"/>
                <w:color w:val="auto"/>
                <w:sz w:val="24"/>
                <w:szCs w:val="24"/>
                <w:lang w:val="en-US" w:eastAsia="zh-CN"/>
              </w:rPr>
              <w:t>根据《建设项目环境影响报告表编制技术指南（污染影响类）（试行）》“产业园区外建设项目新增用地的，应明确新增用地范围内生态环境保护目标”。本项目位于产业园区外，生态环境保护目标主要为湖南东洞庭湖国家级自然保护区。</w:t>
            </w:r>
          </w:p>
          <w:p>
            <w:pPr>
              <w:pStyle w:val="66"/>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eastAsia="宋体" w:cs="Times New Roman"/>
                <w:color w:val="auto"/>
              </w:rPr>
            </w:pPr>
            <w:r>
              <w:rPr>
                <w:rFonts w:hint="eastAsia" w:ascii="Times New Roman" w:hAnsi="Times New Roman" w:eastAsia="宋体" w:cs="Times New Roman"/>
                <w:color w:val="auto"/>
              </w:rPr>
              <w:t>表3-</w:t>
            </w:r>
            <w:r>
              <w:rPr>
                <w:rFonts w:hint="eastAsia" w:ascii="Times New Roman" w:hAnsi="Times New Roman" w:eastAsia="宋体" w:cs="Times New Roman"/>
                <w:color w:val="auto"/>
                <w:lang w:val="en-US" w:eastAsia="zh-CN"/>
              </w:rPr>
              <w:t>5</w:t>
            </w:r>
            <w:r>
              <w:rPr>
                <w:rFonts w:hint="eastAsia" w:ascii="Times New Roman" w:hAnsi="Times New Roman" w:eastAsia="宋体" w:cs="Times New Roman"/>
                <w:color w:val="auto"/>
              </w:rPr>
              <w:t xml:space="preserve"> </w:t>
            </w:r>
            <w:r>
              <w:rPr>
                <w:rFonts w:hint="eastAsia" w:ascii="Times New Roman" w:hAnsi="Times New Roman" w:eastAsia="宋体" w:cs="Times New Roman"/>
                <w:color w:val="auto"/>
                <w:lang w:val="en-US" w:eastAsia="zh-CN"/>
              </w:rPr>
              <w:t xml:space="preserve"> </w:t>
            </w:r>
            <w:r>
              <w:rPr>
                <w:rFonts w:hint="eastAsia" w:ascii="Times New Roman" w:hAnsi="Times New Roman" w:eastAsia="宋体" w:cs="Times New Roman"/>
                <w:color w:val="auto"/>
              </w:rPr>
              <w:t>项目周边环境保护目标</w:t>
            </w:r>
          </w:p>
          <w:tbl>
            <w:tblPr>
              <w:tblStyle w:val="22"/>
              <w:tblW w:w="7944" w:type="dxa"/>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56"/>
              <w:gridCol w:w="1969"/>
              <w:gridCol w:w="1673"/>
              <w:gridCol w:w="1514"/>
              <w:gridCol w:w="20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tcBorders>
                    <w:tl2br w:val="nil"/>
                    <w:tr2bl w:val="nil"/>
                  </w:tcBorders>
                  <w:shd w:val="clear" w:color="auto" w:fill="auto"/>
                  <w:vAlign w:val="center"/>
                </w:tcPr>
                <w:p>
                  <w:pPr>
                    <w:pStyle w:val="50"/>
                    <w:spacing w:before="0" w:beforeLines="0" w:after="0" w:afterLines="0"/>
                    <w:rPr>
                      <w:color w:val="auto"/>
                      <w:sz w:val="21"/>
                      <w:szCs w:val="21"/>
                    </w:rPr>
                  </w:pPr>
                  <w:r>
                    <w:rPr>
                      <w:color w:val="auto"/>
                      <w:sz w:val="21"/>
                      <w:szCs w:val="21"/>
                    </w:rPr>
                    <w:t>类别</w:t>
                  </w:r>
                </w:p>
              </w:tc>
              <w:tc>
                <w:tcPr>
                  <w:tcW w:w="1969" w:type="dxa"/>
                  <w:tcBorders>
                    <w:tl2br w:val="nil"/>
                    <w:tr2bl w:val="nil"/>
                  </w:tcBorders>
                  <w:shd w:val="clear" w:color="auto" w:fill="auto"/>
                  <w:vAlign w:val="center"/>
                </w:tcPr>
                <w:p>
                  <w:pPr>
                    <w:pStyle w:val="50"/>
                    <w:spacing w:before="0" w:beforeLines="0" w:after="0" w:afterLines="0"/>
                    <w:rPr>
                      <w:color w:val="auto"/>
                      <w:sz w:val="21"/>
                      <w:szCs w:val="21"/>
                    </w:rPr>
                  </w:pPr>
                  <w:r>
                    <w:rPr>
                      <w:color w:val="auto"/>
                      <w:sz w:val="21"/>
                      <w:szCs w:val="21"/>
                    </w:rPr>
                    <w:t>保护目标</w:t>
                  </w:r>
                </w:p>
              </w:tc>
              <w:tc>
                <w:tcPr>
                  <w:tcW w:w="1673" w:type="dxa"/>
                  <w:tcBorders>
                    <w:tl2br w:val="nil"/>
                    <w:tr2bl w:val="nil"/>
                  </w:tcBorders>
                  <w:shd w:val="clear" w:color="auto" w:fill="auto"/>
                  <w:vAlign w:val="center"/>
                </w:tcPr>
                <w:p>
                  <w:pPr>
                    <w:pStyle w:val="50"/>
                    <w:spacing w:before="0" w:beforeLines="0" w:after="0" w:afterLines="0"/>
                    <w:rPr>
                      <w:color w:val="auto"/>
                      <w:sz w:val="21"/>
                      <w:szCs w:val="21"/>
                    </w:rPr>
                  </w:pPr>
                  <w:r>
                    <w:rPr>
                      <w:color w:val="auto"/>
                      <w:sz w:val="21"/>
                      <w:szCs w:val="21"/>
                    </w:rPr>
                    <w:t>方向</w:t>
                  </w:r>
                  <w:r>
                    <w:rPr>
                      <w:rFonts w:hint="eastAsia"/>
                      <w:color w:val="auto"/>
                      <w:sz w:val="21"/>
                      <w:szCs w:val="21"/>
                    </w:rPr>
                    <w:t>/最近</w:t>
                  </w:r>
                  <w:r>
                    <w:rPr>
                      <w:color w:val="auto"/>
                      <w:sz w:val="21"/>
                      <w:szCs w:val="21"/>
                    </w:rPr>
                    <w:t>距离</w:t>
                  </w:r>
                </w:p>
              </w:tc>
              <w:tc>
                <w:tcPr>
                  <w:tcW w:w="1514" w:type="dxa"/>
                  <w:tcBorders>
                    <w:tl2br w:val="nil"/>
                    <w:tr2bl w:val="nil"/>
                  </w:tcBorders>
                  <w:shd w:val="clear" w:color="auto" w:fill="auto"/>
                  <w:vAlign w:val="center"/>
                </w:tcPr>
                <w:p>
                  <w:pPr>
                    <w:pStyle w:val="50"/>
                    <w:spacing w:before="0" w:beforeLines="0" w:after="0" w:afterLines="0"/>
                    <w:rPr>
                      <w:color w:val="auto"/>
                      <w:sz w:val="21"/>
                      <w:szCs w:val="21"/>
                    </w:rPr>
                  </w:pPr>
                  <w:r>
                    <w:rPr>
                      <w:color w:val="auto"/>
                      <w:sz w:val="21"/>
                      <w:szCs w:val="21"/>
                    </w:rPr>
                    <w:t>功能、规模</w:t>
                  </w:r>
                </w:p>
              </w:tc>
              <w:tc>
                <w:tcPr>
                  <w:tcW w:w="2032" w:type="dxa"/>
                  <w:tcBorders>
                    <w:tl2br w:val="nil"/>
                    <w:tr2bl w:val="nil"/>
                  </w:tcBorders>
                  <w:shd w:val="clear" w:color="auto" w:fill="auto"/>
                  <w:vAlign w:val="center"/>
                </w:tcPr>
                <w:p>
                  <w:pPr>
                    <w:pStyle w:val="50"/>
                    <w:spacing w:before="0" w:beforeLines="0" w:after="0" w:afterLines="0"/>
                    <w:rPr>
                      <w:color w:val="auto"/>
                      <w:sz w:val="21"/>
                      <w:szCs w:val="21"/>
                    </w:rPr>
                  </w:pPr>
                  <w:r>
                    <w:rPr>
                      <w:color w:val="auto"/>
                      <w:sz w:val="21"/>
                      <w:szCs w:val="21"/>
                    </w:rPr>
                    <w:t>保护级别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restart"/>
                  <w:tcBorders>
                    <w:tl2br w:val="nil"/>
                    <w:tr2bl w:val="nil"/>
                  </w:tcBorders>
                  <w:vAlign w:val="center"/>
                </w:tcPr>
                <w:p>
                  <w:pPr>
                    <w:pStyle w:val="50"/>
                    <w:spacing w:before="0" w:beforeLines="0" w:after="0" w:afterLines="0"/>
                    <w:rPr>
                      <w:b w:val="0"/>
                      <w:bCs/>
                      <w:color w:val="auto"/>
                      <w:sz w:val="21"/>
                      <w:szCs w:val="21"/>
                    </w:rPr>
                  </w:pPr>
                  <w:r>
                    <w:rPr>
                      <w:b w:val="0"/>
                      <w:bCs/>
                      <w:color w:val="auto"/>
                      <w:sz w:val="21"/>
                      <w:szCs w:val="21"/>
                    </w:rPr>
                    <w:t>大气</w:t>
                  </w:r>
                </w:p>
                <w:p>
                  <w:pPr>
                    <w:pStyle w:val="50"/>
                    <w:spacing w:before="0" w:beforeLines="0" w:after="0" w:afterLines="0"/>
                    <w:rPr>
                      <w:b w:val="0"/>
                      <w:bCs/>
                      <w:color w:val="auto"/>
                      <w:sz w:val="21"/>
                      <w:szCs w:val="21"/>
                    </w:rPr>
                  </w:pPr>
                  <w:r>
                    <w:rPr>
                      <w:b w:val="0"/>
                      <w:bCs/>
                      <w:color w:val="auto"/>
                      <w:sz w:val="21"/>
                      <w:szCs w:val="21"/>
                    </w:rPr>
                    <w:t>环境</w:t>
                  </w:r>
                </w:p>
              </w:tc>
              <w:tc>
                <w:tcPr>
                  <w:tcW w:w="1969" w:type="dxa"/>
                  <w:tcBorders>
                    <w:tl2br w:val="nil"/>
                    <w:tr2bl w:val="nil"/>
                  </w:tcBorders>
                  <w:shd w:val="clear" w:color="auto" w:fill="auto"/>
                  <w:vAlign w:val="center"/>
                </w:tcPr>
                <w:p>
                  <w:pPr>
                    <w:pStyle w:val="50"/>
                    <w:spacing w:before="0" w:beforeLines="0" w:after="0" w:afterLines="0"/>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eastAsia="宋体" w:cs="Times New Roman"/>
                      <w:b w:val="0"/>
                      <w:bCs/>
                      <w:color w:val="auto"/>
                      <w:sz w:val="21"/>
                      <w:szCs w:val="21"/>
                      <w:lang w:val="en-US" w:eastAsia="zh-CN"/>
                    </w:rPr>
                    <w:t>团洲花园小区</w:t>
                  </w:r>
                </w:p>
              </w:tc>
              <w:tc>
                <w:tcPr>
                  <w:tcW w:w="1673" w:type="dxa"/>
                  <w:tcBorders>
                    <w:tl2br w:val="nil"/>
                    <w:tr2bl w:val="nil"/>
                  </w:tcBorders>
                  <w:shd w:val="clear" w:color="auto" w:fill="auto"/>
                  <w:vAlign w:val="center"/>
                </w:tcPr>
                <w:p>
                  <w:pPr>
                    <w:pStyle w:val="50"/>
                    <w:spacing w:before="0" w:beforeLines="0" w:after="0" w:afterLines="0"/>
                    <w:jc w:val="center"/>
                    <w:rPr>
                      <w:rFonts w:hint="default" w:ascii="Times New Roman" w:hAnsi="Times New Roman" w:eastAsia="宋体" w:cs="Times New Roman"/>
                      <w:b w:val="0"/>
                      <w:bCs/>
                      <w:color w:val="auto"/>
                      <w:kern w:val="2"/>
                      <w:sz w:val="21"/>
                      <w:szCs w:val="21"/>
                      <w:lang w:val="en-US" w:eastAsia="zh-CN" w:bidi="ar-SA"/>
                    </w:rPr>
                  </w:pPr>
                  <w:r>
                    <w:rPr>
                      <w:rFonts w:hint="eastAsia"/>
                      <w:b w:val="0"/>
                      <w:bCs/>
                      <w:color w:val="auto"/>
                      <w:sz w:val="21"/>
                      <w:szCs w:val="21"/>
                      <w:lang w:val="en-US" w:eastAsia="zh-CN"/>
                    </w:rPr>
                    <w:t>W，紧邻</w:t>
                  </w:r>
                </w:p>
              </w:tc>
              <w:tc>
                <w:tcPr>
                  <w:tcW w:w="1514" w:type="dxa"/>
                  <w:tcBorders>
                    <w:tl2br w:val="nil"/>
                    <w:tr2bl w:val="nil"/>
                  </w:tcBorders>
                  <w:shd w:val="clear" w:color="auto" w:fill="auto"/>
                  <w:vAlign w:val="center"/>
                </w:tcPr>
                <w:p>
                  <w:pPr>
                    <w:pStyle w:val="50"/>
                    <w:spacing w:before="0" w:beforeLines="0" w:after="0" w:afterLines="0"/>
                    <w:rPr>
                      <w:rFonts w:hint="default" w:ascii="Times New Roman" w:hAnsi="Times New Roman" w:eastAsia="宋体" w:cs="Times New Roman"/>
                      <w:b w:val="0"/>
                      <w:bCs/>
                      <w:color w:val="auto"/>
                      <w:kern w:val="2"/>
                      <w:sz w:val="21"/>
                      <w:szCs w:val="21"/>
                      <w:lang w:val="en-US" w:eastAsia="zh-CN" w:bidi="ar-SA"/>
                    </w:rPr>
                  </w:pPr>
                  <w:r>
                    <w:rPr>
                      <w:rFonts w:hint="eastAsia"/>
                      <w:b w:val="0"/>
                      <w:bCs/>
                      <w:color w:val="auto"/>
                      <w:sz w:val="21"/>
                      <w:szCs w:val="21"/>
                      <w:lang w:val="en-US" w:eastAsia="zh-CN"/>
                    </w:rPr>
                    <w:t>居民区，居民约200户</w:t>
                  </w:r>
                  <w:r>
                    <w:rPr>
                      <w:rFonts w:hint="eastAsia"/>
                      <w:b w:val="0"/>
                      <w:bCs/>
                      <w:color w:val="auto"/>
                      <w:sz w:val="21"/>
                      <w:szCs w:val="21"/>
                    </w:rPr>
                    <w:t>。</w:t>
                  </w:r>
                </w:p>
              </w:tc>
              <w:tc>
                <w:tcPr>
                  <w:tcW w:w="2032" w:type="dxa"/>
                  <w:vMerge w:val="restart"/>
                  <w:tcBorders>
                    <w:tl2br w:val="nil"/>
                    <w:tr2bl w:val="nil"/>
                  </w:tcBorders>
                  <w:vAlign w:val="center"/>
                </w:tcPr>
                <w:p>
                  <w:pPr>
                    <w:pStyle w:val="50"/>
                    <w:spacing w:before="0" w:beforeLines="0" w:after="0" w:afterLines="0"/>
                    <w:rPr>
                      <w:b w:val="0"/>
                      <w:bCs/>
                      <w:color w:val="auto"/>
                      <w:sz w:val="21"/>
                      <w:szCs w:val="21"/>
                    </w:rPr>
                  </w:pPr>
                  <w:r>
                    <w:rPr>
                      <w:b w:val="0"/>
                      <w:bCs/>
                      <w:color w:val="auto"/>
                      <w:sz w:val="21"/>
                      <w:szCs w:val="21"/>
                    </w:rPr>
                    <w:t>GB3095-2012</w:t>
                  </w:r>
                </w:p>
                <w:p>
                  <w:pPr>
                    <w:pStyle w:val="50"/>
                    <w:spacing w:before="0" w:beforeLines="0" w:after="0" w:afterLines="0"/>
                    <w:rPr>
                      <w:b w:val="0"/>
                      <w:bCs/>
                      <w:color w:val="auto"/>
                      <w:sz w:val="21"/>
                      <w:szCs w:val="21"/>
                    </w:rPr>
                  </w:pPr>
                  <w:r>
                    <w:rPr>
                      <w:b w:val="0"/>
                      <w:bCs/>
                      <w:color w:val="auto"/>
                      <w:sz w:val="21"/>
                      <w:szCs w:val="21"/>
                    </w:rPr>
                    <w:t>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continue"/>
                  <w:tcBorders>
                    <w:tl2br w:val="nil"/>
                    <w:tr2bl w:val="nil"/>
                  </w:tcBorders>
                  <w:vAlign w:val="center"/>
                </w:tcPr>
                <w:p>
                  <w:pPr>
                    <w:pStyle w:val="50"/>
                    <w:spacing w:before="0" w:beforeLines="0" w:after="0" w:afterLines="0"/>
                    <w:rPr>
                      <w:b w:val="0"/>
                      <w:bCs/>
                      <w:color w:val="auto"/>
                      <w:sz w:val="21"/>
                      <w:szCs w:val="21"/>
                    </w:rPr>
                  </w:pPr>
                </w:p>
              </w:tc>
              <w:tc>
                <w:tcPr>
                  <w:tcW w:w="1969" w:type="dxa"/>
                  <w:tcBorders>
                    <w:tl2br w:val="nil"/>
                    <w:tr2bl w:val="nil"/>
                  </w:tcBorders>
                  <w:shd w:val="clear" w:color="auto" w:fill="auto"/>
                  <w:vAlign w:val="center"/>
                </w:tcPr>
                <w:p>
                  <w:pPr>
                    <w:pStyle w:val="50"/>
                    <w:spacing w:before="0" w:beforeLines="0" w:after="0" w:afterLines="0"/>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eastAsia="宋体" w:cs="Times New Roman"/>
                      <w:b w:val="0"/>
                      <w:bCs/>
                      <w:color w:val="auto"/>
                      <w:sz w:val="21"/>
                      <w:szCs w:val="21"/>
                      <w:lang w:val="en-US" w:eastAsia="zh-CN"/>
                    </w:rPr>
                    <w:t>团洲乡中心小学</w:t>
                  </w:r>
                </w:p>
              </w:tc>
              <w:tc>
                <w:tcPr>
                  <w:tcW w:w="1673" w:type="dxa"/>
                  <w:tcBorders>
                    <w:tl2br w:val="nil"/>
                    <w:tr2bl w:val="nil"/>
                  </w:tcBorders>
                  <w:shd w:val="clear" w:color="auto" w:fill="auto"/>
                  <w:vAlign w:val="center"/>
                </w:tcPr>
                <w:p>
                  <w:pPr>
                    <w:pStyle w:val="50"/>
                    <w:spacing w:before="0" w:beforeLines="0" w:after="0" w:afterLines="0"/>
                    <w:jc w:val="center"/>
                    <w:rPr>
                      <w:rFonts w:hint="default" w:ascii="Times New Roman" w:hAnsi="Times New Roman" w:eastAsia="宋体" w:cs="Times New Roman"/>
                      <w:b w:val="0"/>
                      <w:bCs/>
                      <w:color w:val="auto"/>
                      <w:kern w:val="2"/>
                      <w:sz w:val="21"/>
                      <w:szCs w:val="21"/>
                      <w:lang w:val="en-US" w:eastAsia="zh-CN" w:bidi="ar-SA"/>
                    </w:rPr>
                  </w:pPr>
                  <w:r>
                    <w:rPr>
                      <w:rFonts w:hint="eastAsia"/>
                      <w:b w:val="0"/>
                      <w:bCs/>
                      <w:color w:val="auto"/>
                      <w:sz w:val="21"/>
                      <w:szCs w:val="21"/>
                      <w:lang w:val="en-US" w:eastAsia="zh-CN"/>
                    </w:rPr>
                    <w:t>W，330m</w:t>
                  </w:r>
                </w:p>
              </w:tc>
              <w:tc>
                <w:tcPr>
                  <w:tcW w:w="1514" w:type="dxa"/>
                  <w:tcBorders>
                    <w:tl2br w:val="nil"/>
                    <w:tr2bl w:val="nil"/>
                  </w:tcBorders>
                  <w:shd w:val="clear" w:color="auto" w:fill="auto"/>
                  <w:vAlign w:val="center"/>
                </w:tcPr>
                <w:p>
                  <w:pPr>
                    <w:pStyle w:val="50"/>
                    <w:spacing w:before="0" w:beforeLines="0" w:after="0" w:afterLines="0"/>
                    <w:rPr>
                      <w:rFonts w:hint="default" w:ascii="Times New Roman" w:hAnsi="Times New Roman" w:eastAsia="宋体" w:cs="Times New Roman"/>
                      <w:b w:val="0"/>
                      <w:bCs/>
                      <w:color w:val="auto"/>
                      <w:kern w:val="2"/>
                      <w:sz w:val="21"/>
                      <w:szCs w:val="21"/>
                      <w:lang w:val="en-US" w:eastAsia="zh-CN" w:bidi="ar-SA"/>
                    </w:rPr>
                  </w:pPr>
                  <w:r>
                    <w:rPr>
                      <w:rFonts w:hint="eastAsia"/>
                      <w:b w:val="0"/>
                      <w:bCs/>
                      <w:color w:val="auto"/>
                      <w:sz w:val="21"/>
                      <w:szCs w:val="21"/>
                      <w:lang w:val="en-US" w:eastAsia="zh-CN"/>
                    </w:rPr>
                    <w:t>学校，师生约500人</w:t>
                  </w:r>
                </w:p>
              </w:tc>
              <w:tc>
                <w:tcPr>
                  <w:tcW w:w="2032" w:type="dxa"/>
                  <w:vMerge w:val="continue"/>
                  <w:tcBorders>
                    <w:tl2br w:val="nil"/>
                    <w:tr2bl w:val="nil"/>
                  </w:tcBorders>
                  <w:vAlign w:val="center"/>
                </w:tcPr>
                <w:p>
                  <w:pPr>
                    <w:pStyle w:val="50"/>
                    <w:spacing w:before="0" w:beforeLines="0" w:after="0" w:afterLines="0"/>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continue"/>
                  <w:tcBorders>
                    <w:tl2br w:val="nil"/>
                    <w:tr2bl w:val="nil"/>
                  </w:tcBorders>
                  <w:vAlign w:val="center"/>
                </w:tcPr>
                <w:p>
                  <w:pPr>
                    <w:pStyle w:val="50"/>
                    <w:spacing w:before="0" w:beforeLines="0" w:after="0" w:afterLines="0"/>
                    <w:rPr>
                      <w:b w:val="0"/>
                      <w:bCs/>
                      <w:color w:val="auto"/>
                      <w:sz w:val="21"/>
                      <w:szCs w:val="21"/>
                    </w:rPr>
                  </w:pPr>
                </w:p>
              </w:tc>
              <w:tc>
                <w:tcPr>
                  <w:tcW w:w="1969" w:type="dxa"/>
                  <w:tcBorders>
                    <w:tl2br w:val="nil"/>
                    <w:tr2bl w:val="nil"/>
                  </w:tcBorders>
                  <w:vAlign w:val="center"/>
                </w:tcPr>
                <w:p>
                  <w:pPr>
                    <w:pStyle w:val="50"/>
                    <w:spacing w:before="0" w:beforeLines="0" w:after="0" w:afterLines="0"/>
                    <w:rPr>
                      <w:rFonts w:hint="default" w:ascii="Times New Roman" w:hAnsi="Times New Roman" w:eastAsia="宋体" w:cs="Times New Roman"/>
                      <w:b w:val="0"/>
                      <w:bCs/>
                      <w:color w:val="auto"/>
                      <w:sz w:val="21"/>
                      <w:szCs w:val="21"/>
                      <w:lang w:val="en-US" w:eastAsia="zh-CN"/>
                    </w:rPr>
                  </w:pPr>
                  <w:r>
                    <w:rPr>
                      <w:rFonts w:hint="eastAsia" w:ascii="Times New Roman" w:hAnsi="Times New Roman" w:eastAsia="宋体" w:cs="Times New Roman"/>
                      <w:b w:val="0"/>
                      <w:bCs/>
                      <w:color w:val="auto"/>
                      <w:sz w:val="21"/>
                      <w:szCs w:val="21"/>
                      <w:lang w:val="en-US" w:eastAsia="zh-CN"/>
                    </w:rPr>
                    <w:t>团洲乡居民点</w:t>
                  </w:r>
                </w:p>
              </w:tc>
              <w:tc>
                <w:tcPr>
                  <w:tcW w:w="1673" w:type="dxa"/>
                  <w:tcBorders>
                    <w:tl2br w:val="nil"/>
                    <w:tr2bl w:val="nil"/>
                  </w:tcBorders>
                  <w:vAlign w:val="center"/>
                </w:tcPr>
                <w:p>
                  <w:pPr>
                    <w:pStyle w:val="50"/>
                    <w:spacing w:before="0" w:beforeLines="0" w:after="0" w:afterLines="0"/>
                    <w:rPr>
                      <w:rFonts w:hint="default"/>
                      <w:b w:val="0"/>
                      <w:bCs/>
                      <w:color w:val="auto"/>
                      <w:sz w:val="21"/>
                      <w:szCs w:val="21"/>
                      <w:lang w:val="en-US"/>
                    </w:rPr>
                  </w:pPr>
                  <w:r>
                    <w:rPr>
                      <w:rFonts w:hint="eastAsia"/>
                      <w:b w:val="0"/>
                      <w:bCs/>
                      <w:color w:val="auto"/>
                      <w:sz w:val="21"/>
                      <w:szCs w:val="21"/>
                    </w:rPr>
                    <w:t>W</w:t>
                  </w:r>
                  <w:r>
                    <w:rPr>
                      <w:rFonts w:hint="eastAsia"/>
                      <w:b w:val="0"/>
                      <w:bCs/>
                      <w:color w:val="auto"/>
                      <w:sz w:val="21"/>
                      <w:szCs w:val="21"/>
                      <w:lang w:val="en-US" w:eastAsia="zh-CN"/>
                    </w:rPr>
                    <w:t>及SW，紧邻</w:t>
                  </w:r>
                </w:p>
              </w:tc>
              <w:tc>
                <w:tcPr>
                  <w:tcW w:w="1514" w:type="dxa"/>
                  <w:tcBorders>
                    <w:tl2br w:val="nil"/>
                    <w:tr2bl w:val="nil"/>
                  </w:tcBorders>
                  <w:vAlign w:val="center"/>
                </w:tcPr>
                <w:p>
                  <w:pPr>
                    <w:pStyle w:val="50"/>
                    <w:spacing w:before="0" w:beforeLines="0" w:after="0" w:afterLines="0"/>
                    <w:rPr>
                      <w:b w:val="0"/>
                      <w:bCs/>
                      <w:color w:val="auto"/>
                      <w:sz w:val="21"/>
                      <w:szCs w:val="21"/>
                    </w:rPr>
                  </w:pPr>
                  <w:r>
                    <w:rPr>
                      <w:rFonts w:hint="eastAsia"/>
                      <w:b w:val="0"/>
                      <w:bCs/>
                      <w:color w:val="auto"/>
                      <w:sz w:val="21"/>
                      <w:szCs w:val="21"/>
                      <w:lang w:val="en-US" w:eastAsia="zh-CN"/>
                    </w:rPr>
                    <w:t>散户居民</w:t>
                  </w:r>
                  <w:r>
                    <w:rPr>
                      <w:rFonts w:hint="eastAsia"/>
                      <w:b w:val="0"/>
                      <w:bCs/>
                      <w:color w:val="auto"/>
                      <w:sz w:val="21"/>
                      <w:szCs w:val="21"/>
                    </w:rPr>
                    <w:t>，</w:t>
                  </w:r>
                </w:p>
                <w:p>
                  <w:pPr>
                    <w:pStyle w:val="50"/>
                    <w:spacing w:before="0" w:beforeLines="0" w:after="0" w:afterLines="0"/>
                    <w:rPr>
                      <w:b w:val="0"/>
                      <w:bCs/>
                      <w:color w:val="auto"/>
                      <w:sz w:val="21"/>
                      <w:szCs w:val="21"/>
                    </w:rPr>
                  </w:pPr>
                  <w:r>
                    <w:rPr>
                      <w:rFonts w:hint="eastAsia"/>
                      <w:b w:val="0"/>
                      <w:bCs/>
                      <w:color w:val="auto"/>
                      <w:sz w:val="21"/>
                      <w:szCs w:val="21"/>
                    </w:rPr>
                    <w:t>约</w:t>
                  </w:r>
                  <w:r>
                    <w:rPr>
                      <w:rFonts w:hint="eastAsia"/>
                      <w:b w:val="0"/>
                      <w:bCs/>
                      <w:color w:val="auto"/>
                      <w:sz w:val="21"/>
                      <w:szCs w:val="21"/>
                      <w:lang w:val="en-US" w:eastAsia="zh-CN"/>
                    </w:rPr>
                    <w:t>75</w:t>
                  </w:r>
                  <w:r>
                    <w:rPr>
                      <w:rFonts w:hint="eastAsia"/>
                      <w:b w:val="0"/>
                      <w:bCs/>
                      <w:color w:val="auto"/>
                      <w:sz w:val="21"/>
                      <w:szCs w:val="21"/>
                    </w:rPr>
                    <w:t>户。</w:t>
                  </w:r>
                </w:p>
              </w:tc>
              <w:tc>
                <w:tcPr>
                  <w:tcW w:w="2032" w:type="dxa"/>
                  <w:vMerge w:val="continue"/>
                  <w:tcBorders>
                    <w:tl2br w:val="nil"/>
                    <w:tr2bl w:val="nil"/>
                  </w:tcBorders>
                  <w:vAlign w:val="center"/>
                </w:tcPr>
                <w:p>
                  <w:pPr>
                    <w:pStyle w:val="50"/>
                    <w:spacing w:before="0" w:beforeLines="0" w:after="0" w:afterLines="0"/>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restart"/>
                  <w:tcBorders>
                    <w:tl2br w:val="nil"/>
                    <w:tr2bl w:val="nil"/>
                  </w:tcBorders>
                  <w:vAlign w:val="center"/>
                </w:tcPr>
                <w:p>
                  <w:pPr>
                    <w:pStyle w:val="50"/>
                    <w:spacing w:before="0" w:beforeLines="0" w:after="0" w:afterLines="0"/>
                    <w:rPr>
                      <w:rFonts w:hint="default" w:eastAsia="宋体"/>
                      <w:b w:val="0"/>
                      <w:bCs/>
                      <w:color w:val="auto"/>
                      <w:sz w:val="21"/>
                      <w:szCs w:val="21"/>
                      <w:lang w:val="en-US" w:eastAsia="zh-CN"/>
                    </w:rPr>
                  </w:pPr>
                  <w:r>
                    <w:rPr>
                      <w:rFonts w:hint="eastAsia"/>
                      <w:b w:val="0"/>
                      <w:bCs/>
                      <w:color w:val="auto"/>
                      <w:sz w:val="21"/>
                      <w:szCs w:val="21"/>
                      <w:lang w:val="en-US" w:eastAsia="zh-CN"/>
                    </w:rPr>
                    <w:t>声环境</w:t>
                  </w:r>
                </w:p>
              </w:tc>
              <w:tc>
                <w:tcPr>
                  <w:tcW w:w="1969" w:type="dxa"/>
                  <w:tcBorders>
                    <w:tl2br w:val="nil"/>
                    <w:tr2bl w:val="nil"/>
                  </w:tcBorders>
                  <w:vAlign w:val="center"/>
                </w:tcPr>
                <w:p>
                  <w:pPr>
                    <w:pStyle w:val="50"/>
                    <w:spacing w:before="0" w:beforeLines="0" w:after="0" w:afterLines="0"/>
                    <w:rPr>
                      <w:rFonts w:hint="eastAsia"/>
                      <w:b w:val="0"/>
                      <w:bCs/>
                      <w:color w:val="auto"/>
                      <w:sz w:val="21"/>
                      <w:szCs w:val="21"/>
                      <w:lang w:val="en-US" w:eastAsia="zh-CN"/>
                    </w:rPr>
                  </w:pPr>
                  <w:r>
                    <w:rPr>
                      <w:rFonts w:hint="eastAsia" w:ascii="Times New Roman" w:hAnsi="Times New Roman" w:eastAsia="宋体" w:cs="Times New Roman"/>
                      <w:b w:val="0"/>
                      <w:bCs/>
                      <w:color w:val="auto"/>
                      <w:sz w:val="21"/>
                      <w:szCs w:val="21"/>
                      <w:lang w:val="en-US" w:eastAsia="zh-CN"/>
                    </w:rPr>
                    <w:t>团洲花园小区</w:t>
                  </w:r>
                </w:p>
              </w:tc>
              <w:tc>
                <w:tcPr>
                  <w:tcW w:w="1673" w:type="dxa"/>
                  <w:tcBorders>
                    <w:tl2br w:val="nil"/>
                    <w:tr2bl w:val="nil"/>
                  </w:tcBorders>
                  <w:vAlign w:val="center"/>
                </w:tcPr>
                <w:p>
                  <w:pPr>
                    <w:pStyle w:val="50"/>
                    <w:spacing w:before="0" w:beforeLines="0" w:after="0" w:afterLines="0"/>
                    <w:jc w:val="center"/>
                    <w:rPr>
                      <w:rFonts w:hint="eastAsia"/>
                      <w:b w:val="0"/>
                      <w:bCs/>
                      <w:color w:val="auto"/>
                      <w:sz w:val="21"/>
                      <w:szCs w:val="21"/>
                      <w:lang w:val="en-US" w:eastAsia="zh-CN"/>
                    </w:rPr>
                  </w:pPr>
                  <w:r>
                    <w:rPr>
                      <w:rFonts w:hint="eastAsia"/>
                      <w:b w:val="0"/>
                      <w:bCs/>
                      <w:color w:val="auto"/>
                      <w:sz w:val="21"/>
                      <w:szCs w:val="21"/>
                      <w:lang w:val="en-US" w:eastAsia="zh-CN"/>
                    </w:rPr>
                    <w:t>W，紧邻</w:t>
                  </w:r>
                </w:p>
              </w:tc>
              <w:tc>
                <w:tcPr>
                  <w:tcW w:w="1514" w:type="dxa"/>
                  <w:tcBorders>
                    <w:tl2br w:val="nil"/>
                    <w:tr2bl w:val="nil"/>
                  </w:tcBorders>
                  <w:vAlign w:val="center"/>
                </w:tcPr>
                <w:p>
                  <w:pPr>
                    <w:pStyle w:val="50"/>
                    <w:spacing w:before="0" w:beforeLines="0" w:after="0" w:afterLines="0"/>
                    <w:rPr>
                      <w:rFonts w:hint="eastAsia"/>
                      <w:b w:val="0"/>
                      <w:bCs/>
                      <w:color w:val="auto"/>
                      <w:sz w:val="21"/>
                      <w:szCs w:val="21"/>
                      <w:lang w:val="en-US" w:eastAsia="zh-CN"/>
                    </w:rPr>
                  </w:pPr>
                  <w:r>
                    <w:rPr>
                      <w:rFonts w:hint="eastAsia"/>
                      <w:b w:val="0"/>
                      <w:bCs/>
                      <w:color w:val="auto"/>
                      <w:sz w:val="21"/>
                      <w:szCs w:val="21"/>
                      <w:lang w:val="en-US" w:eastAsia="zh-CN"/>
                    </w:rPr>
                    <w:t>居民区，居民约200户</w:t>
                  </w:r>
                  <w:r>
                    <w:rPr>
                      <w:rFonts w:hint="eastAsia"/>
                      <w:b w:val="0"/>
                      <w:bCs/>
                      <w:color w:val="auto"/>
                      <w:sz w:val="21"/>
                      <w:szCs w:val="21"/>
                    </w:rPr>
                    <w:t>。</w:t>
                  </w:r>
                </w:p>
              </w:tc>
              <w:tc>
                <w:tcPr>
                  <w:tcW w:w="2032" w:type="dxa"/>
                  <w:vMerge w:val="restart"/>
                  <w:tcBorders>
                    <w:tl2br w:val="nil"/>
                    <w:tr2bl w:val="nil"/>
                  </w:tcBorders>
                  <w:vAlign w:val="center"/>
                </w:tcPr>
                <w:p>
                  <w:pPr>
                    <w:pStyle w:val="50"/>
                    <w:spacing w:before="0" w:beforeLines="0" w:after="0" w:afterLines="0"/>
                    <w:rPr>
                      <w:b w:val="0"/>
                      <w:bCs/>
                      <w:color w:val="auto"/>
                      <w:sz w:val="21"/>
                      <w:szCs w:val="21"/>
                    </w:rPr>
                  </w:pPr>
                  <w:r>
                    <w:rPr>
                      <w:rFonts w:hint="default"/>
                      <w:b w:val="0"/>
                      <w:bCs/>
                      <w:color w:val="auto"/>
                      <w:sz w:val="21"/>
                      <w:szCs w:val="21"/>
                    </w:rPr>
                    <w:t>（GB3096-2008）</w:t>
                  </w:r>
                  <w:r>
                    <w:rPr>
                      <w:rFonts w:hint="eastAsia"/>
                      <w:b w:val="0"/>
                      <w:bCs/>
                      <w:color w:val="auto"/>
                      <w:sz w:val="21"/>
                      <w:szCs w:val="21"/>
                      <w:lang w:val="en-US" w:eastAsia="zh-CN"/>
                    </w:rPr>
                    <w:t>2</w:t>
                  </w:r>
                  <w:r>
                    <w:rPr>
                      <w:rFonts w:hint="default"/>
                      <w:b w:val="0"/>
                      <w:bCs/>
                      <w:color w:val="auto"/>
                      <w:sz w:val="21"/>
                      <w:szCs w:val="21"/>
                    </w:rPr>
                    <w:t>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continue"/>
                  <w:tcBorders>
                    <w:tl2br w:val="nil"/>
                    <w:tr2bl w:val="nil"/>
                  </w:tcBorders>
                  <w:vAlign w:val="center"/>
                </w:tcPr>
                <w:p>
                  <w:pPr>
                    <w:pStyle w:val="50"/>
                    <w:spacing w:before="0" w:beforeLines="0" w:after="0" w:afterLines="0"/>
                    <w:rPr>
                      <w:rFonts w:hint="eastAsia"/>
                      <w:b w:val="0"/>
                      <w:bCs/>
                      <w:color w:val="auto"/>
                      <w:sz w:val="21"/>
                      <w:szCs w:val="21"/>
                      <w:lang w:val="en-US" w:eastAsia="zh-CN"/>
                    </w:rPr>
                  </w:pPr>
                </w:p>
              </w:tc>
              <w:tc>
                <w:tcPr>
                  <w:tcW w:w="1969" w:type="dxa"/>
                  <w:tcBorders>
                    <w:tl2br w:val="nil"/>
                    <w:tr2bl w:val="nil"/>
                  </w:tcBorders>
                  <w:vAlign w:val="center"/>
                </w:tcPr>
                <w:p>
                  <w:pPr>
                    <w:pStyle w:val="50"/>
                    <w:spacing w:before="0" w:beforeLines="0" w:after="0" w:afterLines="0"/>
                    <w:rPr>
                      <w:rFonts w:hint="eastAsia"/>
                      <w:b w:val="0"/>
                      <w:bCs/>
                      <w:color w:val="auto"/>
                      <w:sz w:val="21"/>
                      <w:szCs w:val="21"/>
                      <w:lang w:val="en-US" w:eastAsia="zh-CN"/>
                    </w:rPr>
                  </w:pPr>
                  <w:r>
                    <w:rPr>
                      <w:rFonts w:hint="eastAsia" w:ascii="Times New Roman" w:hAnsi="Times New Roman" w:eastAsia="宋体" w:cs="Times New Roman"/>
                      <w:b w:val="0"/>
                      <w:bCs/>
                      <w:color w:val="auto"/>
                      <w:sz w:val="21"/>
                      <w:szCs w:val="21"/>
                      <w:lang w:val="en-US" w:eastAsia="zh-CN"/>
                    </w:rPr>
                    <w:t>团洲乡居民点</w:t>
                  </w:r>
                </w:p>
              </w:tc>
              <w:tc>
                <w:tcPr>
                  <w:tcW w:w="1673" w:type="dxa"/>
                  <w:tcBorders>
                    <w:tl2br w:val="nil"/>
                    <w:tr2bl w:val="nil"/>
                  </w:tcBorders>
                  <w:vAlign w:val="center"/>
                </w:tcPr>
                <w:p>
                  <w:pPr>
                    <w:pStyle w:val="50"/>
                    <w:spacing w:before="0" w:beforeLines="0" w:after="0" w:afterLines="0"/>
                    <w:rPr>
                      <w:rFonts w:hint="eastAsia"/>
                      <w:b w:val="0"/>
                      <w:bCs/>
                      <w:color w:val="auto"/>
                      <w:sz w:val="21"/>
                      <w:szCs w:val="21"/>
                      <w:lang w:val="en-US" w:eastAsia="zh-CN"/>
                    </w:rPr>
                  </w:pPr>
                  <w:r>
                    <w:rPr>
                      <w:rFonts w:hint="eastAsia"/>
                      <w:b w:val="0"/>
                      <w:bCs/>
                      <w:color w:val="auto"/>
                      <w:sz w:val="21"/>
                      <w:szCs w:val="21"/>
                    </w:rPr>
                    <w:t>W</w:t>
                  </w:r>
                  <w:r>
                    <w:rPr>
                      <w:rFonts w:hint="eastAsia"/>
                      <w:b w:val="0"/>
                      <w:bCs/>
                      <w:color w:val="auto"/>
                      <w:sz w:val="21"/>
                      <w:szCs w:val="21"/>
                      <w:lang w:val="en-US" w:eastAsia="zh-CN"/>
                    </w:rPr>
                    <w:t>及SW，紧邻</w:t>
                  </w:r>
                </w:p>
              </w:tc>
              <w:tc>
                <w:tcPr>
                  <w:tcW w:w="1514" w:type="dxa"/>
                  <w:tcBorders>
                    <w:tl2br w:val="nil"/>
                    <w:tr2bl w:val="nil"/>
                  </w:tcBorders>
                  <w:vAlign w:val="center"/>
                </w:tcPr>
                <w:p>
                  <w:pPr>
                    <w:pStyle w:val="50"/>
                    <w:spacing w:before="0" w:beforeLines="0" w:after="0" w:afterLines="0"/>
                    <w:rPr>
                      <w:b w:val="0"/>
                      <w:bCs/>
                      <w:color w:val="auto"/>
                      <w:sz w:val="21"/>
                      <w:szCs w:val="21"/>
                    </w:rPr>
                  </w:pPr>
                  <w:r>
                    <w:rPr>
                      <w:rFonts w:hint="eastAsia"/>
                      <w:b w:val="0"/>
                      <w:bCs/>
                      <w:color w:val="auto"/>
                      <w:sz w:val="21"/>
                      <w:szCs w:val="21"/>
                      <w:lang w:val="en-US" w:eastAsia="zh-CN"/>
                    </w:rPr>
                    <w:t>散户居民</w:t>
                  </w:r>
                  <w:r>
                    <w:rPr>
                      <w:rFonts w:hint="eastAsia"/>
                      <w:b w:val="0"/>
                      <w:bCs/>
                      <w:color w:val="auto"/>
                      <w:sz w:val="21"/>
                      <w:szCs w:val="21"/>
                    </w:rPr>
                    <w:t>，</w:t>
                  </w:r>
                </w:p>
                <w:p>
                  <w:pPr>
                    <w:pStyle w:val="50"/>
                    <w:spacing w:before="0" w:beforeLines="0" w:after="0" w:afterLines="0"/>
                    <w:rPr>
                      <w:rFonts w:hint="eastAsia"/>
                      <w:b w:val="0"/>
                      <w:bCs/>
                      <w:color w:val="auto"/>
                      <w:sz w:val="21"/>
                      <w:szCs w:val="21"/>
                      <w:lang w:val="en-US" w:eastAsia="zh-CN"/>
                    </w:rPr>
                  </w:pPr>
                  <w:r>
                    <w:rPr>
                      <w:rFonts w:hint="eastAsia"/>
                      <w:b w:val="0"/>
                      <w:bCs/>
                      <w:color w:val="auto"/>
                      <w:sz w:val="21"/>
                      <w:szCs w:val="21"/>
                    </w:rPr>
                    <w:t>约</w:t>
                  </w:r>
                  <w:r>
                    <w:rPr>
                      <w:rFonts w:hint="eastAsia"/>
                      <w:b w:val="0"/>
                      <w:bCs/>
                      <w:color w:val="auto"/>
                      <w:sz w:val="21"/>
                      <w:szCs w:val="21"/>
                      <w:lang w:val="en-US" w:eastAsia="zh-CN"/>
                    </w:rPr>
                    <w:t>35</w:t>
                  </w:r>
                  <w:r>
                    <w:rPr>
                      <w:rFonts w:hint="eastAsia"/>
                      <w:b w:val="0"/>
                      <w:bCs/>
                      <w:color w:val="auto"/>
                      <w:sz w:val="21"/>
                      <w:szCs w:val="21"/>
                    </w:rPr>
                    <w:t>户。</w:t>
                  </w:r>
                </w:p>
              </w:tc>
              <w:tc>
                <w:tcPr>
                  <w:tcW w:w="2032" w:type="dxa"/>
                  <w:vMerge w:val="continue"/>
                  <w:tcBorders>
                    <w:tl2br w:val="nil"/>
                    <w:tr2bl w:val="nil"/>
                  </w:tcBorders>
                  <w:vAlign w:val="center"/>
                </w:tcPr>
                <w:p>
                  <w:pPr>
                    <w:pStyle w:val="50"/>
                    <w:spacing w:before="0" w:beforeLines="0" w:after="0" w:afterLines="0"/>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tcBorders>
                    <w:tl2br w:val="nil"/>
                    <w:tr2bl w:val="nil"/>
                  </w:tcBorders>
                  <w:vAlign w:val="center"/>
                </w:tcPr>
                <w:p>
                  <w:pPr>
                    <w:pStyle w:val="50"/>
                    <w:spacing w:before="0" w:beforeLines="0" w:after="0" w:afterLines="0"/>
                    <w:rPr>
                      <w:rFonts w:hint="default"/>
                      <w:b w:val="0"/>
                      <w:bCs/>
                      <w:color w:val="auto"/>
                      <w:sz w:val="21"/>
                      <w:szCs w:val="21"/>
                      <w:lang w:val="en-US" w:eastAsia="zh-CN"/>
                    </w:rPr>
                  </w:pPr>
                  <w:r>
                    <w:rPr>
                      <w:rFonts w:hint="eastAsia"/>
                      <w:b w:val="0"/>
                      <w:bCs/>
                      <w:color w:val="auto"/>
                      <w:sz w:val="21"/>
                      <w:szCs w:val="21"/>
                      <w:lang w:val="en-US" w:eastAsia="zh-CN"/>
                    </w:rPr>
                    <w:t>生态环境</w:t>
                  </w:r>
                </w:p>
              </w:tc>
              <w:tc>
                <w:tcPr>
                  <w:tcW w:w="1969" w:type="dxa"/>
                  <w:tcBorders>
                    <w:tl2br w:val="nil"/>
                    <w:tr2bl w:val="nil"/>
                  </w:tcBorders>
                  <w:shd w:val="clear" w:color="auto" w:fill="auto"/>
                  <w:vAlign w:val="center"/>
                </w:tcPr>
                <w:p>
                  <w:pPr>
                    <w:pStyle w:val="50"/>
                    <w:spacing w:before="0" w:beforeLines="0" w:after="0" w:afterLines="0"/>
                    <w:jc w:val="center"/>
                    <w:rPr>
                      <w:rFonts w:hint="eastAsia" w:ascii="Times New Roman" w:hAnsi="Times New Roman" w:eastAsia="宋体" w:cs="Times New Roman"/>
                      <w:b w:val="0"/>
                      <w:bCs/>
                      <w:color w:val="auto"/>
                      <w:kern w:val="2"/>
                      <w:sz w:val="21"/>
                      <w:szCs w:val="21"/>
                      <w:lang w:val="en-US" w:eastAsia="zh-CN" w:bidi="ar-SA"/>
                    </w:rPr>
                  </w:pPr>
                  <w:r>
                    <w:rPr>
                      <w:rFonts w:hint="eastAsia"/>
                      <w:b w:val="0"/>
                      <w:bCs/>
                      <w:color w:val="auto"/>
                      <w:sz w:val="21"/>
                      <w:szCs w:val="21"/>
                      <w:lang w:val="en-US" w:eastAsia="zh-CN"/>
                    </w:rPr>
                    <w:t>湖南东洞庭湖国家级自然保护区实验区</w:t>
                  </w:r>
                </w:p>
              </w:tc>
              <w:tc>
                <w:tcPr>
                  <w:tcW w:w="1673" w:type="dxa"/>
                  <w:tcBorders>
                    <w:tl2br w:val="nil"/>
                    <w:tr2bl w:val="nil"/>
                  </w:tcBorders>
                  <w:shd w:val="clear" w:color="auto" w:fill="auto"/>
                  <w:vAlign w:val="center"/>
                </w:tcPr>
                <w:p>
                  <w:pPr>
                    <w:pStyle w:val="50"/>
                    <w:spacing w:before="0" w:beforeLines="0" w:after="0" w:afterLines="0"/>
                    <w:jc w:val="center"/>
                    <w:rPr>
                      <w:rFonts w:hint="eastAsia" w:ascii="Times New Roman" w:hAnsi="Times New Roman" w:eastAsia="宋体" w:cs="Times New Roman"/>
                      <w:b w:val="0"/>
                      <w:bCs/>
                      <w:color w:val="auto"/>
                      <w:kern w:val="2"/>
                      <w:sz w:val="21"/>
                      <w:szCs w:val="21"/>
                      <w:lang w:val="en-US" w:eastAsia="zh-CN" w:bidi="ar-SA"/>
                    </w:rPr>
                  </w:pPr>
                  <w:r>
                    <w:rPr>
                      <w:rFonts w:hint="eastAsia"/>
                      <w:b w:val="0"/>
                      <w:bCs/>
                      <w:color w:val="auto"/>
                      <w:sz w:val="21"/>
                      <w:szCs w:val="21"/>
                      <w:lang w:val="en-US" w:eastAsia="zh-CN"/>
                    </w:rPr>
                    <w:t>项目位于自然保护区整合优化前实验区范围内</w:t>
                  </w:r>
                </w:p>
              </w:tc>
              <w:tc>
                <w:tcPr>
                  <w:tcW w:w="1514" w:type="dxa"/>
                  <w:tcBorders>
                    <w:tl2br w:val="nil"/>
                    <w:tr2bl w:val="nil"/>
                  </w:tcBorders>
                  <w:vAlign w:val="center"/>
                </w:tcPr>
                <w:p>
                  <w:pPr>
                    <w:pStyle w:val="50"/>
                    <w:spacing w:before="0" w:beforeLines="0" w:after="0" w:afterLines="0"/>
                    <w:rPr>
                      <w:rFonts w:hint="default"/>
                      <w:b w:val="0"/>
                      <w:bCs/>
                      <w:color w:val="auto"/>
                      <w:sz w:val="21"/>
                      <w:szCs w:val="21"/>
                      <w:lang w:val="en-US" w:eastAsia="zh-CN"/>
                    </w:rPr>
                  </w:pPr>
                  <w:r>
                    <w:rPr>
                      <w:rFonts w:hint="eastAsia"/>
                      <w:b w:val="0"/>
                      <w:bCs/>
                      <w:color w:val="auto"/>
                      <w:sz w:val="21"/>
                      <w:szCs w:val="21"/>
                      <w:lang w:val="en-US" w:eastAsia="zh-CN"/>
                    </w:rPr>
                    <w:t>国家级自然保护区</w:t>
                  </w:r>
                </w:p>
              </w:tc>
              <w:tc>
                <w:tcPr>
                  <w:tcW w:w="2032" w:type="dxa"/>
                  <w:tcBorders>
                    <w:tl2br w:val="nil"/>
                    <w:tr2bl w:val="nil"/>
                  </w:tcBorders>
                  <w:vAlign w:val="center"/>
                </w:tcPr>
                <w:p>
                  <w:pPr>
                    <w:pStyle w:val="50"/>
                    <w:spacing w:before="0" w:beforeLines="0" w:after="0" w:afterLines="0"/>
                    <w:rPr>
                      <w:rFonts w:hint="default"/>
                      <w:b w:val="0"/>
                      <w:bCs/>
                      <w:color w:val="auto"/>
                      <w:sz w:val="21"/>
                      <w:szCs w:val="21"/>
                      <w:lang w:val="en-US" w:eastAsia="zh-CN"/>
                    </w:rPr>
                  </w:pPr>
                  <w:r>
                    <w:rPr>
                      <w:rFonts w:hint="default"/>
                      <w:b w:val="0"/>
                      <w:bCs/>
                      <w:color w:val="auto"/>
                      <w:sz w:val="21"/>
                      <w:szCs w:val="21"/>
                      <w:lang w:val="en-US" w:eastAsia="zh-CN"/>
                    </w:rPr>
                    <w:t>有效保护陆生生物、水生生物及其生态环境</w:t>
                  </w:r>
                  <w:r>
                    <w:rPr>
                      <w:rFonts w:hint="eastAsia"/>
                      <w:b w:val="0"/>
                      <w:bCs/>
                      <w:color w:val="auto"/>
                      <w:sz w:val="21"/>
                      <w:szCs w:val="21"/>
                      <w:lang w:val="en-US" w:eastAsia="zh-CN"/>
                    </w:rPr>
                    <w:t>不受本项目影响</w:t>
                  </w:r>
                </w:p>
              </w:tc>
            </w:tr>
          </w:tbl>
          <w:p>
            <w:pPr>
              <w:pStyle w:val="11"/>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2429" w:hRule="atLeast"/>
          <w:jc w:val="center"/>
        </w:trPr>
        <w:tc>
          <w:tcPr>
            <w:tcW w:w="800" w:type="dxa"/>
            <w:tcMar>
              <w:left w:w="28" w:type="dxa"/>
              <w:right w:w="28" w:type="dxa"/>
            </w:tcMar>
            <w:vAlign w:val="center"/>
          </w:tcPr>
          <w:p>
            <w:pPr>
              <w:adjustRightInd w:val="0"/>
              <w:snapToGrid w:val="0"/>
              <w:jc w:val="center"/>
              <w:rPr>
                <w:rFonts w:hint="default" w:eastAsia="宋体" w:cs="宋体"/>
                <w:color w:val="auto"/>
                <w:kern w:val="0"/>
                <w:sz w:val="24"/>
                <w:szCs w:val="21"/>
                <w:lang w:val="en-US" w:eastAsia="zh-CN"/>
              </w:rPr>
            </w:pPr>
            <w:r>
              <w:rPr>
                <w:rFonts w:hint="eastAsia" w:cs="宋体"/>
                <w:color w:val="auto"/>
                <w:kern w:val="0"/>
                <w:sz w:val="24"/>
                <w:szCs w:val="21"/>
                <w:lang w:val="en-US" w:eastAsia="zh-CN"/>
              </w:rPr>
              <w:t>评价标准</w:t>
            </w:r>
          </w:p>
        </w:tc>
        <w:tc>
          <w:tcPr>
            <w:tcW w:w="8190" w:type="dxa"/>
            <w:vAlign w:val="center"/>
          </w:tcPr>
          <w:p>
            <w:pPr>
              <w:pStyle w:val="9"/>
              <w:numPr>
                <w:ilvl w:val="0"/>
                <w:numId w:val="3"/>
              </w:numPr>
              <w:ind w:left="0" w:leftChars="0" w:firstLine="0" w:firstLineChars="0"/>
              <w:jc w:val="both"/>
              <w:rPr>
                <w:rFonts w:hint="eastAsia"/>
                <w:b/>
                <w:color w:val="auto"/>
                <w:sz w:val="24"/>
              </w:rPr>
            </w:pPr>
            <w:r>
              <w:rPr>
                <w:b/>
                <w:color w:val="auto"/>
                <w:sz w:val="24"/>
              </w:rPr>
              <w:t>废</w:t>
            </w:r>
            <w:r>
              <w:rPr>
                <w:rFonts w:hint="eastAsia"/>
                <w:b/>
                <w:color w:val="auto"/>
                <w:sz w:val="24"/>
              </w:rPr>
              <w:t>气</w:t>
            </w:r>
          </w:p>
          <w:p>
            <w:pPr>
              <w:snapToGrid w:val="0"/>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本项目油烟废气排放执行《饮食业油烟排放标准》（GB18483-2001）大型规模标准；恶臭执行《恶臭污染物排放标准值》（GB14554-93）的二级标准。具体指标见表</w:t>
            </w:r>
            <w:r>
              <w:rPr>
                <w:rFonts w:hint="eastAsia"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6</w:t>
            </w:r>
            <w:r>
              <w:rPr>
                <w:rFonts w:hint="eastAsia"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7</w:t>
            </w:r>
            <w:r>
              <w:rPr>
                <w:rFonts w:hint="eastAsia" w:ascii="Times New Roman" w:hAnsi="Times New Roman" w:eastAsia="宋体" w:cs="Times New Roman"/>
                <w:color w:val="auto"/>
                <w:sz w:val="24"/>
                <w:szCs w:val="24"/>
              </w:rPr>
              <w:t>。</w:t>
            </w:r>
          </w:p>
          <w:p>
            <w:pPr>
              <w:pStyle w:val="66"/>
              <w:keepNext w:val="0"/>
              <w:keepLines w:val="0"/>
              <w:pageBreakBefore w:val="0"/>
              <w:widowControl w:val="0"/>
              <w:kinsoku/>
              <w:wordWrap/>
              <w:overflowPunct/>
              <w:topLinePunct w:val="0"/>
              <w:autoSpaceDE/>
              <w:autoSpaceDN/>
              <w:bidi w:val="0"/>
              <w:adjustRightInd/>
              <w:snapToGrid/>
              <w:spacing w:beforeLines="0"/>
              <w:textAlignment w:val="auto"/>
              <w:rPr>
                <w:rFonts w:hint="eastAsia"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eastAsia" w:ascii="Times New Roman" w:hAnsi="Times New Roman" w:eastAsia="宋体" w:cs="Times New Roman"/>
                <w:color w:val="auto"/>
                <w:highlight w:val="none"/>
                <w:lang w:val="en-US" w:eastAsia="zh-CN"/>
              </w:rPr>
              <w:t>3</w:t>
            </w:r>
            <w:r>
              <w:rPr>
                <w:rFonts w:hint="eastAsia"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 xml:space="preserve">6 </w:t>
            </w:r>
            <w:r>
              <w:rPr>
                <w:rFonts w:hint="default" w:ascii="Times New Roman" w:hAnsi="Times New Roman" w:eastAsia="宋体" w:cs="Times New Roman"/>
                <w:color w:val="auto"/>
                <w:highlight w:val="none"/>
              </w:rPr>
              <w:t xml:space="preserve"> 油烟净化设施去除效率</w:t>
            </w:r>
          </w:p>
          <w:tbl>
            <w:tblPr>
              <w:tblStyle w:val="22"/>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950"/>
              <w:gridCol w:w="1638"/>
              <w:gridCol w:w="1787"/>
              <w:gridCol w:w="150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950" w:type="dxa"/>
                  <w:tcBorders>
                    <w:tl2br w:val="nil"/>
                    <w:tr2bl w:val="nil"/>
                  </w:tcBorders>
                  <w:noWrap w:val="0"/>
                  <w:vAlign w:val="center"/>
                </w:tcPr>
                <w:p>
                  <w:pPr>
                    <w:spacing w:line="240" w:lineRule="atLeast"/>
                    <w:jc w:val="center"/>
                    <w:rPr>
                      <w:b/>
                      <w:bCs/>
                      <w:caps/>
                      <w:color w:val="auto"/>
                      <w:szCs w:val="21"/>
                    </w:rPr>
                  </w:pPr>
                  <w:r>
                    <w:rPr>
                      <w:rFonts w:hAnsi="宋体"/>
                      <w:b/>
                      <w:bCs/>
                      <w:caps/>
                      <w:color w:val="auto"/>
                      <w:szCs w:val="21"/>
                    </w:rPr>
                    <w:t>规模</w:t>
                  </w:r>
                </w:p>
              </w:tc>
              <w:tc>
                <w:tcPr>
                  <w:tcW w:w="1638" w:type="dxa"/>
                  <w:tcBorders>
                    <w:tl2br w:val="nil"/>
                    <w:tr2bl w:val="nil"/>
                  </w:tcBorders>
                  <w:noWrap w:val="0"/>
                  <w:vAlign w:val="center"/>
                </w:tcPr>
                <w:p>
                  <w:pPr>
                    <w:spacing w:line="240" w:lineRule="atLeast"/>
                    <w:jc w:val="center"/>
                    <w:rPr>
                      <w:caps/>
                      <w:color w:val="auto"/>
                      <w:szCs w:val="21"/>
                    </w:rPr>
                  </w:pPr>
                  <w:r>
                    <w:rPr>
                      <w:rFonts w:hAnsi="宋体"/>
                      <w:caps/>
                      <w:color w:val="auto"/>
                      <w:szCs w:val="21"/>
                    </w:rPr>
                    <w:t>小型</w:t>
                  </w:r>
                </w:p>
              </w:tc>
              <w:tc>
                <w:tcPr>
                  <w:tcW w:w="1787" w:type="dxa"/>
                  <w:tcBorders>
                    <w:tl2br w:val="nil"/>
                    <w:tr2bl w:val="nil"/>
                  </w:tcBorders>
                  <w:noWrap w:val="0"/>
                  <w:vAlign w:val="center"/>
                </w:tcPr>
                <w:p>
                  <w:pPr>
                    <w:spacing w:line="240" w:lineRule="atLeast"/>
                    <w:jc w:val="center"/>
                    <w:rPr>
                      <w:caps/>
                      <w:color w:val="auto"/>
                      <w:szCs w:val="21"/>
                    </w:rPr>
                  </w:pPr>
                  <w:r>
                    <w:rPr>
                      <w:rFonts w:hAnsi="宋体"/>
                      <w:caps/>
                      <w:color w:val="auto"/>
                      <w:szCs w:val="21"/>
                    </w:rPr>
                    <w:t>中型</w:t>
                  </w:r>
                </w:p>
              </w:tc>
              <w:tc>
                <w:tcPr>
                  <w:tcW w:w="1505" w:type="dxa"/>
                  <w:tcBorders>
                    <w:tl2br w:val="nil"/>
                    <w:tr2bl w:val="nil"/>
                  </w:tcBorders>
                  <w:noWrap w:val="0"/>
                  <w:vAlign w:val="center"/>
                </w:tcPr>
                <w:p>
                  <w:pPr>
                    <w:spacing w:line="240" w:lineRule="atLeast"/>
                    <w:jc w:val="center"/>
                    <w:rPr>
                      <w:caps/>
                      <w:color w:val="auto"/>
                      <w:szCs w:val="21"/>
                    </w:rPr>
                  </w:pPr>
                  <w:r>
                    <w:rPr>
                      <w:rFonts w:hAnsi="宋体"/>
                      <w:caps/>
                      <w:color w:val="auto"/>
                      <w:szCs w:val="21"/>
                    </w:rPr>
                    <w:t>大型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950" w:type="dxa"/>
                  <w:tcBorders>
                    <w:tl2br w:val="nil"/>
                    <w:tr2bl w:val="nil"/>
                  </w:tcBorders>
                  <w:noWrap w:val="0"/>
                  <w:vAlign w:val="center"/>
                </w:tcPr>
                <w:p>
                  <w:pPr>
                    <w:spacing w:line="240" w:lineRule="atLeast"/>
                    <w:jc w:val="center"/>
                    <w:rPr>
                      <w:b/>
                      <w:bCs/>
                      <w:color w:val="auto"/>
                      <w:szCs w:val="21"/>
                    </w:rPr>
                  </w:pPr>
                  <w:r>
                    <w:rPr>
                      <w:rFonts w:hAnsi="宋体"/>
                      <w:b/>
                      <w:bCs/>
                      <w:color w:val="auto"/>
                      <w:szCs w:val="21"/>
                    </w:rPr>
                    <w:t>最高允许排放浓度（</w:t>
                  </w:r>
                  <w:r>
                    <w:rPr>
                      <w:b/>
                      <w:bCs/>
                      <w:color w:val="auto"/>
                      <w:szCs w:val="21"/>
                    </w:rPr>
                    <w:t>mg/m</w:t>
                  </w:r>
                  <w:r>
                    <w:rPr>
                      <w:b/>
                      <w:bCs/>
                      <w:color w:val="auto"/>
                      <w:szCs w:val="21"/>
                      <w:vertAlign w:val="superscript"/>
                    </w:rPr>
                    <w:t>3</w:t>
                  </w:r>
                  <w:r>
                    <w:rPr>
                      <w:rFonts w:hAnsi="宋体"/>
                      <w:b/>
                      <w:bCs/>
                      <w:color w:val="auto"/>
                      <w:szCs w:val="21"/>
                    </w:rPr>
                    <w:t>）</w:t>
                  </w:r>
                </w:p>
              </w:tc>
              <w:tc>
                <w:tcPr>
                  <w:tcW w:w="4930" w:type="dxa"/>
                  <w:gridSpan w:val="3"/>
                  <w:tcBorders>
                    <w:tl2br w:val="nil"/>
                    <w:tr2bl w:val="nil"/>
                  </w:tcBorders>
                  <w:noWrap w:val="0"/>
                  <w:vAlign w:val="center"/>
                </w:tcPr>
                <w:p>
                  <w:pPr>
                    <w:spacing w:line="240" w:lineRule="atLeast"/>
                    <w:jc w:val="center"/>
                    <w:rPr>
                      <w:color w:val="auto"/>
                      <w:szCs w:val="21"/>
                    </w:rPr>
                  </w:pPr>
                  <w:r>
                    <w:rPr>
                      <w:color w:val="auto"/>
                      <w:szCs w:val="21"/>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950" w:type="dxa"/>
                  <w:tcBorders>
                    <w:tl2br w:val="nil"/>
                    <w:tr2bl w:val="nil"/>
                  </w:tcBorders>
                  <w:noWrap w:val="0"/>
                  <w:vAlign w:val="center"/>
                </w:tcPr>
                <w:p>
                  <w:pPr>
                    <w:spacing w:line="240" w:lineRule="atLeast"/>
                    <w:ind w:firstLine="200" w:firstLineChars="95"/>
                    <w:jc w:val="center"/>
                    <w:rPr>
                      <w:b/>
                      <w:bCs/>
                      <w:color w:val="auto"/>
                      <w:szCs w:val="21"/>
                    </w:rPr>
                  </w:pPr>
                  <w:r>
                    <w:rPr>
                      <w:rFonts w:hAnsi="宋体"/>
                      <w:b/>
                      <w:bCs/>
                      <w:color w:val="auto"/>
                      <w:szCs w:val="21"/>
                    </w:rPr>
                    <w:t>净化设施最低去除效率</w:t>
                  </w:r>
                </w:p>
              </w:tc>
              <w:tc>
                <w:tcPr>
                  <w:tcW w:w="1638" w:type="dxa"/>
                  <w:tcBorders>
                    <w:tl2br w:val="nil"/>
                    <w:tr2bl w:val="nil"/>
                  </w:tcBorders>
                  <w:noWrap w:val="0"/>
                  <w:vAlign w:val="center"/>
                </w:tcPr>
                <w:p>
                  <w:pPr>
                    <w:spacing w:line="240" w:lineRule="atLeast"/>
                    <w:jc w:val="center"/>
                    <w:rPr>
                      <w:color w:val="auto"/>
                      <w:szCs w:val="21"/>
                    </w:rPr>
                  </w:pPr>
                  <w:r>
                    <w:rPr>
                      <w:color w:val="auto"/>
                      <w:szCs w:val="21"/>
                    </w:rPr>
                    <w:t>60</w:t>
                  </w:r>
                </w:p>
              </w:tc>
              <w:tc>
                <w:tcPr>
                  <w:tcW w:w="1787" w:type="dxa"/>
                  <w:tcBorders>
                    <w:tl2br w:val="nil"/>
                    <w:tr2bl w:val="nil"/>
                  </w:tcBorders>
                  <w:noWrap w:val="0"/>
                  <w:vAlign w:val="center"/>
                </w:tcPr>
                <w:p>
                  <w:pPr>
                    <w:spacing w:line="240" w:lineRule="atLeast"/>
                    <w:jc w:val="center"/>
                    <w:rPr>
                      <w:color w:val="auto"/>
                      <w:szCs w:val="21"/>
                    </w:rPr>
                  </w:pPr>
                  <w:r>
                    <w:rPr>
                      <w:color w:val="auto"/>
                      <w:szCs w:val="21"/>
                    </w:rPr>
                    <w:t>75</w:t>
                  </w:r>
                </w:p>
              </w:tc>
              <w:tc>
                <w:tcPr>
                  <w:tcW w:w="1505" w:type="dxa"/>
                  <w:tcBorders>
                    <w:tl2br w:val="nil"/>
                    <w:tr2bl w:val="nil"/>
                  </w:tcBorders>
                  <w:noWrap w:val="0"/>
                  <w:vAlign w:val="center"/>
                </w:tcPr>
                <w:p>
                  <w:pPr>
                    <w:spacing w:line="240" w:lineRule="atLeast"/>
                    <w:jc w:val="center"/>
                    <w:rPr>
                      <w:color w:val="auto"/>
                      <w:szCs w:val="21"/>
                    </w:rPr>
                  </w:pPr>
                  <w:r>
                    <w:rPr>
                      <w:color w:val="auto"/>
                      <w:szCs w:val="21"/>
                    </w:rPr>
                    <w:t>85</w:t>
                  </w:r>
                </w:p>
              </w:tc>
            </w:tr>
          </w:tbl>
          <w:p>
            <w:pPr>
              <w:pStyle w:val="66"/>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表</w:t>
            </w:r>
            <w:r>
              <w:rPr>
                <w:rFonts w:hint="eastAsia" w:ascii="Times New Roman" w:hAnsi="Times New Roman" w:eastAsia="宋体" w:cs="Times New Roman"/>
                <w:color w:val="auto"/>
                <w:highlight w:val="none"/>
                <w:lang w:val="en-US" w:eastAsia="zh-CN"/>
              </w:rPr>
              <w:t>3</w:t>
            </w:r>
            <w:r>
              <w:rPr>
                <w:rFonts w:hint="eastAsia"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7</w:t>
            </w:r>
            <w:r>
              <w:rPr>
                <w:rFonts w:hint="eastAsia" w:ascii="Times New Roman" w:hAnsi="Times New Roman" w:eastAsia="宋体" w:cs="Times New Roman"/>
                <w:color w:val="auto"/>
                <w:highlight w:val="none"/>
              </w:rPr>
              <w:t xml:space="preserve">  《恶臭污染物排放标准值》（ GB14554-93）表1</w:t>
            </w:r>
          </w:p>
          <w:tbl>
            <w:tblPr>
              <w:tblStyle w:val="22"/>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950"/>
              <w:gridCol w:w="1638"/>
              <w:gridCol w:w="32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950" w:type="dxa"/>
                  <w:tcBorders>
                    <w:tl2br w:val="nil"/>
                    <w:tr2bl w:val="nil"/>
                  </w:tcBorders>
                  <w:noWrap w:val="0"/>
                  <w:vAlign w:val="center"/>
                </w:tcPr>
                <w:p>
                  <w:pPr>
                    <w:spacing w:line="240" w:lineRule="atLeast"/>
                    <w:jc w:val="center"/>
                    <w:rPr>
                      <w:rFonts w:hint="eastAsia"/>
                      <w:b/>
                      <w:bCs/>
                      <w:caps/>
                      <w:color w:val="auto"/>
                      <w:szCs w:val="21"/>
                    </w:rPr>
                  </w:pPr>
                  <w:r>
                    <w:rPr>
                      <w:rFonts w:hint="eastAsia" w:hAnsi="宋体"/>
                      <w:b/>
                      <w:bCs/>
                      <w:caps/>
                      <w:color w:val="auto"/>
                      <w:szCs w:val="21"/>
                    </w:rPr>
                    <w:t>污染物</w:t>
                  </w:r>
                </w:p>
              </w:tc>
              <w:tc>
                <w:tcPr>
                  <w:tcW w:w="1638" w:type="dxa"/>
                  <w:tcBorders>
                    <w:tl2br w:val="nil"/>
                    <w:tr2bl w:val="nil"/>
                  </w:tcBorders>
                  <w:noWrap w:val="0"/>
                  <w:vAlign w:val="center"/>
                </w:tcPr>
                <w:p>
                  <w:pPr>
                    <w:spacing w:line="240" w:lineRule="atLeast"/>
                    <w:jc w:val="center"/>
                    <w:rPr>
                      <w:rFonts w:hint="eastAsia"/>
                      <w:b/>
                      <w:bCs/>
                      <w:caps/>
                      <w:color w:val="auto"/>
                      <w:szCs w:val="21"/>
                    </w:rPr>
                  </w:pPr>
                  <w:r>
                    <w:rPr>
                      <w:rFonts w:hint="eastAsia" w:hAnsi="宋体"/>
                      <w:b/>
                      <w:bCs/>
                      <w:caps/>
                      <w:color w:val="auto"/>
                      <w:szCs w:val="21"/>
                    </w:rPr>
                    <w:t>单位</w:t>
                  </w:r>
                </w:p>
              </w:tc>
              <w:tc>
                <w:tcPr>
                  <w:tcW w:w="3292" w:type="dxa"/>
                  <w:tcBorders>
                    <w:tl2br w:val="nil"/>
                    <w:tr2bl w:val="nil"/>
                  </w:tcBorders>
                  <w:noWrap w:val="0"/>
                  <w:vAlign w:val="center"/>
                </w:tcPr>
                <w:p>
                  <w:pPr>
                    <w:spacing w:line="240" w:lineRule="atLeast"/>
                    <w:jc w:val="center"/>
                    <w:rPr>
                      <w:b/>
                      <w:bCs/>
                      <w:caps/>
                      <w:color w:val="auto"/>
                      <w:szCs w:val="21"/>
                    </w:rPr>
                  </w:pPr>
                  <w:r>
                    <w:rPr>
                      <w:rFonts w:hint="eastAsia" w:hAnsi="宋体"/>
                      <w:b/>
                      <w:bCs/>
                      <w:caps/>
                      <w:color w:val="auto"/>
                      <w:szCs w:val="21"/>
                    </w:rPr>
                    <w:t>厂界标准值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950" w:type="dxa"/>
                  <w:tcBorders>
                    <w:tl2br w:val="nil"/>
                    <w:tr2bl w:val="nil"/>
                  </w:tcBorders>
                  <w:noWrap w:val="0"/>
                  <w:vAlign w:val="center"/>
                </w:tcPr>
                <w:p>
                  <w:pPr>
                    <w:spacing w:line="240" w:lineRule="atLeast"/>
                    <w:ind w:firstLine="199" w:firstLineChars="95"/>
                    <w:jc w:val="center"/>
                    <w:rPr>
                      <w:rFonts w:hint="eastAsia"/>
                      <w:color w:val="auto"/>
                      <w:szCs w:val="21"/>
                    </w:rPr>
                  </w:pPr>
                  <w:r>
                    <w:rPr>
                      <w:rFonts w:hint="eastAsia" w:hAnsi="宋体"/>
                      <w:color w:val="auto"/>
                      <w:szCs w:val="21"/>
                    </w:rPr>
                    <w:t>臭气深度</w:t>
                  </w:r>
                </w:p>
              </w:tc>
              <w:tc>
                <w:tcPr>
                  <w:tcW w:w="1638" w:type="dxa"/>
                  <w:tcBorders>
                    <w:tl2br w:val="nil"/>
                    <w:tr2bl w:val="nil"/>
                  </w:tcBorders>
                  <w:noWrap w:val="0"/>
                  <w:vAlign w:val="center"/>
                </w:tcPr>
                <w:p>
                  <w:pPr>
                    <w:spacing w:line="240" w:lineRule="atLeast"/>
                    <w:jc w:val="center"/>
                    <w:rPr>
                      <w:rFonts w:hint="eastAsia"/>
                      <w:color w:val="auto"/>
                      <w:szCs w:val="21"/>
                    </w:rPr>
                  </w:pPr>
                  <w:r>
                    <w:rPr>
                      <w:rFonts w:hint="eastAsia"/>
                      <w:color w:val="auto"/>
                      <w:szCs w:val="21"/>
                    </w:rPr>
                    <w:t>无量纲</w:t>
                  </w:r>
                </w:p>
              </w:tc>
              <w:tc>
                <w:tcPr>
                  <w:tcW w:w="3292" w:type="dxa"/>
                  <w:tcBorders>
                    <w:tl2br w:val="nil"/>
                    <w:tr2bl w:val="nil"/>
                  </w:tcBorders>
                  <w:noWrap w:val="0"/>
                  <w:vAlign w:val="center"/>
                </w:tcPr>
                <w:p>
                  <w:pPr>
                    <w:spacing w:line="240" w:lineRule="atLeast"/>
                    <w:jc w:val="center"/>
                    <w:rPr>
                      <w:color w:val="auto"/>
                      <w:szCs w:val="21"/>
                    </w:rPr>
                  </w:pPr>
                  <w:r>
                    <w:rPr>
                      <w:rFonts w:hint="eastAsia"/>
                      <w:color w:val="auto"/>
                      <w:szCs w:val="21"/>
                    </w:rPr>
                    <w:t>20</w:t>
                  </w:r>
                </w:p>
              </w:tc>
            </w:tr>
          </w:tbl>
          <w:p>
            <w:pPr>
              <w:pStyle w:val="9"/>
              <w:keepNext w:val="0"/>
              <w:keepLines w:val="0"/>
              <w:pageBreakBefore w:val="0"/>
              <w:widowControl w:val="0"/>
              <w:kinsoku/>
              <w:wordWrap/>
              <w:overflowPunct/>
              <w:topLinePunct w:val="0"/>
              <w:autoSpaceDE/>
              <w:autoSpaceDN/>
              <w:bidi w:val="0"/>
              <w:adjustRightInd w:val="0"/>
              <w:snapToGrid w:val="0"/>
              <w:spacing w:before="157" w:beforeLines="50"/>
              <w:ind w:left="0" w:leftChars="0" w:firstLine="0" w:firstLineChars="0"/>
              <w:jc w:val="both"/>
              <w:textAlignment w:val="auto"/>
              <w:rPr>
                <w:b/>
                <w:color w:val="auto"/>
                <w:sz w:val="24"/>
              </w:rPr>
            </w:pPr>
            <w:r>
              <w:rPr>
                <w:b/>
                <w:color w:val="auto"/>
                <w:sz w:val="24"/>
              </w:rPr>
              <w:t>2、废</w:t>
            </w:r>
            <w:r>
              <w:rPr>
                <w:rFonts w:hint="eastAsia"/>
                <w:b/>
                <w:color w:val="auto"/>
                <w:sz w:val="24"/>
              </w:rPr>
              <w:t>水</w:t>
            </w:r>
          </w:p>
          <w:p>
            <w:pPr>
              <w:spacing w:line="360" w:lineRule="auto"/>
              <w:ind w:firstLine="480" w:firstLineChars="200"/>
              <w:rPr>
                <w:rFonts w:hint="eastAsia" w:eastAsia="宋体"/>
                <w:color w:val="auto"/>
                <w:sz w:val="24"/>
              </w:rPr>
            </w:pPr>
            <w:r>
              <w:rPr>
                <w:rFonts w:hint="eastAsia" w:eastAsia="宋体"/>
                <w:color w:val="auto"/>
                <w:sz w:val="24"/>
              </w:rPr>
              <w:t>项目</w:t>
            </w:r>
            <w:r>
              <w:rPr>
                <w:rFonts w:hint="eastAsia"/>
                <w:color w:val="auto"/>
                <w:sz w:val="24"/>
              </w:rPr>
              <w:t>无生产废水；生活污水经化粪池处理后达</w:t>
            </w:r>
            <w:r>
              <w:rPr>
                <w:rFonts w:hint="eastAsia"/>
                <w:color w:val="auto"/>
                <w:sz w:val="24"/>
                <w:lang w:val="en-US" w:eastAsia="zh-CN"/>
              </w:rPr>
              <w:t>到</w:t>
            </w:r>
            <w:r>
              <w:rPr>
                <w:color w:val="auto"/>
                <w:sz w:val="24"/>
                <w:lang w:val="en-US" w:eastAsia="zh-CN"/>
              </w:rPr>
              <w:t>华容县团洲乡团洲新村污水处理厂</w:t>
            </w:r>
            <w:r>
              <w:rPr>
                <w:rFonts w:hint="eastAsia"/>
                <w:color w:val="auto"/>
                <w:sz w:val="24"/>
                <w:lang w:val="en-US" w:eastAsia="zh-CN"/>
              </w:rPr>
              <w:t>进水水质标准后</w:t>
            </w:r>
            <w:r>
              <w:rPr>
                <w:rFonts w:hint="eastAsia"/>
                <w:color w:val="auto"/>
                <w:sz w:val="24"/>
              </w:rPr>
              <w:t>经</w:t>
            </w:r>
            <w:r>
              <w:rPr>
                <w:rFonts w:hint="eastAsia"/>
                <w:color w:val="auto"/>
                <w:sz w:val="24"/>
                <w:lang w:val="en-US" w:eastAsia="zh-CN"/>
              </w:rPr>
              <w:t>市政</w:t>
            </w:r>
            <w:r>
              <w:rPr>
                <w:rFonts w:hint="eastAsia"/>
                <w:color w:val="auto"/>
                <w:sz w:val="24"/>
              </w:rPr>
              <w:t>污水管网收集后</w:t>
            </w:r>
            <w:r>
              <w:rPr>
                <w:rFonts w:hint="eastAsia"/>
                <w:color w:val="auto"/>
                <w:sz w:val="24"/>
                <w:lang w:val="en-US" w:eastAsia="zh-CN"/>
              </w:rPr>
              <w:t>排入</w:t>
            </w:r>
            <w:r>
              <w:rPr>
                <w:color w:val="auto"/>
                <w:sz w:val="24"/>
                <w:lang w:val="en-US" w:eastAsia="zh-CN"/>
              </w:rPr>
              <w:t>华容县团洲乡团洲新村污水处理厂</w:t>
            </w:r>
            <w:r>
              <w:rPr>
                <w:rFonts w:hint="eastAsia"/>
                <w:color w:val="auto"/>
                <w:sz w:val="24"/>
              </w:rPr>
              <w:t>进行深度处理</w:t>
            </w:r>
            <w:r>
              <w:rPr>
                <w:rFonts w:hint="eastAsia"/>
                <w:color w:val="auto"/>
                <w:sz w:val="24"/>
                <w:lang w:eastAsia="zh-CN"/>
              </w:rPr>
              <w:t>，</w:t>
            </w:r>
            <w:r>
              <w:rPr>
                <w:rFonts w:hint="eastAsia"/>
                <w:color w:val="auto"/>
                <w:sz w:val="24"/>
                <w:lang w:val="en-US" w:eastAsia="zh-CN"/>
              </w:rPr>
              <w:t>经处理</w:t>
            </w:r>
            <w:r>
              <w:rPr>
                <w:rFonts w:hint="eastAsia"/>
                <w:color w:val="auto"/>
                <w:sz w:val="24"/>
              </w:rPr>
              <w:t>排水水质达《城镇污水处理厂污染物排放标准》（GB</w:t>
            </w:r>
            <w:r>
              <w:rPr>
                <w:rFonts w:hint="eastAsia"/>
                <w:color w:val="auto"/>
                <w:sz w:val="24"/>
                <w:lang w:val="en-US" w:eastAsia="zh-CN"/>
              </w:rPr>
              <w:t xml:space="preserve"> </w:t>
            </w:r>
            <w:r>
              <w:rPr>
                <w:rFonts w:hint="eastAsia"/>
                <w:color w:val="auto"/>
                <w:sz w:val="24"/>
              </w:rPr>
              <w:t>18918-2002）</w:t>
            </w:r>
            <w:r>
              <w:rPr>
                <w:rFonts w:hint="eastAsia" w:eastAsia="宋体"/>
                <w:color w:val="auto"/>
                <w:sz w:val="24"/>
              </w:rPr>
              <w:t>一级A标准后，</w:t>
            </w:r>
            <w:r>
              <w:rPr>
                <w:rFonts w:hint="eastAsia"/>
                <w:color w:val="auto"/>
                <w:sz w:val="24"/>
                <w:lang w:val="en-US" w:eastAsia="zh-CN"/>
              </w:rPr>
              <w:t>回用于县区洒水降尘及绿化</w:t>
            </w:r>
            <w:r>
              <w:rPr>
                <w:rFonts w:hint="eastAsia" w:eastAsia="宋体"/>
                <w:color w:val="auto"/>
                <w:sz w:val="24"/>
              </w:rPr>
              <w:t>，</w:t>
            </w:r>
            <w:r>
              <w:rPr>
                <w:rFonts w:hint="eastAsia"/>
                <w:color w:val="auto"/>
                <w:sz w:val="24"/>
                <w:lang w:val="en-US" w:eastAsia="zh-CN"/>
              </w:rPr>
              <w:t>若有多余可回用于周边农田。</w:t>
            </w:r>
            <w:r>
              <w:rPr>
                <w:rFonts w:hint="eastAsia" w:eastAsia="宋体"/>
                <w:color w:val="auto"/>
                <w:sz w:val="24"/>
              </w:rPr>
              <w:t>详见表3-</w:t>
            </w:r>
            <w:r>
              <w:rPr>
                <w:rFonts w:hint="eastAsia"/>
                <w:color w:val="auto"/>
                <w:sz w:val="24"/>
                <w:lang w:val="en-US" w:eastAsia="zh-CN"/>
              </w:rPr>
              <w:t>8</w:t>
            </w:r>
            <w:r>
              <w:rPr>
                <w:rFonts w:hint="eastAsia" w:eastAsia="宋体"/>
                <w:color w:val="auto"/>
                <w:sz w:val="24"/>
                <w:lang w:val="en-US" w:eastAsia="zh-CN"/>
              </w:rPr>
              <w:t>及表3-</w:t>
            </w:r>
            <w:r>
              <w:rPr>
                <w:rFonts w:hint="eastAsia"/>
                <w:color w:val="auto"/>
                <w:sz w:val="24"/>
                <w:lang w:val="en-US" w:eastAsia="zh-CN"/>
              </w:rPr>
              <w:t>9</w:t>
            </w:r>
            <w:r>
              <w:rPr>
                <w:rFonts w:hint="eastAsia" w:eastAsia="宋体"/>
                <w:color w:val="auto"/>
                <w:sz w:val="24"/>
              </w:rPr>
              <w:t>。</w:t>
            </w:r>
          </w:p>
          <w:p>
            <w:pPr>
              <w:pStyle w:val="66"/>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eastAsia="宋体" w:cs="Times New Roman"/>
                <w:b/>
                <w:color w:val="auto"/>
                <w:szCs w:val="21"/>
                <w:u w:val="none"/>
              </w:rPr>
            </w:pPr>
            <w:r>
              <w:rPr>
                <w:rFonts w:hint="default" w:ascii="Times New Roman" w:hAnsi="Times New Roman" w:eastAsia="宋体" w:cs="Times New Roman"/>
                <w:color w:val="auto"/>
                <w:highlight w:val="none"/>
              </w:rPr>
              <w:t>表</w:t>
            </w:r>
            <w:r>
              <w:rPr>
                <w:rFonts w:hint="eastAsia" w:ascii="Times New Roman" w:hAnsi="Times New Roman" w:eastAsia="宋体" w:cs="Times New Roman"/>
                <w:color w:val="auto"/>
                <w:highlight w:val="none"/>
                <w:lang w:val="en-US" w:eastAsia="zh-CN"/>
              </w:rPr>
              <w:t xml:space="preserve">3-8 </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t>本项目污水排放标准</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t>标准单位：mg/L</w:t>
            </w:r>
          </w:p>
          <w:tbl>
            <w:tblPr>
              <w:tblStyle w:val="22"/>
              <w:tblW w:w="7937" w:type="dxa"/>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299"/>
              <w:gridCol w:w="743"/>
              <w:gridCol w:w="730"/>
              <w:gridCol w:w="1168"/>
              <w:gridCol w:w="998"/>
              <w:gridCol w:w="999"/>
              <w:gridCol w:w="100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634" w:type="dxa"/>
                  <w:tcBorders>
                    <w:tl2br w:val="nil"/>
                    <w:tr2bl w:val="nil"/>
                  </w:tcBorders>
                  <w:shd w:val="clear" w:color="auto" w:fill="F1F1F1"/>
                  <w:noWrap w:val="0"/>
                  <w:vAlign w:val="center"/>
                </w:tcPr>
                <w:p>
                  <w:pPr>
                    <w:pStyle w:val="49"/>
                    <w:spacing w:before="52"/>
                    <w:ind w:left="457" w:right="456"/>
                    <w:jc w:val="center"/>
                    <w:rPr>
                      <w:rFonts w:hint="default" w:ascii="Times New Roman" w:hAnsi="Times New Roman" w:cs="Times New Roman"/>
                      <w:b/>
                      <w:bCs/>
                      <w:color w:val="auto"/>
                      <w:sz w:val="21"/>
                      <w:u w:val="none"/>
                    </w:rPr>
                  </w:pPr>
                  <w:r>
                    <w:rPr>
                      <w:rFonts w:hint="default" w:ascii="Times New Roman" w:hAnsi="Times New Roman" w:cs="Times New Roman"/>
                      <w:b/>
                      <w:bCs/>
                      <w:color w:val="auto"/>
                      <w:sz w:val="21"/>
                      <w:u w:val="none"/>
                    </w:rPr>
                    <w:t>污染物</w:t>
                  </w:r>
                </w:p>
              </w:tc>
              <w:tc>
                <w:tcPr>
                  <w:tcW w:w="850" w:type="dxa"/>
                  <w:tcBorders>
                    <w:tl2br w:val="nil"/>
                    <w:tr2bl w:val="nil"/>
                  </w:tcBorders>
                  <w:shd w:val="clear" w:color="auto" w:fill="F1F1F1"/>
                  <w:noWrap w:val="0"/>
                  <w:vAlign w:val="center"/>
                </w:tcPr>
                <w:p>
                  <w:pPr>
                    <w:pStyle w:val="62"/>
                    <w:spacing w:line="240" w:lineRule="auto"/>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pH</w:t>
                  </w:r>
                </w:p>
              </w:tc>
              <w:tc>
                <w:tcPr>
                  <w:tcW w:w="835" w:type="dxa"/>
                  <w:tcBorders>
                    <w:tl2br w:val="nil"/>
                    <w:tr2bl w:val="nil"/>
                  </w:tcBorders>
                  <w:shd w:val="clear" w:color="auto" w:fill="F1F1F1"/>
                  <w:noWrap w:val="0"/>
                  <w:vAlign w:val="center"/>
                </w:tcPr>
                <w:p>
                  <w:pPr>
                    <w:pStyle w:val="62"/>
                    <w:spacing w:line="240" w:lineRule="auto"/>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SS</w:t>
                  </w:r>
                </w:p>
              </w:tc>
              <w:tc>
                <w:tcPr>
                  <w:tcW w:w="1338" w:type="dxa"/>
                  <w:tcBorders>
                    <w:tl2br w:val="nil"/>
                    <w:tr2bl w:val="nil"/>
                  </w:tcBorders>
                  <w:shd w:val="clear" w:color="auto" w:fill="F1F1F1"/>
                  <w:noWrap w:val="0"/>
                  <w:vAlign w:val="center"/>
                </w:tcPr>
                <w:p>
                  <w:pPr>
                    <w:pStyle w:val="62"/>
                    <w:spacing w:line="240" w:lineRule="auto"/>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COD</w:t>
                  </w:r>
                  <w:r>
                    <w:rPr>
                      <w:rFonts w:hint="default" w:ascii="Times New Roman" w:hAnsi="Times New Roman" w:cs="Times New Roman"/>
                      <w:b/>
                      <w:bCs/>
                      <w:color w:val="auto"/>
                      <w:sz w:val="21"/>
                      <w:szCs w:val="21"/>
                      <w:u w:val="none"/>
                      <w:vertAlign w:val="subscript"/>
                    </w:rPr>
                    <w:t>Mn</w:t>
                  </w:r>
                </w:p>
              </w:tc>
              <w:tc>
                <w:tcPr>
                  <w:tcW w:w="1143" w:type="dxa"/>
                  <w:tcBorders>
                    <w:tl2br w:val="nil"/>
                    <w:tr2bl w:val="nil"/>
                  </w:tcBorders>
                  <w:shd w:val="clear" w:color="auto" w:fill="F1F1F1"/>
                  <w:noWrap w:val="0"/>
                  <w:vAlign w:val="center"/>
                </w:tcPr>
                <w:p>
                  <w:pPr>
                    <w:pStyle w:val="62"/>
                    <w:spacing w:line="240" w:lineRule="auto"/>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BOD</w:t>
                  </w:r>
                  <w:r>
                    <w:rPr>
                      <w:rFonts w:hint="default" w:ascii="Times New Roman" w:hAnsi="Times New Roman" w:cs="Times New Roman"/>
                      <w:b/>
                      <w:bCs/>
                      <w:color w:val="auto"/>
                      <w:sz w:val="21"/>
                      <w:szCs w:val="21"/>
                      <w:u w:val="none"/>
                      <w:vertAlign w:val="subscript"/>
                    </w:rPr>
                    <w:t>5</w:t>
                  </w:r>
                </w:p>
              </w:tc>
              <w:tc>
                <w:tcPr>
                  <w:tcW w:w="1144" w:type="dxa"/>
                  <w:tcBorders>
                    <w:tl2br w:val="nil"/>
                    <w:tr2bl w:val="nil"/>
                  </w:tcBorders>
                  <w:shd w:val="clear" w:color="auto" w:fill="F1F1F1"/>
                  <w:noWrap w:val="0"/>
                  <w:vAlign w:val="center"/>
                </w:tcPr>
                <w:p>
                  <w:pPr>
                    <w:pStyle w:val="62"/>
                    <w:spacing w:line="240" w:lineRule="auto"/>
                    <w:jc w:val="center"/>
                    <w:rPr>
                      <w:rFonts w:hint="default" w:ascii="Times New Roman" w:hAnsi="Times New Roman" w:eastAsia="宋体" w:cs="Times New Roman"/>
                      <w:b/>
                      <w:bCs/>
                      <w:color w:val="auto"/>
                      <w:sz w:val="21"/>
                      <w:szCs w:val="21"/>
                      <w:u w:val="none"/>
                      <w:lang w:val="en-US" w:eastAsia="zh-CN"/>
                    </w:rPr>
                  </w:pPr>
                  <w:r>
                    <w:rPr>
                      <w:rFonts w:hint="eastAsia" w:ascii="Times New Roman" w:hAnsi="Times New Roman" w:cs="Times New Roman"/>
                      <w:b/>
                      <w:bCs/>
                      <w:color w:val="auto"/>
                      <w:sz w:val="21"/>
                      <w:szCs w:val="21"/>
                      <w:u w:val="none"/>
                      <w:lang w:val="en-US" w:eastAsia="zh-CN"/>
                    </w:rPr>
                    <w:t>NH</w:t>
                  </w:r>
                  <w:r>
                    <w:rPr>
                      <w:rFonts w:hint="eastAsia" w:ascii="Times New Roman" w:hAnsi="Times New Roman" w:cs="Times New Roman"/>
                      <w:b/>
                      <w:bCs/>
                      <w:color w:val="auto"/>
                      <w:sz w:val="21"/>
                      <w:szCs w:val="21"/>
                      <w:u w:val="none"/>
                      <w:vertAlign w:val="subscript"/>
                      <w:lang w:val="en-US" w:eastAsia="zh-CN"/>
                    </w:rPr>
                    <w:t>3</w:t>
                  </w:r>
                  <w:r>
                    <w:rPr>
                      <w:rFonts w:hint="eastAsia" w:ascii="Times New Roman" w:hAnsi="Times New Roman" w:cs="Times New Roman"/>
                      <w:b/>
                      <w:bCs/>
                      <w:color w:val="auto"/>
                      <w:sz w:val="21"/>
                      <w:szCs w:val="21"/>
                      <w:u w:val="none"/>
                      <w:lang w:val="en-US" w:eastAsia="zh-CN"/>
                    </w:rPr>
                    <w:t>-N</w:t>
                  </w:r>
                </w:p>
              </w:tc>
              <w:tc>
                <w:tcPr>
                  <w:tcW w:w="1144" w:type="dxa"/>
                  <w:tcBorders>
                    <w:tl2br w:val="nil"/>
                    <w:tr2bl w:val="nil"/>
                  </w:tcBorders>
                  <w:shd w:val="clear" w:color="auto" w:fill="F1F1F1"/>
                  <w:noWrap w:val="0"/>
                  <w:vAlign w:val="center"/>
                </w:tcPr>
                <w:p>
                  <w:pPr>
                    <w:pStyle w:val="62"/>
                    <w:spacing w:line="240" w:lineRule="auto"/>
                    <w:jc w:val="center"/>
                    <w:rPr>
                      <w:rFonts w:hint="default" w:ascii="Times New Roman" w:hAnsi="Times New Roman" w:cs="Times New Roman"/>
                      <w:b/>
                      <w:bCs/>
                      <w:color w:val="auto"/>
                      <w:sz w:val="21"/>
                      <w:szCs w:val="21"/>
                      <w:u w:val="none"/>
                      <w:lang w:val="en-US" w:eastAsia="zh-CN"/>
                    </w:rPr>
                  </w:pPr>
                  <w:r>
                    <w:rPr>
                      <w:rFonts w:hint="eastAsia" w:cs="Times New Roman"/>
                      <w:b/>
                      <w:bCs/>
                      <w:color w:val="auto"/>
                      <w:sz w:val="21"/>
                      <w:szCs w:val="21"/>
                      <w:u w:val="none"/>
                      <w:lang w:val="en-US" w:eastAsia="zh-CN"/>
                    </w:rPr>
                    <w:t>TP</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800" w:type="dxa"/>
                  <w:gridSpan w:val="5"/>
                  <w:tcBorders>
                    <w:tl2br w:val="nil"/>
                    <w:tr2bl w:val="nil"/>
                  </w:tcBorders>
                  <w:noWrap w:val="0"/>
                  <w:vAlign w:val="center"/>
                </w:tcPr>
                <w:p>
                  <w:pPr>
                    <w:pStyle w:val="62"/>
                    <w:spacing w:line="240" w:lineRule="auto"/>
                    <w:jc w:val="both"/>
                    <w:rPr>
                      <w:rFonts w:hint="default" w:ascii="Times New Roman" w:hAnsi="Times New Roman" w:cs="Times New Roman"/>
                      <w:color w:val="auto"/>
                      <w:sz w:val="21"/>
                      <w:szCs w:val="21"/>
                      <w:u w:val="none"/>
                    </w:rPr>
                  </w:pPr>
                  <w:r>
                    <w:rPr>
                      <w:rFonts w:hint="eastAsia" w:ascii="Times New Roman" w:hAnsi="Times New Roman" w:eastAsia="宋体" w:cs="Times New Roman"/>
                      <w:color w:val="auto"/>
                      <w:kern w:val="2"/>
                      <w:sz w:val="21"/>
                      <w:szCs w:val="21"/>
                      <w:lang w:val="en-US" w:eastAsia="zh-CN" w:bidi="ar-SA"/>
                    </w:rPr>
                    <w:t>依据：</w:t>
                  </w:r>
                  <w:r>
                    <w:rPr>
                      <w:rFonts w:hint="eastAsia" w:cs="Times New Roman"/>
                      <w:color w:val="auto"/>
                      <w:kern w:val="2"/>
                      <w:sz w:val="21"/>
                      <w:szCs w:val="21"/>
                      <w:lang w:val="en-US" w:eastAsia="zh-CN" w:bidi="ar-SA"/>
                    </w:rPr>
                    <w:t>华容县团洲乡团洲新村污水处理厂进水水质标准</w:t>
                  </w:r>
                </w:p>
              </w:tc>
              <w:tc>
                <w:tcPr>
                  <w:tcW w:w="1144" w:type="dxa"/>
                  <w:tcBorders>
                    <w:tl2br w:val="nil"/>
                    <w:tr2bl w:val="nil"/>
                  </w:tcBorders>
                  <w:noWrap w:val="0"/>
                  <w:vAlign w:val="center"/>
                </w:tcPr>
                <w:p>
                  <w:pPr>
                    <w:pStyle w:val="62"/>
                    <w:spacing w:line="240" w:lineRule="auto"/>
                    <w:jc w:val="center"/>
                    <w:rPr>
                      <w:rFonts w:hint="default" w:ascii="Times New Roman" w:hAnsi="Times New Roman" w:eastAsia="Times New Roman" w:cs="Times New Roman"/>
                      <w:color w:val="auto"/>
                      <w:sz w:val="21"/>
                      <w:u w:val="none"/>
                    </w:rPr>
                  </w:pPr>
                </w:p>
              </w:tc>
              <w:tc>
                <w:tcPr>
                  <w:tcW w:w="1144" w:type="dxa"/>
                  <w:tcBorders>
                    <w:tl2br w:val="nil"/>
                    <w:tr2bl w:val="nil"/>
                  </w:tcBorders>
                  <w:noWrap w:val="0"/>
                  <w:vAlign w:val="center"/>
                </w:tcPr>
                <w:p>
                  <w:pPr>
                    <w:pStyle w:val="62"/>
                    <w:spacing w:line="240" w:lineRule="auto"/>
                    <w:jc w:val="center"/>
                    <w:rPr>
                      <w:rFonts w:hint="default" w:ascii="Times New Roman" w:hAnsi="Times New Roman" w:eastAsia="Times New Roman" w:cs="Times New Roman"/>
                      <w:color w:val="auto"/>
                      <w:sz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634" w:type="dxa"/>
                  <w:tcBorders>
                    <w:tl2br w:val="nil"/>
                    <w:tr2bl w:val="nil"/>
                  </w:tcBorders>
                  <w:noWrap w:val="0"/>
                  <w:vAlign w:val="center"/>
                </w:tcPr>
                <w:p>
                  <w:pPr>
                    <w:pStyle w:val="49"/>
                    <w:spacing w:line="248" w:lineRule="exact"/>
                    <w:ind w:left="460" w:right="456"/>
                    <w:jc w:val="center"/>
                    <w:rPr>
                      <w:rFonts w:hint="default" w:ascii="Times New Roman" w:hAnsi="Times New Roman" w:eastAsia="Times New Roman" w:cs="Times New Roman"/>
                      <w:color w:val="auto"/>
                      <w:sz w:val="21"/>
                      <w:u w:val="none"/>
                    </w:rPr>
                  </w:pPr>
                </w:p>
              </w:tc>
              <w:tc>
                <w:tcPr>
                  <w:tcW w:w="850" w:type="dxa"/>
                  <w:tcBorders>
                    <w:tl2br w:val="nil"/>
                    <w:tr2bl w:val="nil"/>
                  </w:tcBorders>
                  <w:noWrap w:val="0"/>
                  <w:vAlign w:val="center"/>
                </w:tcPr>
                <w:p>
                  <w:pPr>
                    <w:pStyle w:val="62"/>
                    <w:spacing w:line="240" w:lineRule="auto"/>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6~9</w:t>
                  </w:r>
                </w:p>
              </w:tc>
              <w:tc>
                <w:tcPr>
                  <w:tcW w:w="835" w:type="dxa"/>
                  <w:tcBorders>
                    <w:tl2br w:val="nil"/>
                    <w:tr2bl w:val="nil"/>
                  </w:tcBorders>
                  <w:noWrap w:val="0"/>
                  <w:vAlign w:val="center"/>
                </w:tcPr>
                <w:p>
                  <w:pPr>
                    <w:pStyle w:val="62"/>
                    <w:spacing w:line="240" w:lineRule="auto"/>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150</w:t>
                  </w:r>
                </w:p>
              </w:tc>
              <w:tc>
                <w:tcPr>
                  <w:tcW w:w="1338" w:type="dxa"/>
                  <w:tcBorders>
                    <w:tl2br w:val="nil"/>
                    <w:tr2bl w:val="nil"/>
                  </w:tcBorders>
                  <w:noWrap w:val="0"/>
                  <w:vAlign w:val="center"/>
                </w:tcPr>
                <w:p>
                  <w:pPr>
                    <w:pStyle w:val="62"/>
                    <w:spacing w:line="240" w:lineRule="auto"/>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350</w:t>
                  </w:r>
                </w:p>
              </w:tc>
              <w:tc>
                <w:tcPr>
                  <w:tcW w:w="1143" w:type="dxa"/>
                  <w:tcBorders>
                    <w:tl2br w:val="nil"/>
                    <w:tr2bl w:val="nil"/>
                  </w:tcBorders>
                  <w:noWrap w:val="0"/>
                  <w:vAlign w:val="center"/>
                </w:tcPr>
                <w:p>
                  <w:pPr>
                    <w:pStyle w:val="62"/>
                    <w:spacing w:line="240" w:lineRule="auto"/>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180</w:t>
                  </w:r>
                </w:p>
              </w:tc>
              <w:tc>
                <w:tcPr>
                  <w:tcW w:w="1144" w:type="dxa"/>
                  <w:tcBorders>
                    <w:tl2br w:val="nil"/>
                    <w:tr2bl w:val="nil"/>
                  </w:tcBorders>
                  <w:noWrap w:val="0"/>
                  <w:vAlign w:val="center"/>
                </w:tcPr>
                <w:p>
                  <w:pPr>
                    <w:pStyle w:val="62"/>
                    <w:spacing w:line="240" w:lineRule="auto"/>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30</w:t>
                  </w:r>
                </w:p>
              </w:tc>
              <w:tc>
                <w:tcPr>
                  <w:tcW w:w="1144" w:type="dxa"/>
                  <w:tcBorders>
                    <w:tl2br w:val="nil"/>
                    <w:tr2bl w:val="nil"/>
                  </w:tcBorders>
                  <w:noWrap w:val="0"/>
                  <w:vAlign w:val="center"/>
                </w:tcPr>
                <w:p>
                  <w:pPr>
                    <w:pStyle w:val="62"/>
                    <w:spacing w:line="240" w:lineRule="auto"/>
                    <w:jc w:val="center"/>
                    <w:rPr>
                      <w:rFonts w:hint="default" w:cs="Times New Roman"/>
                      <w:color w:val="auto"/>
                      <w:sz w:val="21"/>
                      <w:szCs w:val="21"/>
                      <w:u w:val="none"/>
                      <w:lang w:val="en-US" w:eastAsia="zh-CN"/>
                    </w:rPr>
                  </w:pPr>
                  <w:r>
                    <w:rPr>
                      <w:rFonts w:hint="eastAsia" w:cs="Times New Roman"/>
                      <w:color w:val="auto"/>
                      <w:sz w:val="21"/>
                      <w:szCs w:val="21"/>
                      <w:u w:val="none"/>
                      <w:lang w:val="en-US" w:eastAsia="zh-CN"/>
                    </w:rPr>
                    <w:t>6</w:t>
                  </w:r>
                </w:p>
              </w:tc>
            </w:tr>
          </w:tbl>
          <w:p>
            <w:pPr>
              <w:pStyle w:val="63"/>
              <w:spacing w:before="165" w:beforeLines="50"/>
              <w:ind w:firstLine="422"/>
              <w:rPr>
                <w:rFonts w:hint="default" w:ascii="Times New Roman" w:hAnsi="Times New Roman" w:eastAsia="宋体" w:cs="Times New Roman"/>
                <w:b/>
                <w:color w:val="auto"/>
                <w:kern w:val="2"/>
                <w:sz w:val="24"/>
                <w:szCs w:val="24"/>
                <w:highlight w:val="none"/>
                <w:lang w:val="en-US" w:eastAsia="zh-CN" w:bidi="ar-SA"/>
              </w:rPr>
            </w:pPr>
            <w:bookmarkStart w:id="14" w:name="_Toc535510061"/>
            <w:r>
              <w:rPr>
                <w:rFonts w:hint="default" w:ascii="Times New Roman" w:hAnsi="Times New Roman" w:eastAsia="宋体" w:cs="Times New Roman"/>
                <w:b/>
                <w:color w:val="auto"/>
                <w:kern w:val="2"/>
                <w:sz w:val="24"/>
                <w:szCs w:val="24"/>
                <w:highlight w:val="none"/>
                <w:lang w:val="en-US" w:eastAsia="zh-CN" w:bidi="ar-SA"/>
              </w:rPr>
              <w:t>表</w:t>
            </w:r>
            <w:r>
              <w:rPr>
                <w:rFonts w:hint="eastAsia" w:ascii="Times New Roman" w:hAnsi="Times New Roman" w:eastAsia="宋体" w:cs="Times New Roman"/>
                <w:b/>
                <w:color w:val="auto"/>
                <w:kern w:val="2"/>
                <w:sz w:val="24"/>
                <w:szCs w:val="24"/>
                <w:highlight w:val="none"/>
                <w:lang w:val="en-US" w:eastAsia="zh-CN" w:bidi="ar-SA"/>
              </w:rPr>
              <w:t>3-9</w:t>
            </w:r>
            <w:r>
              <w:rPr>
                <w:rFonts w:hint="default" w:ascii="Times New Roman" w:hAnsi="Times New Roman" w:eastAsia="宋体" w:cs="Times New Roman"/>
                <w:b/>
                <w:color w:val="auto"/>
                <w:kern w:val="2"/>
                <w:sz w:val="24"/>
                <w:szCs w:val="24"/>
                <w:highlight w:val="none"/>
                <w:lang w:val="en-US" w:eastAsia="zh-CN" w:bidi="ar-SA"/>
              </w:rPr>
              <w:t xml:space="preserve">  城镇污水处理厂污染物排放标准（GB18918-2002）  单位： mg/L</w:t>
            </w:r>
            <w:bookmarkEnd w:id="14"/>
          </w:p>
          <w:tbl>
            <w:tblPr>
              <w:tblStyle w:val="22"/>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64"/>
              <w:gridCol w:w="3149"/>
              <w:gridCol w:w="394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17" w:type="dxa"/>
                  <w:shd w:val="clear" w:color="auto" w:fill="F1F1F1"/>
                  <w:noWrap w:val="0"/>
                  <w:vAlign w:val="center"/>
                </w:tcPr>
                <w:p>
                  <w:pPr>
                    <w:pStyle w:val="54"/>
                    <w:rPr>
                      <w:b/>
                      <w:bCs/>
                      <w:color w:val="auto"/>
                    </w:rPr>
                  </w:pPr>
                  <w:r>
                    <w:rPr>
                      <w:b/>
                      <w:bCs/>
                      <w:color w:val="auto"/>
                    </w:rPr>
                    <w:t>序号</w:t>
                  </w:r>
                </w:p>
              </w:tc>
              <w:tc>
                <w:tcPr>
                  <w:tcW w:w="3650" w:type="dxa"/>
                  <w:shd w:val="clear" w:color="auto" w:fill="F1F1F1"/>
                  <w:noWrap w:val="0"/>
                  <w:vAlign w:val="center"/>
                </w:tcPr>
                <w:p>
                  <w:pPr>
                    <w:pStyle w:val="54"/>
                    <w:rPr>
                      <w:b/>
                      <w:bCs/>
                      <w:color w:val="auto"/>
                    </w:rPr>
                  </w:pPr>
                  <w:r>
                    <w:rPr>
                      <w:b/>
                      <w:bCs/>
                      <w:color w:val="auto"/>
                    </w:rPr>
                    <w:t>污染物项目</w:t>
                  </w:r>
                </w:p>
              </w:tc>
              <w:tc>
                <w:tcPr>
                  <w:tcW w:w="4576" w:type="dxa"/>
                  <w:shd w:val="clear" w:color="auto" w:fill="F1F1F1"/>
                  <w:noWrap w:val="0"/>
                  <w:vAlign w:val="center"/>
                </w:tcPr>
                <w:p>
                  <w:pPr>
                    <w:pStyle w:val="54"/>
                    <w:rPr>
                      <w:b/>
                      <w:bCs/>
                      <w:color w:val="auto"/>
                    </w:rPr>
                  </w:pPr>
                  <w:r>
                    <w:rPr>
                      <w:b/>
                      <w:bCs/>
                      <w:color w:val="auto"/>
                    </w:rPr>
                    <w:t>污水处理厂排放标准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17" w:type="dxa"/>
                  <w:noWrap w:val="0"/>
                  <w:vAlign w:val="center"/>
                </w:tcPr>
                <w:p>
                  <w:pPr>
                    <w:pStyle w:val="54"/>
                    <w:rPr>
                      <w:color w:val="auto"/>
                    </w:rPr>
                  </w:pPr>
                  <w:r>
                    <w:rPr>
                      <w:color w:val="auto"/>
                    </w:rPr>
                    <w:t>1</w:t>
                  </w:r>
                </w:p>
              </w:tc>
              <w:tc>
                <w:tcPr>
                  <w:tcW w:w="3650" w:type="dxa"/>
                  <w:noWrap w:val="0"/>
                  <w:vAlign w:val="center"/>
                </w:tcPr>
                <w:p>
                  <w:pPr>
                    <w:pStyle w:val="54"/>
                    <w:rPr>
                      <w:rFonts w:hint="eastAsia"/>
                      <w:color w:val="auto"/>
                    </w:rPr>
                  </w:pPr>
                  <w:r>
                    <w:rPr>
                      <w:rFonts w:hint="eastAsia"/>
                      <w:color w:val="auto"/>
                    </w:rPr>
                    <w:t>PH</w:t>
                  </w:r>
                </w:p>
              </w:tc>
              <w:tc>
                <w:tcPr>
                  <w:tcW w:w="4576" w:type="dxa"/>
                  <w:noWrap w:val="0"/>
                  <w:vAlign w:val="center"/>
                </w:tcPr>
                <w:p>
                  <w:pPr>
                    <w:pStyle w:val="54"/>
                    <w:rPr>
                      <w:color w:val="auto"/>
                    </w:rPr>
                  </w:pPr>
                  <w:r>
                    <w:rPr>
                      <w:color w:val="auto"/>
                    </w:rPr>
                    <w:t>6～9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17" w:type="dxa"/>
                  <w:noWrap w:val="0"/>
                  <w:vAlign w:val="center"/>
                </w:tcPr>
                <w:p>
                  <w:pPr>
                    <w:pStyle w:val="54"/>
                    <w:rPr>
                      <w:rFonts w:hint="eastAsia"/>
                      <w:color w:val="auto"/>
                    </w:rPr>
                  </w:pPr>
                  <w:r>
                    <w:rPr>
                      <w:rFonts w:hint="eastAsia"/>
                      <w:color w:val="auto"/>
                    </w:rPr>
                    <w:t>2</w:t>
                  </w:r>
                </w:p>
              </w:tc>
              <w:tc>
                <w:tcPr>
                  <w:tcW w:w="3650" w:type="dxa"/>
                  <w:noWrap w:val="0"/>
                  <w:vAlign w:val="center"/>
                </w:tcPr>
                <w:p>
                  <w:pPr>
                    <w:pStyle w:val="54"/>
                    <w:rPr>
                      <w:color w:val="auto"/>
                    </w:rPr>
                  </w:pPr>
                  <w:r>
                    <w:rPr>
                      <w:color w:val="auto"/>
                    </w:rPr>
                    <w:t>化学需氧量≤</w:t>
                  </w:r>
                </w:p>
              </w:tc>
              <w:tc>
                <w:tcPr>
                  <w:tcW w:w="4576" w:type="dxa"/>
                  <w:noWrap w:val="0"/>
                  <w:vAlign w:val="center"/>
                </w:tcPr>
                <w:p>
                  <w:pPr>
                    <w:pStyle w:val="54"/>
                    <w:rPr>
                      <w:color w:val="auto"/>
                    </w:rPr>
                  </w:pPr>
                  <w:r>
                    <w:rPr>
                      <w:color w:val="auto"/>
                    </w:rPr>
                    <w:t>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17" w:type="dxa"/>
                  <w:noWrap w:val="0"/>
                  <w:vAlign w:val="center"/>
                </w:tcPr>
                <w:p>
                  <w:pPr>
                    <w:pStyle w:val="54"/>
                    <w:rPr>
                      <w:rFonts w:hint="eastAsia"/>
                      <w:color w:val="auto"/>
                    </w:rPr>
                  </w:pPr>
                  <w:r>
                    <w:rPr>
                      <w:rFonts w:hint="eastAsia"/>
                      <w:color w:val="auto"/>
                    </w:rPr>
                    <w:t>3</w:t>
                  </w:r>
                </w:p>
              </w:tc>
              <w:tc>
                <w:tcPr>
                  <w:tcW w:w="3650" w:type="dxa"/>
                  <w:noWrap w:val="0"/>
                  <w:vAlign w:val="center"/>
                </w:tcPr>
                <w:p>
                  <w:pPr>
                    <w:pStyle w:val="54"/>
                    <w:rPr>
                      <w:color w:val="auto"/>
                    </w:rPr>
                  </w:pPr>
                  <w:r>
                    <w:rPr>
                      <w:color w:val="auto"/>
                    </w:rPr>
                    <w:t>五日生化需氧量≤</w:t>
                  </w:r>
                </w:p>
              </w:tc>
              <w:tc>
                <w:tcPr>
                  <w:tcW w:w="4576" w:type="dxa"/>
                  <w:noWrap w:val="0"/>
                  <w:vAlign w:val="center"/>
                </w:tcPr>
                <w:p>
                  <w:pPr>
                    <w:pStyle w:val="54"/>
                    <w:rPr>
                      <w:color w:val="auto"/>
                    </w:rPr>
                  </w:pPr>
                  <w:r>
                    <w:rPr>
                      <w:color w:val="auto"/>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17" w:type="dxa"/>
                  <w:noWrap w:val="0"/>
                  <w:vAlign w:val="center"/>
                </w:tcPr>
                <w:p>
                  <w:pPr>
                    <w:pStyle w:val="54"/>
                    <w:rPr>
                      <w:rFonts w:hint="eastAsia"/>
                      <w:color w:val="auto"/>
                    </w:rPr>
                  </w:pPr>
                  <w:r>
                    <w:rPr>
                      <w:rFonts w:hint="eastAsia"/>
                      <w:color w:val="auto"/>
                    </w:rPr>
                    <w:t>4</w:t>
                  </w:r>
                </w:p>
              </w:tc>
              <w:tc>
                <w:tcPr>
                  <w:tcW w:w="3650" w:type="dxa"/>
                  <w:noWrap w:val="0"/>
                  <w:vAlign w:val="center"/>
                </w:tcPr>
                <w:p>
                  <w:pPr>
                    <w:pStyle w:val="54"/>
                    <w:rPr>
                      <w:color w:val="auto"/>
                    </w:rPr>
                  </w:pPr>
                  <w:r>
                    <w:rPr>
                      <w:color w:val="auto"/>
                    </w:rPr>
                    <w:t>悬浮物≤</w:t>
                  </w:r>
                </w:p>
              </w:tc>
              <w:tc>
                <w:tcPr>
                  <w:tcW w:w="4576" w:type="dxa"/>
                  <w:noWrap w:val="0"/>
                  <w:vAlign w:val="center"/>
                </w:tcPr>
                <w:p>
                  <w:pPr>
                    <w:pStyle w:val="54"/>
                    <w:rPr>
                      <w:color w:val="auto"/>
                    </w:rPr>
                  </w:pPr>
                  <w:r>
                    <w:rPr>
                      <w:color w:val="auto"/>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jc w:val="center"/>
              </w:trPr>
              <w:tc>
                <w:tcPr>
                  <w:tcW w:w="1117" w:type="dxa"/>
                  <w:noWrap w:val="0"/>
                  <w:vAlign w:val="center"/>
                </w:tcPr>
                <w:p>
                  <w:pPr>
                    <w:pStyle w:val="54"/>
                    <w:rPr>
                      <w:color w:val="auto"/>
                    </w:rPr>
                  </w:pPr>
                  <w:r>
                    <w:rPr>
                      <w:color w:val="auto"/>
                    </w:rPr>
                    <w:t>5</w:t>
                  </w:r>
                </w:p>
              </w:tc>
              <w:tc>
                <w:tcPr>
                  <w:tcW w:w="3650" w:type="dxa"/>
                  <w:noWrap w:val="0"/>
                  <w:vAlign w:val="center"/>
                </w:tcPr>
                <w:p>
                  <w:pPr>
                    <w:pStyle w:val="54"/>
                    <w:rPr>
                      <w:color w:val="auto"/>
                    </w:rPr>
                  </w:pPr>
                  <w:r>
                    <w:rPr>
                      <w:color w:val="auto"/>
                    </w:rPr>
                    <w:t>氨氮≤</w:t>
                  </w:r>
                </w:p>
              </w:tc>
              <w:tc>
                <w:tcPr>
                  <w:tcW w:w="4576" w:type="dxa"/>
                  <w:noWrap w:val="0"/>
                  <w:vAlign w:val="center"/>
                </w:tcPr>
                <w:p>
                  <w:pPr>
                    <w:pStyle w:val="54"/>
                    <w:rPr>
                      <w:color w:val="auto"/>
                    </w:rPr>
                  </w:pPr>
                  <w:r>
                    <w:rPr>
                      <w:color w:val="auto"/>
                    </w:rPr>
                    <w:t>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jc w:val="center"/>
              </w:trPr>
              <w:tc>
                <w:tcPr>
                  <w:tcW w:w="1117" w:type="dxa"/>
                  <w:noWrap w:val="0"/>
                  <w:vAlign w:val="center"/>
                </w:tcPr>
                <w:p>
                  <w:pPr>
                    <w:pStyle w:val="54"/>
                    <w:rPr>
                      <w:rFonts w:hint="eastAsia" w:eastAsia="宋体"/>
                      <w:color w:val="auto"/>
                      <w:lang w:val="en-US" w:eastAsia="zh-CN"/>
                    </w:rPr>
                  </w:pPr>
                  <w:r>
                    <w:rPr>
                      <w:rFonts w:hint="eastAsia"/>
                      <w:color w:val="auto"/>
                      <w:lang w:val="en-US" w:eastAsia="zh-CN"/>
                    </w:rPr>
                    <w:t>6</w:t>
                  </w:r>
                </w:p>
              </w:tc>
              <w:tc>
                <w:tcPr>
                  <w:tcW w:w="3650" w:type="dxa"/>
                  <w:noWrap w:val="0"/>
                  <w:vAlign w:val="center"/>
                </w:tcPr>
                <w:p>
                  <w:pPr>
                    <w:pStyle w:val="54"/>
                    <w:rPr>
                      <w:rFonts w:hint="eastAsia" w:eastAsia="宋体"/>
                      <w:color w:val="auto"/>
                      <w:lang w:val="en-US" w:eastAsia="zh-CN"/>
                    </w:rPr>
                  </w:pPr>
                  <w:r>
                    <w:rPr>
                      <w:rFonts w:hint="eastAsia"/>
                      <w:color w:val="auto"/>
                      <w:lang w:val="en-US" w:eastAsia="zh-CN"/>
                    </w:rPr>
                    <w:t>总磷</w:t>
                  </w:r>
                  <w:r>
                    <w:rPr>
                      <w:color w:val="auto"/>
                    </w:rPr>
                    <w:t>≤</w:t>
                  </w:r>
                </w:p>
              </w:tc>
              <w:tc>
                <w:tcPr>
                  <w:tcW w:w="4576" w:type="dxa"/>
                  <w:noWrap w:val="0"/>
                  <w:vAlign w:val="center"/>
                </w:tcPr>
                <w:p>
                  <w:pPr>
                    <w:pStyle w:val="54"/>
                    <w:rPr>
                      <w:rFonts w:hint="default" w:eastAsia="宋体"/>
                      <w:color w:val="auto"/>
                      <w:lang w:val="en-US" w:eastAsia="zh-CN"/>
                    </w:rPr>
                  </w:pPr>
                  <w:r>
                    <w:rPr>
                      <w:rFonts w:hint="eastAsia"/>
                      <w:color w:val="auto"/>
                      <w:lang w:val="en-US" w:eastAsia="zh-CN"/>
                    </w:rPr>
                    <w:t>0.5</w:t>
                  </w:r>
                </w:p>
              </w:tc>
            </w:tr>
          </w:tbl>
          <w:p>
            <w:pPr>
              <w:pStyle w:val="9"/>
              <w:keepNext w:val="0"/>
              <w:keepLines w:val="0"/>
              <w:pageBreakBefore w:val="0"/>
              <w:widowControl w:val="0"/>
              <w:kinsoku/>
              <w:wordWrap/>
              <w:overflowPunct/>
              <w:topLinePunct w:val="0"/>
              <w:autoSpaceDE/>
              <w:autoSpaceDN/>
              <w:bidi w:val="0"/>
              <w:adjustRightInd w:val="0"/>
              <w:snapToGrid w:val="0"/>
              <w:spacing w:before="157" w:beforeLines="50"/>
              <w:ind w:left="0" w:leftChars="0" w:firstLine="0" w:firstLineChars="0"/>
              <w:jc w:val="both"/>
              <w:textAlignment w:val="auto"/>
              <w:rPr>
                <w:b/>
                <w:color w:val="auto"/>
                <w:sz w:val="24"/>
              </w:rPr>
            </w:pPr>
            <w:r>
              <w:rPr>
                <w:b/>
                <w:color w:val="auto"/>
                <w:sz w:val="24"/>
              </w:rPr>
              <w:t>3、噪声</w:t>
            </w:r>
          </w:p>
          <w:p>
            <w:pPr>
              <w:spacing w:line="360" w:lineRule="auto"/>
              <w:ind w:firstLine="480" w:firstLineChars="200"/>
              <w:rPr>
                <w:rFonts w:hint="eastAsia"/>
                <w:color w:val="auto"/>
                <w:sz w:val="24"/>
              </w:rPr>
            </w:pPr>
            <w:r>
              <w:rPr>
                <w:rFonts w:hint="eastAsia"/>
                <w:color w:val="auto"/>
                <w:sz w:val="24"/>
              </w:rPr>
              <w:t>营运期厂界噪声执行《工业企业厂界环境噪声排放标准》（GB12348-2008）中</w:t>
            </w:r>
            <w:r>
              <w:rPr>
                <w:rFonts w:hint="eastAsia"/>
                <w:color w:val="auto"/>
                <w:sz w:val="24"/>
                <w:lang w:val="en-US" w:eastAsia="zh-CN"/>
              </w:rPr>
              <w:t>2</w:t>
            </w:r>
            <w:r>
              <w:rPr>
                <w:rFonts w:hint="eastAsia"/>
                <w:color w:val="auto"/>
                <w:sz w:val="24"/>
              </w:rPr>
              <w:t>类标准。</w:t>
            </w:r>
          </w:p>
          <w:p>
            <w:pPr>
              <w:pStyle w:val="3"/>
              <w:spacing w:after="0"/>
              <w:jc w:val="center"/>
              <w:rPr>
                <w:rFonts w:hint="default" w:ascii="Times New Roman" w:hAnsi="Times New Roman" w:eastAsia="宋体" w:cs="Times New Roman"/>
                <w:b/>
                <w:color w:val="auto"/>
                <w:szCs w:val="21"/>
                <w:u w:val="none"/>
                <w:lang w:eastAsia="zh-CN"/>
              </w:rPr>
            </w:pPr>
            <w:bookmarkStart w:id="15" w:name="_Toc501572804"/>
            <w:bookmarkStart w:id="16" w:name="_Toc191884053"/>
            <w:r>
              <w:rPr>
                <w:rFonts w:hint="eastAsia" w:ascii="Times New Roman" w:hAnsi="Times New Roman" w:eastAsia="宋体" w:cs="Times New Roman"/>
                <w:b/>
                <w:color w:val="auto"/>
                <w:szCs w:val="21"/>
                <w:u w:val="none"/>
                <w:lang w:val="en-US" w:eastAsia="zh-CN"/>
              </w:rPr>
              <w:t>表3-</w:t>
            </w:r>
            <w:r>
              <w:rPr>
                <w:rFonts w:hint="eastAsia" w:cs="Times New Roman"/>
                <w:b/>
                <w:color w:val="auto"/>
                <w:szCs w:val="21"/>
                <w:u w:val="none"/>
                <w:lang w:val="en-US" w:eastAsia="zh-CN"/>
              </w:rPr>
              <w:t>10</w:t>
            </w:r>
            <w:r>
              <w:rPr>
                <w:rFonts w:hint="default" w:ascii="Times New Roman" w:hAnsi="Times New Roman" w:eastAsia="宋体" w:cs="Times New Roman"/>
                <w:b/>
                <w:color w:val="auto"/>
                <w:szCs w:val="21"/>
                <w:u w:val="none"/>
                <w:lang w:val="en-US" w:eastAsia="zh-CN"/>
              </w:rPr>
              <w:t xml:space="preserve">  </w:t>
            </w:r>
            <w:r>
              <w:rPr>
                <w:rFonts w:hint="default" w:ascii="Times New Roman" w:hAnsi="Times New Roman" w:eastAsia="宋体" w:cs="Times New Roman"/>
                <w:b/>
                <w:color w:val="auto"/>
                <w:szCs w:val="21"/>
                <w:u w:val="none"/>
              </w:rPr>
              <w:t>工业企业厂界环境噪声排放标准</w:t>
            </w:r>
            <w:r>
              <w:rPr>
                <w:rFonts w:hint="eastAsia" w:ascii="Times New Roman" w:hAnsi="Times New Roman" w:eastAsia="宋体" w:cs="Times New Roman"/>
                <w:b/>
                <w:color w:val="auto"/>
                <w:szCs w:val="21"/>
                <w:u w:val="none"/>
                <w:lang w:val="en-US" w:eastAsia="zh-CN"/>
              </w:rPr>
              <w:t>3</w:t>
            </w:r>
            <w:r>
              <w:rPr>
                <w:rFonts w:hint="default" w:ascii="Times New Roman" w:hAnsi="Times New Roman" w:eastAsia="宋体" w:cs="Times New Roman"/>
                <w:b/>
                <w:color w:val="auto"/>
                <w:szCs w:val="21"/>
                <w:u w:val="none"/>
              </w:rPr>
              <w:t>类标准</w:t>
            </w:r>
            <w:r>
              <w:rPr>
                <w:rFonts w:hint="default" w:ascii="Times New Roman" w:hAnsi="Times New Roman" w:eastAsia="宋体" w:cs="Times New Roman"/>
                <w:b/>
                <w:color w:val="auto"/>
                <w:szCs w:val="21"/>
                <w:u w:val="none"/>
                <w:lang w:val="en-US" w:eastAsia="zh-CN"/>
              </w:rPr>
              <w:t xml:space="preserve">  </w:t>
            </w:r>
            <w:r>
              <w:rPr>
                <w:rFonts w:hint="default" w:ascii="Times New Roman" w:hAnsi="Times New Roman" w:eastAsia="宋体" w:cs="Times New Roman"/>
                <w:b/>
                <w:color w:val="auto"/>
                <w:szCs w:val="21"/>
                <w:u w:val="none"/>
              </w:rPr>
              <w:t>单位：dB</w:t>
            </w:r>
            <w:r>
              <w:rPr>
                <w:rFonts w:hint="default" w:ascii="Times New Roman" w:hAnsi="Times New Roman" w:eastAsia="宋体" w:cs="Times New Roman"/>
                <w:b/>
                <w:color w:val="auto"/>
                <w:szCs w:val="21"/>
                <w:u w:val="none"/>
                <w:lang w:eastAsia="zh-CN"/>
              </w:rPr>
              <w:t>（</w:t>
            </w:r>
            <w:r>
              <w:rPr>
                <w:rFonts w:hint="default" w:ascii="Times New Roman" w:hAnsi="Times New Roman" w:eastAsia="宋体" w:cs="Times New Roman"/>
                <w:b/>
                <w:color w:val="auto"/>
                <w:szCs w:val="21"/>
                <w:u w:val="none"/>
              </w:rPr>
              <w:t>A</w:t>
            </w:r>
            <w:r>
              <w:rPr>
                <w:rFonts w:hint="default" w:ascii="Times New Roman" w:hAnsi="Times New Roman" w:eastAsia="宋体" w:cs="Times New Roman"/>
                <w:b/>
                <w:color w:val="auto"/>
                <w:szCs w:val="21"/>
                <w:u w:val="none"/>
                <w:lang w:eastAsia="zh-CN"/>
              </w:rPr>
              <w:t>）</w:t>
            </w:r>
          </w:p>
          <w:bookmarkEnd w:id="15"/>
          <w:bookmarkEnd w:id="16"/>
          <w:tbl>
            <w:tblPr>
              <w:tblStyle w:val="22"/>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47"/>
              <w:gridCol w:w="949"/>
              <w:gridCol w:w="2222"/>
              <w:gridCol w:w="39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8" w:type="pct"/>
                  <w:tcBorders>
                    <w:tl2br w:val="nil"/>
                    <w:tr2bl w:val="nil"/>
                  </w:tcBorders>
                  <w:noWrap w:val="0"/>
                  <w:vAlign w:val="center"/>
                </w:tcPr>
                <w:p>
                  <w:pPr>
                    <w:tabs>
                      <w:tab w:val="left" w:pos="1170"/>
                    </w:tabs>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时期</w:t>
                  </w:r>
                </w:p>
              </w:tc>
              <w:tc>
                <w:tcPr>
                  <w:tcW w:w="589" w:type="pct"/>
                  <w:tcBorders>
                    <w:tl2br w:val="nil"/>
                    <w:tr2bl w:val="nil"/>
                  </w:tcBorders>
                  <w:noWrap w:val="0"/>
                  <w:vAlign w:val="center"/>
                </w:tcPr>
                <w:p>
                  <w:pPr>
                    <w:tabs>
                      <w:tab w:val="left" w:pos="1170"/>
                    </w:tabs>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类别</w:t>
                  </w:r>
                </w:p>
              </w:tc>
              <w:tc>
                <w:tcPr>
                  <w:tcW w:w="1379" w:type="pct"/>
                  <w:tcBorders>
                    <w:tl2br w:val="nil"/>
                    <w:tr2bl w:val="nil"/>
                  </w:tcBorders>
                  <w:noWrap w:val="0"/>
                  <w:vAlign w:val="center"/>
                </w:tcPr>
                <w:p>
                  <w:pPr>
                    <w:tabs>
                      <w:tab w:val="left" w:pos="1170"/>
                    </w:tabs>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标准值</w:t>
                  </w:r>
                </w:p>
              </w:tc>
              <w:tc>
                <w:tcPr>
                  <w:tcW w:w="2442" w:type="pct"/>
                  <w:tcBorders>
                    <w:tl2br w:val="nil"/>
                    <w:tr2bl w:val="nil"/>
                  </w:tcBorders>
                  <w:noWrap w:val="0"/>
                  <w:vAlign w:val="center"/>
                </w:tcPr>
                <w:p>
                  <w:pPr>
                    <w:tabs>
                      <w:tab w:val="left" w:pos="1170"/>
                    </w:tabs>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8" w:type="pct"/>
                  <w:vMerge w:val="restart"/>
                  <w:tcBorders>
                    <w:tl2br w:val="nil"/>
                    <w:tr2bl w:val="nil"/>
                  </w:tcBorders>
                  <w:noWrap w:val="0"/>
                  <w:vAlign w:val="center"/>
                </w:tcPr>
                <w:p>
                  <w:pPr>
                    <w:tabs>
                      <w:tab w:val="left" w:pos="1170"/>
                    </w:tabs>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运营期</w:t>
                  </w:r>
                </w:p>
              </w:tc>
              <w:tc>
                <w:tcPr>
                  <w:tcW w:w="589" w:type="pct"/>
                  <w:vMerge w:val="restart"/>
                  <w:tcBorders>
                    <w:tl2br w:val="nil"/>
                    <w:tr2bl w:val="nil"/>
                  </w:tcBorders>
                  <w:noWrap w:val="0"/>
                  <w:vAlign w:val="center"/>
                </w:tcPr>
                <w:p>
                  <w:pPr>
                    <w:tabs>
                      <w:tab w:val="left" w:pos="1170"/>
                    </w:tabs>
                    <w:adjustRightInd w:val="0"/>
                    <w:snapToGrid w:val="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2</w:t>
                  </w:r>
                  <w:r>
                    <w:rPr>
                      <w:rFonts w:ascii="Times New Roman" w:hAnsi="Times New Roman" w:cs="Times New Roman"/>
                      <w:color w:val="auto"/>
                      <w:sz w:val="21"/>
                      <w:szCs w:val="21"/>
                    </w:rPr>
                    <w:t>类</w:t>
                  </w:r>
                </w:p>
              </w:tc>
              <w:tc>
                <w:tcPr>
                  <w:tcW w:w="1379" w:type="pct"/>
                  <w:tcBorders>
                    <w:tl2br w:val="nil"/>
                    <w:tr2bl w:val="nil"/>
                  </w:tcBorders>
                  <w:noWrap w:val="0"/>
                  <w:vAlign w:val="center"/>
                </w:tcPr>
                <w:p>
                  <w:pPr>
                    <w:tabs>
                      <w:tab w:val="left" w:pos="1170"/>
                    </w:tabs>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昼间≤6</w:t>
                  </w:r>
                  <w:r>
                    <w:rPr>
                      <w:rFonts w:hint="eastAsia" w:cs="Times New Roman"/>
                      <w:color w:val="auto"/>
                      <w:sz w:val="21"/>
                      <w:szCs w:val="21"/>
                      <w:lang w:val="en-US" w:eastAsia="zh-CN"/>
                    </w:rPr>
                    <w:t>0</w:t>
                  </w:r>
                  <w:r>
                    <w:rPr>
                      <w:rFonts w:ascii="Times New Roman" w:hAnsi="Times New Roman" w:cs="Times New Roman"/>
                      <w:color w:val="auto"/>
                      <w:sz w:val="21"/>
                      <w:szCs w:val="21"/>
                    </w:rPr>
                    <w:t>dB(A)</w:t>
                  </w:r>
                </w:p>
              </w:tc>
              <w:tc>
                <w:tcPr>
                  <w:tcW w:w="2442" w:type="pct"/>
                  <w:vMerge w:val="restart"/>
                  <w:tcBorders>
                    <w:tl2br w:val="nil"/>
                    <w:tr2bl w:val="nil"/>
                  </w:tcBorders>
                  <w:noWrap w:val="0"/>
                  <w:vAlign w:val="center"/>
                </w:tcPr>
                <w:p>
                  <w:pPr>
                    <w:tabs>
                      <w:tab w:val="left" w:pos="1170"/>
                    </w:tabs>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《工业企业厂界环境噪声排放标准》（GB12348-2008）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8" w:type="pct"/>
                  <w:vMerge w:val="continue"/>
                  <w:tcBorders>
                    <w:tl2br w:val="nil"/>
                    <w:tr2bl w:val="nil"/>
                  </w:tcBorders>
                  <w:noWrap w:val="0"/>
                  <w:vAlign w:val="center"/>
                </w:tcPr>
                <w:p>
                  <w:pPr>
                    <w:tabs>
                      <w:tab w:val="left" w:pos="1170"/>
                    </w:tabs>
                    <w:adjustRightInd w:val="0"/>
                    <w:snapToGrid w:val="0"/>
                    <w:jc w:val="center"/>
                    <w:rPr>
                      <w:rFonts w:ascii="Times New Roman" w:hAnsi="Times New Roman" w:cs="Times New Roman"/>
                      <w:color w:val="auto"/>
                      <w:sz w:val="21"/>
                      <w:szCs w:val="21"/>
                    </w:rPr>
                  </w:pPr>
                </w:p>
              </w:tc>
              <w:tc>
                <w:tcPr>
                  <w:tcW w:w="589" w:type="pct"/>
                  <w:vMerge w:val="continue"/>
                  <w:tcBorders>
                    <w:tl2br w:val="nil"/>
                    <w:tr2bl w:val="nil"/>
                  </w:tcBorders>
                  <w:noWrap w:val="0"/>
                  <w:vAlign w:val="center"/>
                </w:tcPr>
                <w:p>
                  <w:pPr>
                    <w:tabs>
                      <w:tab w:val="left" w:pos="1170"/>
                    </w:tabs>
                    <w:adjustRightInd w:val="0"/>
                    <w:snapToGrid w:val="0"/>
                    <w:jc w:val="center"/>
                    <w:rPr>
                      <w:rFonts w:ascii="Times New Roman" w:hAnsi="Times New Roman" w:cs="Times New Roman"/>
                      <w:color w:val="auto"/>
                      <w:sz w:val="21"/>
                      <w:szCs w:val="21"/>
                    </w:rPr>
                  </w:pPr>
                </w:p>
              </w:tc>
              <w:tc>
                <w:tcPr>
                  <w:tcW w:w="1379" w:type="pct"/>
                  <w:tcBorders>
                    <w:tl2br w:val="nil"/>
                    <w:tr2bl w:val="nil"/>
                  </w:tcBorders>
                  <w:noWrap w:val="0"/>
                  <w:vAlign w:val="center"/>
                </w:tcPr>
                <w:p>
                  <w:pPr>
                    <w:tabs>
                      <w:tab w:val="left" w:pos="1170"/>
                    </w:tabs>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夜间≤5</w:t>
                  </w:r>
                  <w:r>
                    <w:rPr>
                      <w:rFonts w:hint="eastAsia" w:cs="Times New Roman"/>
                      <w:color w:val="auto"/>
                      <w:sz w:val="21"/>
                      <w:szCs w:val="21"/>
                      <w:lang w:val="en-US" w:eastAsia="zh-CN"/>
                    </w:rPr>
                    <w:t>0</w:t>
                  </w:r>
                  <w:r>
                    <w:rPr>
                      <w:rFonts w:ascii="Times New Roman" w:hAnsi="Times New Roman" w:cs="Times New Roman"/>
                      <w:color w:val="auto"/>
                      <w:sz w:val="21"/>
                      <w:szCs w:val="21"/>
                    </w:rPr>
                    <w:t>dB(A)</w:t>
                  </w:r>
                </w:p>
              </w:tc>
              <w:tc>
                <w:tcPr>
                  <w:tcW w:w="2442" w:type="pct"/>
                  <w:vMerge w:val="continue"/>
                  <w:tcBorders>
                    <w:tl2br w:val="nil"/>
                    <w:tr2bl w:val="nil"/>
                  </w:tcBorders>
                  <w:noWrap w:val="0"/>
                  <w:vAlign w:val="center"/>
                </w:tcPr>
                <w:p>
                  <w:pPr>
                    <w:tabs>
                      <w:tab w:val="left" w:pos="1170"/>
                    </w:tabs>
                    <w:adjustRightInd w:val="0"/>
                    <w:snapToGrid w:val="0"/>
                    <w:jc w:val="center"/>
                    <w:rPr>
                      <w:rFonts w:ascii="Times New Roman" w:hAnsi="Times New Roman" w:cs="Times New Roman"/>
                      <w:color w:val="auto"/>
                      <w:sz w:val="21"/>
                      <w:szCs w:val="21"/>
                    </w:rPr>
                  </w:pPr>
                </w:p>
              </w:tc>
            </w:tr>
          </w:tbl>
          <w:p>
            <w:pPr>
              <w:keepNext w:val="0"/>
              <w:keepLines w:val="0"/>
              <w:pageBreakBefore w:val="0"/>
              <w:widowControl w:val="0"/>
              <w:kinsoku/>
              <w:wordWrap/>
              <w:overflowPunct/>
              <w:topLinePunct w:val="0"/>
              <w:autoSpaceDE/>
              <w:autoSpaceDN/>
              <w:bidi w:val="0"/>
              <w:adjustRightInd/>
              <w:snapToGrid/>
              <w:spacing w:before="157" w:beforeLines="50" w:line="360" w:lineRule="auto"/>
              <w:textAlignment w:val="auto"/>
              <w:rPr>
                <w:b/>
                <w:bCs/>
                <w:color w:val="auto"/>
                <w:sz w:val="24"/>
              </w:rPr>
            </w:pPr>
            <w:r>
              <w:rPr>
                <w:rFonts w:hint="eastAsia"/>
                <w:b/>
                <w:bCs/>
                <w:color w:val="auto"/>
                <w:sz w:val="24"/>
              </w:rPr>
              <w:t>4、固废</w:t>
            </w:r>
          </w:p>
          <w:p>
            <w:pPr>
              <w:spacing w:line="360" w:lineRule="auto"/>
              <w:ind w:firstLine="480" w:firstLineChars="200"/>
              <w:rPr>
                <w:rFonts w:cs="宋体"/>
                <w:color w:val="auto"/>
                <w:kern w:val="0"/>
                <w:sz w:val="24"/>
                <w:szCs w:val="21"/>
              </w:rPr>
            </w:pPr>
            <w:r>
              <w:rPr>
                <w:rFonts w:hint="eastAsia"/>
                <w:color w:val="auto"/>
                <w:sz w:val="24"/>
              </w:rPr>
              <w:t>一般工业固体废物执行《一般工业固体废物贮存和填埋污染控制标准》（GB18599-2020）；危险废物执行《危险物贮存污染控制标准》 （GB18597</w:t>
            </w:r>
            <w:r>
              <w:rPr>
                <w:rFonts w:hint="eastAsia"/>
                <w:color w:val="auto"/>
                <w:sz w:val="24"/>
                <w:lang w:val="en-US" w:eastAsia="zh-CN"/>
              </w:rPr>
              <w:t xml:space="preserve"> </w:t>
            </w:r>
            <w:r>
              <w:rPr>
                <w:rFonts w:hint="eastAsia"/>
                <w:color w:val="auto"/>
                <w:sz w:val="24"/>
              </w:rPr>
              <w:t>-20</w:t>
            </w:r>
            <w:r>
              <w:rPr>
                <w:rFonts w:hint="eastAsia"/>
                <w:color w:val="auto"/>
                <w:sz w:val="24"/>
                <w:lang w:val="en-US" w:eastAsia="zh-CN"/>
              </w:rPr>
              <w:t>23</w:t>
            </w:r>
            <w:r>
              <w:rPr>
                <w:rFonts w:hint="eastAsia"/>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3272" w:hRule="atLeast"/>
          <w:jc w:val="center"/>
        </w:trPr>
        <w:tc>
          <w:tcPr>
            <w:tcW w:w="800" w:type="dxa"/>
            <w:vAlign w:val="center"/>
          </w:tcPr>
          <w:p>
            <w:pPr>
              <w:adjustRightInd w:val="0"/>
              <w:snapToGrid w:val="0"/>
              <w:jc w:val="center"/>
              <w:rPr>
                <w:rFonts w:hint="eastAsia" w:eastAsia="宋体" w:cs="宋体"/>
                <w:color w:val="auto"/>
                <w:kern w:val="0"/>
                <w:sz w:val="24"/>
                <w:szCs w:val="21"/>
                <w:lang w:val="en-US" w:eastAsia="zh-CN"/>
              </w:rPr>
            </w:pPr>
            <w:r>
              <w:rPr>
                <w:rFonts w:hint="eastAsia" w:cs="宋体"/>
                <w:color w:val="auto"/>
                <w:kern w:val="0"/>
                <w:sz w:val="24"/>
                <w:szCs w:val="21"/>
                <w:lang w:val="en-US" w:eastAsia="zh-CN"/>
              </w:rPr>
              <w:t>其他</w:t>
            </w:r>
          </w:p>
        </w:tc>
        <w:tc>
          <w:tcPr>
            <w:tcW w:w="8190" w:type="dxa"/>
            <w:vAlign w:val="center"/>
          </w:tcPr>
          <w:p>
            <w:pPr>
              <w:adjustRightInd w:val="0"/>
              <w:snapToGrid w:val="0"/>
              <w:spacing w:line="360" w:lineRule="auto"/>
              <w:ind w:firstLine="480" w:firstLineChars="200"/>
              <w:jc w:val="left"/>
              <w:rPr>
                <w:rFonts w:cs="宋体"/>
                <w:color w:val="auto"/>
                <w:kern w:val="0"/>
                <w:sz w:val="24"/>
                <w:szCs w:val="21"/>
              </w:rPr>
            </w:pPr>
            <w:r>
              <w:rPr>
                <w:rFonts w:hint="eastAsia" w:eastAsia="宋体"/>
                <w:color w:val="auto"/>
                <w:sz w:val="24"/>
              </w:rPr>
              <w:t>根据国家对总量控制的要求，全省主要对SO</w:t>
            </w:r>
            <w:r>
              <w:rPr>
                <w:rFonts w:hint="eastAsia" w:eastAsia="宋体"/>
                <w:color w:val="auto"/>
                <w:sz w:val="24"/>
                <w:vertAlign w:val="subscript"/>
              </w:rPr>
              <w:t>2</w:t>
            </w:r>
            <w:r>
              <w:rPr>
                <w:rFonts w:hint="eastAsia" w:eastAsia="宋体"/>
                <w:color w:val="auto"/>
                <w:sz w:val="24"/>
              </w:rPr>
              <w:t>、NOx、COD、氨氮及</w:t>
            </w:r>
            <w:r>
              <w:rPr>
                <w:rFonts w:hint="eastAsia"/>
                <w:color w:val="auto"/>
                <w:sz w:val="24"/>
                <w:lang w:val="en-US" w:eastAsia="zh-CN"/>
              </w:rPr>
              <w:t>总磷</w:t>
            </w:r>
            <w:r>
              <w:rPr>
                <w:rFonts w:hint="eastAsia" w:eastAsia="宋体"/>
                <w:color w:val="auto"/>
                <w:sz w:val="24"/>
              </w:rPr>
              <w:t>实行总量控制。项目运营期间主要大气污染物为</w:t>
            </w:r>
            <w:r>
              <w:rPr>
                <w:rFonts w:hint="eastAsia"/>
                <w:color w:val="auto"/>
                <w:sz w:val="24"/>
                <w:lang w:val="en-US" w:eastAsia="zh-CN"/>
              </w:rPr>
              <w:t>油烟和恶臭</w:t>
            </w:r>
            <w:r>
              <w:rPr>
                <w:rFonts w:hint="eastAsia" w:eastAsia="宋体"/>
                <w:color w:val="auto"/>
                <w:sz w:val="24"/>
                <w:lang w:eastAsia="zh-CN"/>
              </w:rPr>
              <w:t>；</w:t>
            </w:r>
            <w:r>
              <w:rPr>
                <w:rFonts w:hint="eastAsia" w:eastAsia="宋体"/>
                <w:color w:val="auto"/>
                <w:sz w:val="24"/>
                <w:lang w:val="en-US" w:eastAsia="zh-CN"/>
              </w:rPr>
              <w:t>生活污水中总量</w:t>
            </w:r>
            <w:r>
              <w:rPr>
                <w:rFonts w:hint="eastAsia"/>
                <w:color w:val="auto"/>
                <w:sz w:val="24"/>
                <w:lang w:val="en-US" w:eastAsia="zh-CN"/>
              </w:rPr>
              <w:t>因子</w:t>
            </w:r>
            <w:r>
              <w:rPr>
                <w:rFonts w:hint="eastAsia" w:eastAsia="宋体"/>
                <w:color w:val="auto"/>
                <w:sz w:val="24"/>
              </w:rPr>
              <w:t>COD、氨氮</w:t>
            </w:r>
            <w:r>
              <w:rPr>
                <w:rFonts w:hint="eastAsia" w:eastAsia="宋体"/>
                <w:color w:val="auto"/>
                <w:sz w:val="24"/>
                <w:lang w:val="en-US" w:eastAsia="zh-CN"/>
              </w:rPr>
              <w:t>已纳入</w:t>
            </w:r>
            <w:r>
              <w:rPr>
                <w:rFonts w:hint="eastAsia"/>
                <w:color w:val="auto"/>
                <w:sz w:val="24"/>
                <w:lang w:val="en-US" w:eastAsia="zh-CN"/>
              </w:rPr>
              <w:t>下游污水处理</w:t>
            </w:r>
            <w:r>
              <w:rPr>
                <w:rFonts w:hint="eastAsia" w:eastAsia="宋体"/>
                <w:color w:val="auto"/>
                <w:sz w:val="24"/>
                <w:lang w:val="en-US" w:eastAsia="zh-CN"/>
              </w:rPr>
              <w:t>厂</w:t>
            </w:r>
            <w:r>
              <w:rPr>
                <w:rFonts w:hint="eastAsia" w:eastAsia="宋体"/>
                <w:color w:val="auto"/>
                <w:sz w:val="24"/>
              </w:rPr>
              <w:t>总量控制指标中，无需申请总量控制指标</w:t>
            </w:r>
            <w:r>
              <w:rPr>
                <w:rFonts w:hint="eastAsia" w:eastAsia="宋体"/>
                <w:color w:val="auto"/>
                <w:sz w:val="24"/>
                <w:lang w:eastAsia="zh-CN"/>
              </w:rPr>
              <w:t>。</w:t>
            </w:r>
            <w:r>
              <w:rPr>
                <w:rFonts w:hint="eastAsia" w:eastAsia="宋体"/>
                <w:color w:val="auto"/>
                <w:sz w:val="24"/>
              </w:rPr>
              <w:t>故</w:t>
            </w:r>
            <w:r>
              <w:rPr>
                <w:rFonts w:hint="eastAsia" w:eastAsia="宋体"/>
                <w:color w:val="auto"/>
                <w:sz w:val="24"/>
                <w:lang w:val="en-US" w:eastAsia="zh-CN"/>
              </w:rPr>
              <w:t>本</w:t>
            </w:r>
            <w:r>
              <w:rPr>
                <w:rFonts w:hint="eastAsia" w:eastAsia="宋体"/>
                <w:color w:val="auto"/>
                <w:sz w:val="24"/>
              </w:rPr>
              <w:t>项目</w:t>
            </w:r>
            <w:r>
              <w:rPr>
                <w:rFonts w:hint="eastAsia" w:eastAsia="宋体"/>
                <w:color w:val="auto"/>
                <w:sz w:val="24"/>
                <w:lang w:val="en-US" w:eastAsia="zh-CN"/>
              </w:rPr>
              <w:t>无需申请</w:t>
            </w:r>
            <w:r>
              <w:rPr>
                <w:rFonts w:hint="eastAsia" w:eastAsia="宋体"/>
                <w:color w:val="auto"/>
                <w:sz w:val="24"/>
              </w:rPr>
              <w:t>总量控制</w:t>
            </w:r>
            <w:r>
              <w:rPr>
                <w:rFonts w:hint="eastAsia" w:eastAsia="宋体"/>
                <w:color w:val="auto"/>
                <w:sz w:val="24"/>
                <w:lang w:val="en-US" w:eastAsia="zh-CN"/>
              </w:rPr>
              <w:t>指标</w:t>
            </w:r>
            <w:r>
              <w:rPr>
                <w:rFonts w:hint="eastAsia" w:eastAsia="宋体"/>
                <w:color w:val="auto"/>
                <w:sz w:val="24"/>
              </w:rPr>
              <w:t>。</w:t>
            </w:r>
          </w:p>
        </w:tc>
      </w:tr>
    </w:tbl>
    <w:p>
      <w:pPr>
        <w:pStyle w:val="19"/>
        <w:jc w:val="center"/>
        <w:outlineLvl w:val="0"/>
        <w:rPr>
          <w:rFonts w:hint="default" w:ascii="黑体" w:hAnsi="黑体" w:eastAsia="黑体"/>
          <w:snapToGrid w:val="0"/>
          <w:color w:val="auto"/>
          <w:sz w:val="30"/>
          <w:szCs w:val="30"/>
          <w:lang w:val="en-US" w:eastAsia="zh-CN"/>
        </w:rPr>
      </w:pPr>
      <w:r>
        <w:rPr>
          <w:rFonts w:ascii="黑体" w:hAnsi="黑体" w:eastAsia="黑体"/>
          <w:snapToGrid w:val="0"/>
          <w:color w:val="auto"/>
          <w:sz w:val="36"/>
          <w:szCs w:val="36"/>
        </w:rPr>
        <w:br w:type="page"/>
      </w:r>
      <w:bookmarkStart w:id="17" w:name="_Toc9330"/>
      <w:bookmarkStart w:id="18" w:name="_Toc14747"/>
      <w:r>
        <w:rPr>
          <w:rFonts w:hint="eastAsia" w:ascii="黑体" w:hAnsi="黑体" w:eastAsia="黑体"/>
          <w:snapToGrid w:val="0"/>
          <w:color w:val="auto"/>
          <w:sz w:val="30"/>
          <w:szCs w:val="30"/>
        </w:rPr>
        <w:t>四、</w:t>
      </w:r>
      <w:bookmarkEnd w:id="17"/>
      <w:r>
        <w:rPr>
          <w:rFonts w:hint="eastAsia" w:ascii="黑体" w:hAnsi="黑体" w:eastAsia="黑体"/>
          <w:snapToGrid w:val="0"/>
          <w:color w:val="auto"/>
          <w:sz w:val="30"/>
          <w:szCs w:val="30"/>
          <w:lang w:val="en-US" w:eastAsia="zh-CN"/>
        </w:rPr>
        <w:t>生态环境影响分析</w:t>
      </w:r>
      <w:bookmarkEnd w:id="18"/>
    </w:p>
    <w:tbl>
      <w:tblPr>
        <w:tblStyle w:val="22"/>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5" w:hRule="atLeast"/>
          <w:jc w:val="center"/>
        </w:trPr>
        <w:tc>
          <w:tcPr>
            <w:tcW w:w="746" w:type="dxa"/>
            <w:tcMar>
              <w:left w:w="28" w:type="dxa"/>
              <w:right w:w="28" w:type="dxa"/>
            </w:tcMar>
            <w:vAlign w:val="center"/>
          </w:tcPr>
          <w:p>
            <w:pPr>
              <w:pStyle w:val="19"/>
              <w:adjustRightInd w:val="0"/>
              <w:snapToGrid w:val="0"/>
              <w:spacing w:before="0" w:beforeAutospacing="0" w:after="0" w:afterAutospacing="0"/>
              <w:jc w:val="center"/>
              <w:rPr>
                <w:rFonts w:cs="宋体"/>
                <w:color w:val="auto"/>
                <w:kern w:val="2"/>
                <w:szCs w:val="24"/>
              </w:rPr>
            </w:pPr>
            <w:r>
              <w:rPr>
                <w:rFonts w:hint="eastAsia" w:cs="宋体"/>
                <w:color w:val="auto"/>
                <w:kern w:val="2"/>
                <w:szCs w:val="24"/>
              </w:rPr>
              <w:t>施工</w:t>
            </w:r>
          </w:p>
          <w:p>
            <w:pPr>
              <w:pStyle w:val="19"/>
              <w:adjustRightInd w:val="0"/>
              <w:snapToGrid w:val="0"/>
              <w:spacing w:before="0" w:beforeAutospacing="0" w:after="0" w:afterAutospacing="0"/>
              <w:jc w:val="center"/>
              <w:rPr>
                <w:rFonts w:cs="宋体"/>
                <w:bCs/>
                <w:color w:val="auto"/>
                <w:kern w:val="2"/>
                <w:szCs w:val="24"/>
              </w:rPr>
            </w:pPr>
            <w:r>
              <w:rPr>
                <w:rFonts w:hint="eastAsia" w:cs="宋体"/>
                <w:color w:val="auto"/>
                <w:kern w:val="2"/>
                <w:szCs w:val="24"/>
              </w:rPr>
              <w:t>期</w:t>
            </w:r>
            <w:r>
              <w:rPr>
                <w:rFonts w:hint="eastAsia" w:cs="宋体"/>
                <w:color w:val="auto"/>
                <w:kern w:val="2"/>
                <w:szCs w:val="24"/>
                <w:lang w:val="en-US" w:eastAsia="zh-CN"/>
              </w:rPr>
              <w:t>生态环境影响分析</w:t>
            </w:r>
          </w:p>
        </w:tc>
        <w:tc>
          <w:tcPr>
            <w:tcW w:w="816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color w:val="auto"/>
                <w:sz w:val="24"/>
                <w:lang w:val="en-US" w:eastAsia="zh-CN"/>
              </w:rPr>
            </w:pPr>
            <w:r>
              <w:rPr>
                <w:rFonts w:hint="eastAsia" w:eastAsia="宋体"/>
                <w:color w:val="auto"/>
                <w:sz w:val="24"/>
                <w:lang w:val="en-US" w:eastAsia="zh-CN"/>
              </w:rPr>
              <w:t>本项目</w:t>
            </w:r>
            <w:r>
              <w:rPr>
                <w:rFonts w:hint="eastAsia"/>
                <w:color w:val="auto"/>
                <w:sz w:val="24"/>
                <w:lang w:val="en-US" w:eastAsia="zh-CN"/>
              </w:rPr>
              <w:t>已建成</w:t>
            </w:r>
            <w:r>
              <w:rPr>
                <w:rFonts w:hint="eastAsia" w:eastAsia="宋体"/>
                <w:color w:val="auto"/>
                <w:sz w:val="24"/>
                <w:lang w:val="en-US" w:eastAsia="zh-CN"/>
              </w:rPr>
              <w:t>，项目施工期</w:t>
            </w:r>
            <w:r>
              <w:rPr>
                <w:rFonts w:hint="eastAsia"/>
                <w:color w:val="auto"/>
                <w:sz w:val="24"/>
                <w:lang w:val="en-US" w:eastAsia="zh-CN"/>
              </w:rPr>
              <w:t>未</w:t>
            </w:r>
            <w:r>
              <w:rPr>
                <w:rFonts w:hint="eastAsia" w:eastAsia="宋体"/>
                <w:color w:val="auto"/>
                <w:sz w:val="24"/>
                <w:lang w:val="en-US" w:eastAsia="zh-CN"/>
              </w:rPr>
              <w:t>对周围</w:t>
            </w:r>
            <w:r>
              <w:rPr>
                <w:rFonts w:hint="eastAsia"/>
                <w:color w:val="auto"/>
                <w:sz w:val="24"/>
                <w:lang w:val="en-US" w:eastAsia="zh-CN"/>
              </w:rPr>
              <w:t>生态</w:t>
            </w:r>
            <w:r>
              <w:rPr>
                <w:rFonts w:hint="eastAsia" w:eastAsia="宋体"/>
                <w:color w:val="auto"/>
                <w:sz w:val="24"/>
                <w:lang w:val="en-US" w:eastAsia="zh-CN"/>
              </w:rPr>
              <w:t>环境产生明显影响，</w:t>
            </w:r>
            <w:r>
              <w:rPr>
                <w:rFonts w:hint="eastAsia"/>
                <w:color w:val="auto"/>
                <w:sz w:val="24"/>
                <w:lang w:val="en-US" w:eastAsia="zh-CN"/>
              </w:rPr>
              <w:t>无遗留污染存在。</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ascii="宋体" w:hAnsi="宋体" w:cs="宋体"/>
                <w:bCs/>
                <w:color w:val="auto"/>
                <w:spacing w:val="-10"/>
                <w:sz w:val="24"/>
              </w:rPr>
            </w:pPr>
            <w:r>
              <w:rPr>
                <w:rFonts w:hint="eastAsia"/>
                <w:color w:val="auto"/>
                <w:sz w:val="24"/>
                <w:lang w:val="en-US" w:eastAsia="zh-CN"/>
              </w:rPr>
              <w:t>因项目为房地产业，属于生态影响类项目，施工期主要体现在对生态环境的影响，因此，</w:t>
            </w:r>
            <w:r>
              <w:rPr>
                <w:rFonts w:hint="eastAsia" w:eastAsia="宋体"/>
                <w:color w:val="auto"/>
                <w:sz w:val="24"/>
                <w:lang w:val="en-US" w:eastAsia="zh-CN"/>
              </w:rPr>
              <w:t>本次评价</w:t>
            </w:r>
            <w:r>
              <w:rPr>
                <w:rFonts w:hint="eastAsia"/>
                <w:color w:val="auto"/>
                <w:sz w:val="24"/>
                <w:lang w:val="en-US" w:eastAsia="zh-CN"/>
              </w:rPr>
              <w:t>仅对施工期的生态环境影响进行回顾性分析，具体详见生态环境影响专题报告</w:t>
            </w:r>
            <w:r>
              <w:rPr>
                <w:rFonts w:hint="eastAsia" w:eastAsia="宋体"/>
                <w:color w:val="auto"/>
                <w:sz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6" w:type="dxa"/>
            <w:tcMar>
              <w:left w:w="28" w:type="dxa"/>
              <w:right w:w="28" w:type="dxa"/>
            </w:tcMar>
            <w:vAlign w:val="center"/>
          </w:tcPr>
          <w:p>
            <w:pPr>
              <w:adjustRightInd w:val="0"/>
              <w:snapToGrid w:val="0"/>
              <w:jc w:val="center"/>
              <w:rPr>
                <w:rFonts w:ascii="宋体" w:hAnsi="宋体" w:cs="宋体"/>
                <w:bCs/>
                <w:color w:val="auto"/>
                <w:sz w:val="24"/>
              </w:rPr>
            </w:pPr>
            <w:r>
              <w:rPr>
                <w:rFonts w:hint="eastAsia" w:ascii="宋体" w:hAnsi="宋体" w:cs="宋体"/>
                <w:bCs/>
                <w:color w:val="auto"/>
                <w:sz w:val="24"/>
              </w:rPr>
              <w:t>运营</w:t>
            </w:r>
          </w:p>
          <w:p>
            <w:pPr>
              <w:adjustRightInd w:val="0"/>
              <w:snapToGrid w:val="0"/>
              <w:jc w:val="center"/>
              <w:rPr>
                <w:rFonts w:ascii="宋体" w:hAnsi="宋体" w:cs="宋体"/>
                <w:bCs/>
                <w:color w:val="auto"/>
                <w:sz w:val="24"/>
              </w:rPr>
            </w:pPr>
            <w:r>
              <w:rPr>
                <w:rFonts w:hint="eastAsia" w:ascii="宋体" w:hAnsi="宋体" w:cs="宋体"/>
                <w:bCs/>
                <w:color w:val="auto"/>
                <w:sz w:val="24"/>
              </w:rPr>
              <w:t>期</w:t>
            </w:r>
            <w:r>
              <w:rPr>
                <w:rFonts w:hint="eastAsia" w:ascii="宋体" w:hAnsi="宋体" w:cs="宋体"/>
                <w:bCs/>
                <w:color w:val="auto"/>
                <w:sz w:val="24"/>
                <w:lang w:val="en-US" w:eastAsia="zh-CN"/>
              </w:rPr>
              <w:t>生态环境影响分析</w:t>
            </w:r>
          </w:p>
        </w:tc>
        <w:tc>
          <w:tcPr>
            <w:tcW w:w="8162" w:type="dxa"/>
            <w:vAlign w:val="center"/>
          </w:tcPr>
          <w:p>
            <w:pPr>
              <w:numPr>
                <w:ilvl w:val="0"/>
                <w:numId w:val="0"/>
              </w:numPr>
              <w:adjustRightInd w:val="0"/>
              <w:snapToGrid w:val="0"/>
              <w:spacing w:line="360" w:lineRule="auto"/>
              <w:rPr>
                <w:rFonts w:hint="eastAsia" w:cs="宋体"/>
                <w:b/>
                <w:color w:val="auto"/>
                <w:spacing w:val="-10"/>
                <w:sz w:val="24"/>
                <w:szCs w:val="21"/>
                <w:lang w:val="en-US" w:eastAsia="zh-CN"/>
              </w:rPr>
            </w:pPr>
            <w:r>
              <w:rPr>
                <w:rFonts w:hint="eastAsia" w:cs="宋体"/>
                <w:b/>
                <w:color w:val="auto"/>
                <w:spacing w:val="-10"/>
                <w:sz w:val="24"/>
                <w:szCs w:val="21"/>
                <w:lang w:val="en-US" w:eastAsia="zh-CN"/>
              </w:rPr>
              <w:t>1、生态环境影响分析</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项目运营期生态环境影响分析</w:t>
            </w:r>
            <w:r>
              <w:rPr>
                <w:rFonts w:hint="default" w:ascii="Times New Roman" w:hAnsi="Times New Roman" w:eastAsia="宋体" w:cs="Times New Roman"/>
                <w:color w:val="auto"/>
                <w:sz w:val="24"/>
                <w:lang w:val="en-US" w:eastAsia="zh-CN"/>
              </w:rPr>
              <w:t>详见</w:t>
            </w:r>
            <w:r>
              <w:rPr>
                <w:rFonts w:hint="eastAsia" w:ascii="Times New Roman" w:hAnsi="Times New Roman" w:eastAsia="宋体" w:cs="Times New Roman"/>
                <w:color w:val="auto"/>
                <w:sz w:val="24"/>
                <w:lang w:val="en-US" w:eastAsia="zh-CN"/>
              </w:rPr>
              <w:t>生态</w:t>
            </w:r>
            <w:r>
              <w:rPr>
                <w:rFonts w:hint="default" w:ascii="Times New Roman" w:hAnsi="Times New Roman" w:eastAsia="宋体" w:cs="Times New Roman"/>
                <w:color w:val="auto"/>
                <w:sz w:val="24"/>
                <w:lang w:val="en-US" w:eastAsia="zh-CN"/>
              </w:rPr>
              <w:t>环境影响</w:t>
            </w:r>
            <w:r>
              <w:rPr>
                <w:rFonts w:hint="eastAsia" w:ascii="Times New Roman" w:hAnsi="Times New Roman" w:eastAsia="宋体" w:cs="Times New Roman"/>
                <w:color w:val="auto"/>
                <w:sz w:val="24"/>
                <w:lang w:val="en-US" w:eastAsia="zh-CN"/>
              </w:rPr>
              <w:t>专项报告</w:t>
            </w:r>
          </w:p>
          <w:p>
            <w:pPr>
              <w:numPr>
                <w:ilvl w:val="0"/>
                <w:numId w:val="0"/>
              </w:numPr>
              <w:adjustRightInd w:val="0"/>
              <w:snapToGrid w:val="0"/>
              <w:spacing w:line="360" w:lineRule="auto"/>
              <w:rPr>
                <w:rFonts w:cs="宋体"/>
                <w:b/>
                <w:color w:val="auto"/>
                <w:spacing w:val="-10"/>
                <w:sz w:val="24"/>
                <w:szCs w:val="21"/>
              </w:rPr>
            </w:pPr>
            <w:r>
              <w:rPr>
                <w:rFonts w:hint="eastAsia" w:cs="宋体"/>
                <w:b/>
                <w:color w:val="auto"/>
                <w:spacing w:val="-10"/>
                <w:sz w:val="24"/>
                <w:szCs w:val="21"/>
                <w:lang w:val="en-US" w:eastAsia="zh-CN"/>
              </w:rPr>
              <w:t>2、</w:t>
            </w:r>
            <w:r>
              <w:rPr>
                <w:rFonts w:hint="eastAsia" w:cs="宋体"/>
                <w:b/>
                <w:color w:val="auto"/>
                <w:spacing w:val="-10"/>
                <w:sz w:val="24"/>
                <w:szCs w:val="21"/>
              </w:rPr>
              <w:t>大气环境影响分析</w:t>
            </w:r>
          </w:p>
          <w:p>
            <w:pPr>
              <w:adjustRightInd w:val="0"/>
              <w:snapToGrid w:val="0"/>
              <w:spacing w:line="360" w:lineRule="auto"/>
              <w:ind w:firstLine="440" w:firstLineChars="200"/>
              <w:rPr>
                <w:rFonts w:hint="eastAsia" w:cs="宋体"/>
                <w:bCs/>
                <w:color w:val="auto"/>
                <w:spacing w:val="-10"/>
                <w:sz w:val="24"/>
                <w:szCs w:val="21"/>
              </w:rPr>
            </w:pPr>
            <w:r>
              <w:rPr>
                <w:rFonts w:hint="eastAsia" w:cs="宋体"/>
                <w:bCs/>
                <w:color w:val="auto"/>
                <w:spacing w:val="-10"/>
                <w:sz w:val="24"/>
                <w:szCs w:val="21"/>
              </w:rPr>
              <w:t>根据工程分析，拟建项目运营期间产生废气主要为油烟</w:t>
            </w:r>
            <w:r>
              <w:rPr>
                <w:rFonts w:hint="eastAsia" w:cs="宋体"/>
                <w:bCs/>
                <w:color w:val="auto"/>
                <w:spacing w:val="-10"/>
                <w:sz w:val="24"/>
                <w:szCs w:val="21"/>
                <w:lang w:eastAsia="zh-CN"/>
              </w:rPr>
              <w:t>、</w:t>
            </w:r>
            <w:r>
              <w:rPr>
                <w:rFonts w:hint="eastAsia" w:cs="宋体"/>
                <w:bCs/>
                <w:color w:val="auto"/>
                <w:spacing w:val="-10"/>
                <w:sz w:val="24"/>
                <w:szCs w:val="21"/>
                <w:lang w:val="en-US" w:eastAsia="zh-CN"/>
              </w:rPr>
              <w:t>汽车而尾气、垃圾桶恶臭等</w:t>
            </w:r>
            <w:r>
              <w:rPr>
                <w:rFonts w:hint="eastAsia" w:cs="宋体"/>
                <w:bCs/>
                <w:color w:val="auto"/>
                <w:spacing w:val="-10"/>
                <w:sz w:val="24"/>
                <w:szCs w:val="21"/>
              </w:rPr>
              <w:t>。</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①油烟</w:t>
            </w:r>
          </w:p>
          <w:p>
            <w:pPr>
              <w:adjustRightInd w:val="0"/>
              <w:snapToGrid w:val="0"/>
              <w:spacing w:line="360" w:lineRule="auto"/>
              <w:ind w:firstLine="440" w:firstLineChars="200"/>
              <w:rPr>
                <w:rFonts w:hint="eastAsia" w:ascii="Times New Roman" w:hAnsi="Times New Roman" w:eastAsia="宋体" w:cs="宋体"/>
                <w:bCs/>
                <w:color w:val="auto"/>
                <w:spacing w:val="-10"/>
                <w:sz w:val="24"/>
                <w:szCs w:val="21"/>
                <w:lang w:val="en-US" w:eastAsia="zh-CN"/>
              </w:rPr>
            </w:pPr>
            <w:r>
              <w:rPr>
                <w:rFonts w:hint="eastAsia" w:ascii="Times New Roman" w:hAnsi="Times New Roman" w:eastAsia="宋体" w:cs="宋体"/>
                <w:bCs/>
                <w:color w:val="auto"/>
                <w:spacing w:val="-10"/>
                <w:sz w:val="24"/>
                <w:szCs w:val="21"/>
                <w:lang w:val="en-US" w:eastAsia="zh-CN"/>
              </w:rPr>
              <w:t>本项目为安置区，</w:t>
            </w:r>
            <w:r>
              <w:rPr>
                <w:rFonts w:hint="eastAsia" w:ascii="Times New Roman" w:hAnsi="Times New Roman" w:eastAsia="宋体" w:cs="宋体"/>
                <w:bCs/>
                <w:color w:val="auto"/>
                <w:spacing w:val="-10"/>
                <w:sz w:val="24"/>
                <w:szCs w:val="21"/>
                <w:lang w:eastAsia="zh-CN"/>
              </w:rPr>
              <w:t>设置有厨房</w:t>
            </w:r>
            <w:r>
              <w:rPr>
                <w:rFonts w:hint="eastAsia" w:ascii="Times New Roman" w:hAnsi="Times New Roman" w:eastAsia="宋体" w:cs="宋体"/>
                <w:bCs/>
                <w:color w:val="auto"/>
                <w:spacing w:val="-10"/>
                <w:sz w:val="24"/>
                <w:szCs w:val="21"/>
              </w:rPr>
              <w:t>，</w:t>
            </w:r>
            <w:r>
              <w:rPr>
                <w:rFonts w:hint="eastAsia" w:ascii="Times New Roman" w:hAnsi="Times New Roman" w:eastAsia="宋体" w:cs="宋体"/>
                <w:bCs/>
                <w:color w:val="auto"/>
                <w:spacing w:val="-10"/>
                <w:sz w:val="24"/>
                <w:szCs w:val="21"/>
                <w:lang w:eastAsia="zh-CN"/>
              </w:rPr>
              <w:t>由于</w:t>
            </w:r>
            <w:r>
              <w:rPr>
                <w:rFonts w:hint="eastAsia" w:ascii="Times New Roman" w:hAnsi="Times New Roman" w:eastAsia="宋体" w:cs="宋体"/>
                <w:bCs/>
                <w:color w:val="auto"/>
                <w:spacing w:val="-10"/>
                <w:sz w:val="24"/>
                <w:szCs w:val="21"/>
                <w:lang w:val="en-US" w:eastAsia="zh-CN"/>
              </w:rPr>
              <w:t>家庭用房</w:t>
            </w:r>
            <w:r>
              <w:rPr>
                <w:rFonts w:hint="eastAsia" w:ascii="Times New Roman" w:hAnsi="Times New Roman" w:eastAsia="宋体" w:cs="宋体"/>
                <w:bCs/>
                <w:color w:val="auto"/>
                <w:spacing w:val="-10"/>
                <w:sz w:val="24"/>
                <w:szCs w:val="21"/>
                <w:lang w:eastAsia="zh-CN"/>
              </w:rPr>
              <w:t>内厨房油烟产生量较小，</w:t>
            </w:r>
            <w:r>
              <w:rPr>
                <w:rFonts w:hint="eastAsia" w:ascii="Times New Roman" w:hAnsi="Times New Roman" w:eastAsia="宋体" w:cs="宋体"/>
                <w:bCs/>
                <w:color w:val="auto"/>
                <w:spacing w:val="-10"/>
                <w:sz w:val="24"/>
                <w:szCs w:val="21"/>
                <w:lang w:val="en-US" w:eastAsia="zh-CN"/>
              </w:rPr>
              <w:t>且用户均会安装符合要求的油烟净化器，少量油烟经净化器处理后</w:t>
            </w:r>
            <w:r>
              <w:rPr>
                <w:rFonts w:hint="default" w:ascii="Times New Roman" w:hAnsi="Times New Roman" w:eastAsia="宋体" w:cs="宋体"/>
                <w:bCs/>
                <w:color w:val="auto"/>
                <w:spacing w:val="-10"/>
                <w:sz w:val="24"/>
                <w:szCs w:val="21"/>
              </w:rPr>
              <w:t>可以达到《饮食业油烟排放标准</w:t>
            </w:r>
            <w:r>
              <w:rPr>
                <w:rFonts w:hint="default" w:ascii="Times New Roman" w:hAnsi="Times New Roman" w:eastAsia="宋体" w:cs="宋体"/>
                <w:bCs/>
                <w:color w:val="auto"/>
                <w:spacing w:val="-10"/>
                <w:sz w:val="24"/>
                <w:szCs w:val="21"/>
                <w:lang w:val="en-US" w:eastAsia="zh-CN"/>
              </w:rPr>
              <w:t>（试行）》（GB18483-2001）要求</w:t>
            </w:r>
            <w:r>
              <w:rPr>
                <w:rFonts w:hint="eastAsia" w:ascii="Times New Roman" w:hAnsi="Times New Roman" w:eastAsia="宋体" w:cs="宋体"/>
                <w:bCs/>
                <w:color w:val="auto"/>
                <w:spacing w:val="-10"/>
                <w:sz w:val="24"/>
                <w:szCs w:val="21"/>
                <w:lang w:val="en-US" w:eastAsia="zh-CN"/>
              </w:rPr>
              <w:t>，经周边大气环境稀释后对周边环境影响较小。由于家庭用餐时间不统一，且油烟产生量较小，本次不定量进行分析。</w:t>
            </w:r>
          </w:p>
          <w:p>
            <w:pPr>
              <w:adjustRightInd w:val="0"/>
              <w:snapToGrid w:val="0"/>
              <w:spacing w:line="360" w:lineRule="auto"/>
              <w:ind w:firstLine="440" w:firstLineChars="200"/>
              <w:rPr>
                <w:rFonts w:hint="default" w:ascii="Times New Roman" w:hAnsi="Times New Roman" w:eastAsia="宋体" w:cs="宋体"/>
                <w:bCs/>
                <w:color w:val="auto"/>
                <w:spacing w:val="-10"/>
                <w:sz w:val="24"/>
                <w:szCs w:val="21"/>
                <w:lang w:val="en-US" w:eastAsia="zh-CN"/>
              </w:rPr>
            </w:pPr>
            <w:r>
              <w:rPr>
                <w:rFonts w:hint="eastAsia" w:ascii="Times New Roman" w:hAnsi="Times New Roman" w:eastAsia="宋体" w:cs="宋体"/>
                <w:bCs/>
                <w:color w:val="auto"/>
                <w:spacing w:val="-10"/>
                <w:sz w:val="24"/>
                <w:szCs w:val="21"/>
                <w:lang w:val="en-US" w:eastAsia="zh-CN"/>
              </w:rPr>
              <w:t>本项目安置区主要定位为团洲乡团北村团洲垸遭受严重洪涝灾害人员的住房安置，安置区内不得不引进大型餐饮企业，若需引进，需额外进行环评并设置符合要求油烟净化等环保设备。</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②汽车尾气</w:t>
            </w:r>
          </w:p>
          <w:p>
            <w:pPr>
              <w:pStyle w:val="9"/>
              <w:spacing w:line="360" w:lineRule="auto"/>
              <w:ind w:firstLine="480" w:firstLineChars="200"/>
              <w:rPr>
                <w:rFonts w:hint="eastAsia"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sz w:val="24"/>
              </w:rPr>
              <w:t>本项目共设置机动停车位</w:t>
            </w:r>
            <w:r>
              <w:rPr>
                <w:rFonts w:hint="eastAsia" w:cs="Times New Roman"/>
                <w:color w:val="auto"/>
                <w:sz w:val="24"/>
                <w:lang w:val="en-US" w:eastAsia="zh-CN"/>
              </w:rPr>
              <w:t>508</w:t>
            </w:r>
            <w:r>
              <w:rPr>
                <w:rFonts w:hint="default" w:ascii="Times New Roman" w:hAnsi="Times New Roman" w:eastAsia="宋体" w:cs="Times New Roman"/>
                <w:color w:val="auto"/>
                <w:sz w:val="24"/>
              </w:rPr>
              <w:t>个，</w:t>
            </w:r>
            <w:r>
              <w:rPr>
                <w:rFonts w:hint="eastAsia" w:ascii="Times New Roman" w:hAnsi="Times New Roman" w:eastAsia="宋体" w:cs="Times New Roman"/>
                <w:color w:val="auto"/>
                <w:sz w:val="24"/>
                <w:lang w:eastAsia="zh-CN"/>
              </w:rPr>
              <w:t>均为地上停车</w:t>
            </w:r>
            <w:r>
              <w:rPr>
                <w:rFonts w:hint="eastAsia" w:ascii="Times New Roman" w:hAnsi="Times New Roman" w:eastAsia="宋体" w:cs="Times New Roman"/>
                <w:color w:val="auto"/>
                <w:kern w:val="2"/>
                <w:sz w:val="24"/>
                <w:szCs w:val="22"/>
                <w:lang w:val="en-US" w:eastAsia="zh-CN" w:bidi="ar-SA"/>
              </w:rPr>
              <w:t>位，污染源主要是汽车在启动过程中的怠速及慢速（5km/h）行驶时汽车产生的尾气。根据有关资料，停车场产生的主要污染物为汽车尾气中所含的CO、NO</w:t>
            </w:r>
            <w:r>
              <w:rPr>
                <w:rFonts w:hint="eastAsia" w:ascii="Times New Roman" w:hAnsi="Times New Roman" w:eastAsia="宋体" w:cs="Times New Roman"/>
                <w:color w:val="auto"/>
                <w:kern w:val="2"/>
                <w:sz w:val="24"/>
                <w:szCs w:val="22"/>
                <w:vertAlign w:val="subscript"/>
                <w:lang w:val="en-US" w:eastAsia="zh-CN" w:bidi="ar-SA"/>
              </w:rPr>
              <w:t>X</w:t>
            </w:r>
            <w:r>
              <w:rPr>
                <w:rFonts w:hint="eastAsia" w:ascii="Times New Roman" w:hAnsi="Times New Roman" w:eastAsia="宋体" w:cs="Times New Roman"/>
                <w:color w:val="auto"/>
                <w:kern w:val="2"/>
                <w:sz w:val="24"/>
                <w:szCs w:val="22"/>
                <w:lang w:val="en-US" w:eastAsia="zh-CN" w:bidi="ar-SA"/>
              </w:rPr>
              <w:t>及HC，汽车尾气主要污染因子及排放的浓度范围参见表4-1。</w:t>
            </w:r>
          </w:p>
          <w:p>
            <w:pPr>
              <w:ind w:firstLine="482" w:firstLineChars="200"/>
              <w:jc w:val="center"/>
              <w:rPr>
                <w:rFonts w:hint="eastAsia"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rPr>
              <w:t>表</w:t>
            </w:r>
            <w:r>
              <w:rPr>
                <w:rFonts w:hint="eastAsia" w:ascii="Times New Roman" w:hAnsi="Times New Roman" w:eastAsia="宋体" w:cs="Times New Roman"/>
                <w:b/>
                <w:bCs/>
                <w:color w:val="auto"/>
                <w:sz w:val="24"/>
                <w:szCs w:val="24"/>
                <w:lang w:val="en-US" w:eastAsia="zh-CN"/>
              </w:rPr>
              <w:t>4-1</w:t>
            </w:r>
            <w:r>
              <w:rPr>
                <w:rFonts w:hint="eastAsia" w:ascii="Times New Roman" w:hAnsi="Times New Roman" w:eastAsia="宋体" w:cs="Times New Roman"/>
                <w:b/>
                <w:bCs/>
                <w:color w:val="auto"/>
                <w:sz w:val="24"/>
                <w:szCs w:val="24"/>
              </w:rPr>
              <w:t xml:space="preserve"> 汽车废气主要污染物浓度</w:t>
            </w:r>
          </w:p>
          <w:tbl>
            <w:tblPr>
              <w:tblStyle w:val="22"/>
              <w:tblW w:w="793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20"/>
              <w:gridCol w:w="1306"/>
              <w:gridCol w:w="2407"/>
              <w:gridCol w:w="240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13"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bCs w:val="0"/>
                      <w:color w:val="auto"/>
                    </w:rPr>
                  </w:pPr>
                  <w:r>
                    <w:rPr>
                      <w:rFonts w:hint="default" w:ascii="Times New Roman" w:hAnsi="Times New Roman" w:cs="Times New Roman"/>
                      <w:b/>
                      <w:bCs w:val="0"/>
                      <w:color w:val="auto"/>
                    </w:rPr>
                    <w:t>污染物</w:t>
                  </w:r>
                </w:p>
              </w:tc>
              <w:tc>
                <w:tcPr>
                  <w:tcW w:w="1437"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bCs w:val="0"/>
                      <w:color w:val="auto"/>
                    </w:rPr>
                  </w:pPr>
                  <w:r>
                    <w:rPr>
                      <w:rFonts w:hint="default" w:ascii="Times New Roman" w:hAnsi="Times New Roman" w:cs="Times New Roman"/>
                      <w:b/>
                      <w:bCs w:val="0"/>
                      <w:color w:val="auto"/>
                    </w:rPr>
                    <w:t>单位</w:t>
                  </w:r>
                </w:p>
              </w:tc>
              <w:tc>
                <w:tcPr>
                  <w:tcW w:w="2670"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bCs w:val="0"/>
                      <w:color w:val="auto"/>
                    </w:rPr>
                  </w:pPr>
                  <w:r>
                    <w:rPr>
                      <w:rFonts w:hint="default" w:ascii="Times New Roman" w:hAnsi="Times New Roman" w:cs="Times New Roman"/>
                      <w:b/>
                      <w:bCs w:val="0"/>
                      <w:color w:val="auto"/>
                    </w:rPr>
                    <w:t>汽油车</w:t>
                  </w:r>
                </w:p>
              </w:tc>
              <w:tc>
                <w:tcPr>
                  <w:tcW w:w="2667"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bCs w:val="0"/>
                      <w:color w:val="auto"/>
                    </w:rPr>
                  </w:pPr>
                  <w:r>
                    <w:rPr>
                      <w:rFonts w:hint="default" w:ascii="Times New Roman" w:hAnsi="Times New Roman" w:cs="Times New Roman"/>
                      <w:b/>
                      <w:bCs w:val="0"/>
                      <w:color w:val="auto"/>
                    </w:rPr>
                    <w:t>柴油车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13"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CO</w:t>
                  </w:r>
                </w:p>
              </w:tc>
              <w:tc>
                <w:tcPr>
                  <w:tcW w:w="1437"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w:t>
                  </w:r>
                </w:p>
              </w:tc>
              <w:tc>
                <w:tcPr>
                  <w:tcW w:w="2670"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3.8~6</w:t>
                  </w:r>
                </w:p>
              </w:tc>
              <w:tc>
                <w:tcPr>
                  <w:tcW w:w="2667"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&lt;2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13"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NO</w:t>
                  </w:r>
                  <w:r>
                    <w:rPr>
                      <w:rFonts w:hint="default" w:ascii="Times New Roman" w:hAnsi="Times New Roman" w:cs="Times New Roman"/>
                      <w:b w:val="0"/>
                      <w:bCs/>
                      <w:color w:val="auto"/>
                      <w:vertAlign w:val="subscript"/>
                    </w:rPr>
                    <w:t>2</w:t>
                  </w:r>
                </w:p>
              </w:tc>
              <w:tc>
                <w:tcPr>
                  <w:tcW w:w="1437"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ppm</w:t>
                  </w:r>
                </w:p>
              </w:tc>
              <w:tc>
                <w:tcPr>
                  <w:tcW w:w="2670"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2000~5000</w:t>
                  </w:r>
                </w:p>
              </w:tc>
              <w:tc>
                <w:tcPr>
                  <w:tcW w:w="2667"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&lt;1000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13"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HC</w:t>
                  </w:r>
                </w:p>
              </w:tc>
              <w:tc>
                <w:tcPr>
                  <w:tcW w:w="1437"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ppm</w:t>
                  </w:r>
                </w:p>
              </w:tc>
              <w:tc>
                <w:tcPr>
                  <w:tcW w:w="2670"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500~2500</w:t>
                  </w:r>
                </w:p>
              </w:tc>
              <w:tc>
                <w:tcPr>
                  <w:tcW w:w="2667"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&lt;2500</w:t>
                  </w:r>
                </w:p>
              </w:tc>
            </w:tr>
          </w:tbl>
          <w:p>
            <w:pPr>
              <w:spacing w:line="360" w:lineRule="auto"/>
              <w:ind w:firstLine="480" w:firstLineChars="200"/>
              <w:rPr>
                <w:rFonts w:hint="eastAsia"/>
                <w:color w:val="auto"/>
                <w:sz w:val="24"/>
              </w:rPr>
            </w:pPr>
            <w:r>
              <w:rPr>
                <w:rFonts w:hint="eastAsia"/>
                <w:color w:val="auto"/>
                <w:sz w:val="24"/>
              </w:rPr>
              <w:t>本项目</w:t>
            </w:r>
            <w:r>
              <w:rPr>
                <w:rFonts w:hint="eastAsia"/>
                <w:color w:val="auto"/>
                <w:sz w:val="24"/>
                <w:lang w:val="en-US" w:eastAsia="zh-CN"/>
              </w:rPr>
              <w:t>地面</w:t>
            </w:r>
            <w:r>
              <w:rPr>
                <w:rFonts w:hint="eastAsia"/>
                <w:color w:val="auto"/>
                <w:sz w:val="24"/>
              </w:rPr>
              <w:t>不设置集中大型停车场，停车位分散布置在用房周边空地上，汽车尾气在地面直接扩散外排，属面源无组织排放。区域内没有高层建筑物，空气流通顺畅，有利于污染物的扩散，</w:t>
            </w:r>
            <w:r>
              <w:rPr>
                <w:rFonts w:hAnsi="宋体"/>
                <w:color w:val="auto"/>
                <w:sz w:val="24"/>
              </w:rPr>
              <w:t>不会发生富集现象</w:t>
            </w:r>
            <w:r>
              <w:rPr>
                <w:rFonts w:hint="eastAsia"/>
                <w:color w:val="auto"/>
                <w:sz w:val="24"/>
              </w:rPr>
              <w:t>；项目区内同时启动的车辆较少，启动时间较短，尾气产生量少；厂区加强绿化，种植一些对</w:t>
            </w:r>
            <w:r>
              <w:rPr>
                <w:rFonts w:hAnsi="宋体"/>
                <w:color w:val="auto"/>
                <w:sz w:val="24"/>
              </w:rPr>
              <w:t>有害气体吸收能力较强的树木</w:t>
            </w:r>
            <w:r>
              <w:rPr>
                <w:rFonts w:hint="eastAsia" w:hAnsi="宋体"/>
                <w:color w:val="auto"/>
                <w:sz w:val="24"/>
              </w:rPr>
              <w:t>，可进一步减小尾气产生量</w:t>
            </w:r>
            <w:r>
              <w:rPr>
                <w:rFonts w:hint="eastAsia"/>
                <w:color w:val="auto"/>
                <w:sz w:val="24"/>
              </w:rPr>
              <w:t>。因此，汽车尾气对区域环境影响较小，本环评不对其进行定量分析。</w:t>
            </w:r>
          </w:p>
          <w:p>
            <w:pPr>
              <w:spacing w:line="360" w:lineRule="auto"/>
              <w:ind w:firstLine="480" w:firstLineChars="200"/>
              <w:rPr>
                <w:rFonts w:hint="eastAsia"/>
                <w:color w:val="auto"/>
                <w:sz w:val="24"/>
              </w:rPr>
            </w:pPr>
            <w:r>
              <w:rPr>
                <w:rFonts w:hint="eastAsia"/>
                <w:color w:val="auto"/>
                <w:sz w:val="24"/>
                <w:lang w:val="en-US" w:eastAsia="zh-CN"/>
              </w:rPr>
              <w:t xml:space="preserve">地下车库汽车尾气，其主要污染物是 </w:t>
            </w:r>
            <w:r>
              <w:rPr>
                <w:rFonts w:hint="default"/>
                <w:color w:val="auto"/>
                <w:sz w:val="24"/>
                <w:lang w:val="en-US" w:eastAsia="zh-CN"/>
              </w:rPr>
              <w:t>CO</w:t>
            </w:r>
            <w:r>
              <w:rPr>
                <w:rFonts w:hint="eastAsia"/>
                <w:color w:val="auto"/>
                <w:sz w:val="24"/>
                <w:lang w:val="en-US" w:eastAsia="zh-CN"/>
              </w:rPr>
              <w:t>、</w:t>
            </w:r>
            <w:r>
              <w:rPr>
                <w:rFonts w:hint="default"/>
                <w:color w:val="auto"/>
                <w:sz w:val="24"/>
                <w:lang w:val="en-US" w:eastAsia="zh-CN"/>
              </w:rPr>
              <w:t xml:space="preserve">NOx </w:t>
            </w:r>
            <w:r>
              <w:rPr>
                <w:rFonts w:hint="eastAsia"/>
                <w:color w:val="auto"/>
                <w:sz w:val="24"/>
                <w:lang w:val="en-US" w:eastAsia="zh-CN"/>
              </w:rPr>
              <w:t xml:space="preserve">和 </w:t>
            </w:r>
            <w:r>
              <w:rPr>
                <w:rFonts w:hint="default"/>
                <w:color w:val="auto"/>
                <w:sz w:val="24"/>
                <w:lang w:val="en-US" w:eastAsia="zh-CN"/>
              </w:rPr>
              <w:t>HC(</w:t>
            </w:r>
            <w:r>
              <w:rPr>
                <w:rFonts w:hint="eastAsia"/>
                <w:color w:val="auto"/>
                <w:sz w:val="24"/>
                <w:lang w:val="en-US" w:eastAsia="zh-CN"/>
              </w:rPr>
              <w:t>碳氢化合物</w:t>
            </w:r>
            <w:r>
              <w:rPr>
                <w:rFonts w:hint="default"/>
                <w:color w:val="auto"/>
                <w:sz w:val="24"/>
                <w:lang w:val="en-US" w:eastAsia="zh-CN"/>
              </w:rPr>
              <w:t>)</w:t>
            </w:r>
            <w:r>
              <w:rPr>
                <w:rFonts w:hint="eastAsia"/>
                <w:color w:val="auto"/>
                <w:sz w:val="24"/>
                <w:lang w:val="en-US" w:eastAsia="zh-CN"/>
              </w:rPr>
              <w:t>。</w:t>
            </w:r>
            <w:r>
              <w:rPr>
                <w:rFonts w:hint="default"/>
                <w:color w:val="auto"/>
                <w:sz w:val="24"/>
                <w:lang w:val="en-US" w:eastAsia="zh-CN"/>
              </w:rPr>
              <w:t>CO</w:t>
            </w:r>
            <w:r>
              <w:rPr>
                <w:rFonts w:hint="eastAsia"/>
                <w:color w:val="auto"/>
                <w:sz w:val="24"/>
                <w:lang w:val="en-US" w:eastAsia="zh-CN"/>
              </w:rPr>
              <w:t>是汽油燃烧的产物；</w:t>
            </w:r>
            <w:r>
              <w:rPr>
                <w:rFonts w:hint="default"/>
                <w:color w:val="auto"/>
                <w:sz w:val="24"/>
                <w:lang w:val="en-US" w:eastAsia="zh-CN"/>
              </w:rPr>
              <w:t>NOx</w:t>
            </w:r>
            <w:r>
              <w:rPr>
                <w:rFonts w:hint="eastAsia"/>
                <w:color w:val="auto"/>
                <w:sz w:val="24"/>
                <w:lang w:val="en-US" w:eastAsia="zh-CN"/>
              </w:rPr>
              <w:t>是汽油燃烧时空气中的氮气与氧气化合而成的产物；</w:t>
            </w:r>
            <w:r>
              <w:rPr>
                <w:rFonts w:hint="default"/>
                <w:color w:val="auto"/>
                <w:sz w:val="24"/>
                <w:lang w:val="en-US" w:eastAsia="zh-CN"/>
              </w:rPr>
              <w:t>HC(</w:t>
            </w:r>
            <w:r>
              <w:rPr>
                <w:rFonts w:hint="eastAsia"/>
                <w:color w:val="auto"/>
                <w:sz w:val="24"/>
                <w:lang w:val="en-US" w:eastAsia="zh-CN"/>
              </w:rPr>
              <w:t>碳氢化合物</w:t>
            </w:r>
            <w:r>
              <w:rPr>
                <w:rFonts w:hint="default"/>
                <w:color w:val="auto"/>
                <w:sz w:val="24"/>
                <w:lang w:val="en-US" w:eastAsia="zh-CN"/>
              </w:rPr>
              <w:t>)</w:t>
            </w:r>
            <w:r>
              <w:rPr>
                <w:rFonts w:hint="eastAsia"/>
                <w:color w:val="auto"/>
                <w:sz w:val="24"/>
                <w:lang w:val="en-US" w:eastAsia="zh-CN"/>
              </w:rPr>
              <w:t xml:space="preserve">是汽油不完全燃烧的产物。汽车尾气产生量与车辆数量、汽车种类、行驶状态、空燃比等有关，加上电动汽车的推广与普及，汽车尾气产排量较难定量。 </w:t>
            </w:r>
          </w:p>
          <w:p>
            <w:pPr>
              <w:spacing w:line="360" w:lineRule="auto"/>
              <w:ind w:firstLine="480" w:firstLineChars="200"/>
              <w:rPr>
                <w:rFonts w:hint="default"/>
                <w:color w:val="auto"/>
                <w:sz w:val="24"/>
              </w:rPr>
            </w:pPr>
            <w:r>
              <w:rPr>
                <w:rFonts w:hint="eastAsia"/>
                <w:color w:val="auto"/>
                <w:sz w:val="24"/>
                <w:lang w:val="en-US" w:eastAsia="zh-CN"/>
              </w:rPr>
              <w:t>本项目地下车库设置机械排风，采用汽车坡道自然补风和补风风机共同补风，排风量按平均每小时换气</w:t>
            </w:r>
            <w:r>
              <w:rPr>
                <w:rFonts w:hint="default"/>
                <w:color w:val="auto"/>
                <w:sz w:val="24"/>
                <w:lang w:val="en-US" w:eastAsia="zh-CN"/>
              </w:rPr>
              <w:t>4</w:t>
            </w:r>
            <w:r>
              <w:rPr>
                <w:rFonts w:hint="eastAsia"/>
                <w:color w:val="auto"/>
                <w:sz w:val="24"/>
                <w:lang w:val="en-US" w:eastAsia="zh-CN"/>
              </w:rPr>
              <w:t>次计。地下车库设置与排风系统联动的</w:t>
            </w:r>
            <w:r>
              <w:rPr>
                <w:rFonts w:hint="default"/>
                <w:color w:val="auto"/>
                <w:sz w:val="24"/>
                <w:lang w:val="en-US" w:eastAsia="zh-CN"/>
              </w:rPr>
              <w:t xml:space="preserve">CO </w:t>
            </w:r>
            <w:r>
              <w:rPr>
                <w:rFonts w:hint="eastAsia"/>
                <w:color w:val="auto"/>
                <w:sz w:val="24"/>
                <w:lang w:val="en-US" w:eastAsia="zh-CN"/>
              </w:rPr>
              <w:t>浓度监测装置。经过通风换气后，汽车尾气不会在地下室内积聚；地下车库汽车尾气由机械排风装置引至</w:t>
            </w:r>
            <w:r>
              <w:rPr>
                <w:rFonts w:hint="default"/>
                <w:color w:val="auto"/>
                <w:sz w:val="24"/>
                <w:lang w:val="en-US" w:eastAsia="zh-CN"/>
              </w:rPr>
              <w:t>2.5m</w:t>
            </w:r>
            <w:r>
              <w:rPr>
                <w:rFonts w:hint="eastAsia"/>
                <w:color w:val="auto"/>
                <w:sz w:val="24"/>
                <w:lang w:val="en-US" w:eastAsia="zh-CN"/>
              </w:rPr>
              <w:t>近地排放口排放，经过大气扩散稀释及绿化吸收后，对周围环境影响不大。但仍建议加强通风，尤其在高峰期，排风设备必须全部开启，在此基础上，地下车库的汽车尾气对周围环境影响较小</w:t>
            </w:r>
          </w:p>
          <w:p>
            <w:pPr>
              <w:spacing w:line="360" w:lineRule="auto"/>
              <w:ind w:firstLine="480" w:firstLineChars="200"/>
              <w:rPr>
                <w:rFonts w:hint="default" w:ascii="Times New Roman" w:hAnsi="宋体" w:eastAsia="宋体" w:cs="Times New Roman"/>
                <w:color w:val="auto"/>
                <w:sz w:val="24"/>
              </w:rPr>
            </w:pPr>
            <w:r>
              <w:rPr>
                <w:rFonts w:hint="default" w:ascii="Times New Roman" w:hAnsi="宋体" w:eastAsia="宋体" w:cs="Times New Roman"/>
                <w:color w:val="auto"/>
                <w:sz w:val="24"/>
              </w:rPr>
              <w:t>③恶臭</w:t>
            </w:r>
          </w:p>
          <w:p>
            <w:pPr>
              <w:spacing w:line="360" w:lineRule="auto"/>
              <w:ind w:firstLine="480" w:firstLineChars="200"/>
              <w:rPr>
                <w:rFonts w:hint="default" w:ascii="Times New Roman" w:hAnsi="宋体" w:eastAsia="宋体" w:cs="Times New Roman"/>
                <w:color w:val="auto"/>
                <w:sz w:val="24"/>
              </w:rPr>
            </w:pPr>
            <w:r>
              <w:rPr>
                <w:rFonts w:hint="default" w:ascii="Times New Roman" w:hAnsi="宋体" w:eastAsia="宋体" w:cs="Times New Roman"/>
                <w:color w:val="auto"/>
                <w:sz w:val="24"/>
              </w:rPr>
              <w:t>本项目</w:t>
            </w:r>
            <w:r>
              <w:rPr>
                <w:rFonts w:hint="eastAsia" w:ascii="Times New Roman" w:hAnsi="宋体" w:eastAsia="宋体" w:cs="Times New Roman"/>
                <w:color w:val="auto"/>
                <w:sz w:val="24"/>
                <w:lang w:val="en-US" w:eastAsia="zh-CN"/>
              </w:rPr>
              <w:t>未</w:t>
            </w:r>
            <w:r>
              <w:rPr>
                <w:rFonts w:hint="eastAsia" w:ascii="Times New Roman" w:hAnsi="宋体" w:eastAsia="宋体" w:cs="Times New Roman"/>
                <w:color w:val="auto"/>
                <w:sz w:val="24"/>
                <w:lang w:eastAsia="zh-CN"/>
              </w:rPr>
              <w:t>设置</w:t>
            </w:r>
            <w:r>
              <w:rPr>
                <w:rFonts w:hint="default" w:ascii="Times New Roman" w:hAnsi="宋体" w:eastAsia="宋体" w:cs="Times New Roman"/>
                <w:color w:val="auto"/>
                <w:sz w:val="24"/>
              </w:rPr>
              <w:t>集中式垃圾站，</w:t>
            </w:r>
            <w:r>
              <w:rPr>
                <w:rFonts w:hint="eastAsia" w:ascii="Times New Roman" w:hAnsi="宋体" w:eastAsia="宋体" w:cs="Times New Roman"/>
                <w:color w:val="auto"/>
                <w:sz w:val="24"/>
                <w:lang w:val="en-US" w:eastAsia="zh-CN"/>
              </w:rPr>
              <w:t>仅有小型垃圾收集桶</w:t>
            </w:r>
            <w:r>
              <w:rPr>
                <w:rFonts w:hint="default" w:ascii="Times New Roman" w:hAnsi="宋体" w:eastAsia="宋体" w:cs="Times New Roman"/>
                <w:color w:val="auto"/>
                <w:sz w:val="24"/>
              </w:rPr>
              <w:t>，</w:t>
            </w:r>
            <w:r>
              <w:rPr>
                <w:rFonts w:hint="eastAsia" w:ascii="Times New Roman" w:hAnsi="宋体" w:eastAsia="宋体" w:cs="Times New Roman"/>
                <w:color w:val="auto"/>
                <w:sz w:val="24"/>
                <w:lang w:val="en-US" w:eastAsia="zh-CN"/>
              </w:rPr>
              <w:t>小型垃圾收集桶内</w:t>
            </w:r>
            <w:r>
              <w:rPr>
                <w:rFonts w:hint="default" w:ascii="Times New Roman" w:hAnsi="宋体" w:eastAsia="宋体" w:cs="Times New Roman"/>
                <w:color w:val="auto"/>
                <w:sz w:val="24"/>
              </w:rPr>
              <w:t>部分易腐败的有机垃圾由于其分解会发出异味，对环境的影响主要表现为恶臭，恶臭污染物根据国家标准，主要指一切刺激嗅觉器官引起人们不愉快及损害生活环境的气体物质。来自生活垃圾中的有机垃圾（变质腐烂蔬菜等）所产生的恶臭气体有两种来源；一种是垃圾成分中本身发出的异味，不是垃圾主要的恶臭来源。另一种是有机物腐败分解产生的恶臭气体，垃圾内含有 40～70%有机物，分为植物类（例如米饭、面食、瓜皮果壳和蔬菜烂叶、根等）和动物类（例如鱼、肉、骨头等），在微生物作用下的分解产生恶臭味是垃圾恶臭的主要来源，同时有机物腐败产生的恶臭程度与季节有很大的关系，在夏季气温较高时有机物极易腐败，此时从垃圾中散发的恶臭气体明显比冬季强烈。垃圾产生的臭气的成分和含量均较难确定，本环评对其源强作定性分析。据资料调查，臭气中主要成分为氨、硫化氢和甲硫醇、三甲胺等脂肪族类物质。</w:t>
            </w:r>
            <w:r>
              <w:rPr>
                <w:rFonts w:hint="eastAsia" w:ascii="Times New Roman" w:hAnsi="宋体" w:eastAsia="宋体" w:cs="Times New Roman"/>
                <w:color w:val="auto"/>
                <w:sz w:val="24"/>
              </w:rPr>
              <w:t>由于</w:t>
            </w:r>
            <w:r>
              <w:rPr>
                <w:rFonts w:hint="eastAsia" w:ascii="Times New Roman" w:hAnsi="宋体" w:eastAsia="宋体" w:cs="Times New Roman"/>
                <w:color w:val="auto"/>
                <w:sz w:val="24"/>
                <w:lang w:val="en-US" w:eastAsia="zh-CN"/>
              </w:rPr>
              <w:t>安置区内垃圾桶体量较小且分布</w:t>
            </w:r>
            <w:r>
              <w:rPr>
                <w:rFonts w:hint="eastAsia" w:ascii="Times New Roman" w:hAnsi="宋体" w:eastAsia="宋体" w:cs="Times New Roman"/>
                <w:color w:val="auto"/>
                <w:sz w:val="24"/>
                <w:lang w:eastAsia="zh-CN"/>
              </w:rPr>
              <w:t>相对分散，</w:t>
            </w:r>
            <w:r>
              <w:rPr>
                <w:rFonts w:hint="eastAsia" w:ascii="Times New Roman" w:hAnsi="宋体" w:eastAsia="宋体" w:cs="Times New Roman"/>
                <w:color w:val="auto"/>
                <w:sz w:val="24"/>
                <w:lang w:val="en-US" w:eastAsia="zh-CN"/>
              </w:rPr>
              <w:t>安置区内物业人员及时清理清运</w:t>
            </w:r>
            <w:r>
              <w:rPr>
                <w:rFonts w:hint="eastAsia" w:ascii="Times New Roman" w:hAnsi="宋体" w:eastAsia="宋体" w:cs="Times New Roman"/>
                <w:color w:val="auto"/>
                <w:sz w:val="24"/>
              </w:rPr>
              <w:t>，本项目</w:t>
            </w:r>
            <w:r>
              <w:rPr>
                <w:rFonts w:hint="eastAsia" w:ascii="Times New Roman" w:hAnsi="宋体" w:eastAsia="宋体" w:cs="Times New Roman"/>
                <w:color w:val="auto"/>
                <w:sz w:val="24"/>
                <w:lang w:val="en-US" w:eastAsia="zh-CN"/>
              </w:rPr>
              <w:t>恶臭</w:t>
            </w:r>
            <w:r>
              <w:rPr>
                <w:rFonts w:hint="eastAsia" w:ascii="Times New Roman" w:hAnsi="宋体" w:eastAsia="宋体" w:cs="Times New Roman"/>
                <w:color w:val="auto"/>
                <w:sz w:val="24"/>
              </w:rPr>
              <w:t>污染物浓度较低</w:t>
            </w:r>
            <w:r>
              <w:rPr>
                <w:rFonts w:hint="eastAsia" w:ascii="Times New Roman" w:hAnsi="宋体" w:eastAsia="宋体" w:cs="Times New Roman"/>
                <w:color w:val="auto"/>
                <w:sz w:val="24"/>
                <w:lang w:eastAsia="zh-CN"/>
              </w:rPr>
              <w:t>，</w:t>
            </w:r>
            <w:r>
              <w:rPr>
                <w:rFonts w:hint="eastAsia" w:ascii="Times New Roman" w:hAnsi="Times New Roman" w:eastAsia="宋体" w:cs="宋体"/>
                <w:bCs/>
                <w:color w:val="auto"/>
                <w:spacing w:val="-10"/>
                <w:sz w:val="24"/>
                <w:szCs w:val="21"/>
                <w:lang w:val="en-US" w:eastAsia="zh-CN"/>
              </w:rPr>
              <w:t>经周边大气环境稀释后对周边环境影响较小，</w:t>
            </w:r>
            <w:r>
              <w:rPr>
                <w:rFonts w:hint="eastAsia" w:ascii="Times New Roman" w:hAnsi="宋体" w:eastAsia="宋体" w:cs="Times New Roman"/>
                <w:color w:val="auto"/>
                <w:sz w:val="24"/>
                <w:lang w:eastAsia="zh-CN"/>
              </w:rPr>
              <w:t>不进行定量分析</w:t>
            </w:r>
            <w:r>
              <w:rPr>
                <w:rFonts w:hint="eastAsia" w:ascii="Times New Roman" w:hAnsi="宋体" w:eastAsia="宋体" w:cs="Times New Roman"/>
                <w:color w:val="auto"/>
                <w:sz w:val="24"/>
              </w:rPr>
              <w:t>。</w:t>
            </w:r>
          </w:p>
          <w:p>
            <w:pPr>
              <w:numPr>
                <w:ilvl w:val="0"/>
                <w:numId w:val="0"/>
              </w:numPr>
              <w:adjustRightInd w:val="0"/>
              <w:snapToGrid w:val="0"/>
              <w:spacing w:line="360" w:lineRule="auto"/>
              <w:rPr>
                <w:rFonts w:cs="宋体"/>
                <w:b/>
                <w:color w:val="auto"/>
                <w:spacing w:val="-10"/>
                <w:sz w:val="24"/>
                <w:szCs w:val="21"/>
              </w:rPr>
            </w:pPr>
            <w:r>
              <w:rPr>
                <w:rFonts w:hint="eastAsia" w:cs="宋体"/>
                <w:b/>
                <w:color w:val="auto"/>
                <w:spacing w:val="-10"/>
                <w:sz w:val="24"/>
                <w:szCs w:val="21"/>
                <w:lang w:val="en-US" w:eastAsia="zh-CN"/>
              </w:rPr>
              <w:t>3、</w:t>
            </w:r>
            <w:r>
              <w:rPr>
                <w:rFonts w:hint="eastAsia" w:cs="宋体"/>
                <w:b/>
                <w:color w:val="auto"/>
                <w:spacing w:val="-10"/>
                <w:sz w:val="24"/>
                <w:szCs w:val="21"/>
              </w:rPr>
              <w:t>废水环境影响分析</w:t>
            </w:r>
          </w:p>
          <w:p>
            <w:pPr>
              <w:pStyle w:val="53"/>
              <w:adjustRightInd w:val="0"/>
              <w:snapToGrid w:val="0"/>
              <w:spacing w:line="360" w:lineRule="auto"/>
              <w:ind w:firstLine="482"/>
              <w:rPr>
                <w:rFonts w:hint="eastAsia"/>
                <w:b/>
                <w:bCs/>
                <w:color w:val="auto"/>
                <w:sz w:val="24"/>
                <w:highlight w:val="none"/>
              </w:rPr>
            </w:pPr>
            <w:r>
              <w:rPr>
                <w:rFonts w:hint="eastAsia"/>
                <w:b/>
                <w:bCs/>
                <w:color w:val="auto"/>
                <w:sz w:val="24"/>
                <w:highlight w:val="none"/>
                <w:lang w:val="en-US" w:eastAsia="zh-CN"/>
              </w:rPr>
              <w:t>3.1</w:t>
            </w:r>
            <w:r>
              <w:rPr>
                <w:rFonts w:hint="eastAsia"/>
                <w:b/>
                <w:bCs/>
                <w:color w:val="auto"/>
                <w:sz w:val="24"/>
                <w:highlight w:val="none"/>
              </w:rPr>
              <w:t>废水污染源强分析</w:t>
            </w:r>
          </w:p>
          <w:p>
            <w:pPr>
              <w:pStyle w:val="61"/>
              <w:ind w:firstLine="480"/>
              <w:rPr>
                <w:rFonts w:hint="eastAsia" w:ascii="Times New Roman" w:hAnsi="Times New Roman" w:eastAsia="宋体" w:cs="Times New Roman"/>
                <w:color w:val="auto"/>
              </w:rPr>
            </w:pPr>
            <w:r>
              <w:rPr>
                <w:rFonts w:hint="eastAsia" w:ascii="Times New Roman" w:hAnsi="Times New Roman" w:eastAsia="宋体" w:cs="Times New Roman"/>
                <w:color w:val="auto"/>
              </w:rPr>
              <w:t>本项目无生产废水产</w:t>
            </w:r>
            <w:r>
              <w:rPr>
                <w:rFonts w:hint="eastAsia" w:ascii="Times New Roman" w:hAnsi="Times New Roman" w:eastAsia="宋体" w:cs="Times New Roman"/>
                <w:color w:val="auto"/>
                <w:highlight w:val="none"/>
              </w:rPr>
              <w:t>生，运营期废水主要为职工生活污水。</w:t>
            </w:r>
            <w:r>
              <w:rPr>
                <w:rFonts w:hint="eastAsia" w:ascii="Times New Roman" w:hAnsi="Times New Roman" w:eastAsia="宋体" w:cs="Times New Roman"/>
                <w:color w:val="auto"/>
                <w:highlight w:val="none"/>
                <w:lang w:val="en-US" w:eastAsia="zh-CN"/>
              </w:rPr>
              <w:t>根据</w:t>
            </w:r>
            <w:r>
              <w:rPr>
                <w:rFonts w:hint="eastAsia" w:cs="Times New Roman"/>
                <w:color w:val="auto"/>
                <w:highlight w:val="none"/>
                <w:lang w:val="en-US" w:eastAsia="zh-CN"/>
              </w:rPr>
              <w:t>前述</w:t>
            </w:r>
            <w:r>
              <w:rPr>
                <w:rFonts w:hint="eastAsia" w:ascii="Times New Roman" w:hAnsi="Times New Roman" w:eastAsia="宋体" w:cs="Times New Roman"/>
                <w:color w:val="auto"/>
                <w:highlight w:val="none"/>
                <w:lang w:val="en-US" w:eastAsia="zh-CN"/>
              </w:rPr>
              <w:t>计算，生活</w:t>
            </w:r>
            <w:r>
              <w:rPr>
                <w:rFonts w:hint="eastAsia" w:cs="Times New Roman"/>
                <w:color w:val="auto"/>
                <w:highlight w:val="none"/>
                <w:lang w:val="en-US" w:eastAsia="zh-CN"/>
              </w:rPr>
              <w:t>用水量为36500</w:t>
            </w:r>
            <w:r>
              <w:rPr>
                <w:rFonts w:hint="eastAsia" w:cs="宋体"/>
                <w:bCs/>
                <w:color w:val="auto"/>
                <w:sz w:val="24"/>
                <w:szCs w:val="21"/>
                <w:highlight w:val="none"/>
              </w:rPr>
              <w:t>t/</w:t>
            </w:r>
            <w:r>
              <w:rPr>
                <w:rFonts w:hint="eastAsia" w:cs="宋体"/>
                <w:bCs/>
                <w:color w:val="auto"/>
                <w:sz w:val="24"/>
                <w:szCs w:val="21"/>
                <w:highlight w:val="none"/>
                <w:lang w:val="en-US" w:eastAsia="zh-CN"/>
              </w:rPr>
              <w:t>a</w:t>
            </w:r>
            <w:r>
              <w:rPr>
                <w:rFonts w:hint="eastAsia" w:cs="Times New Roman"/>
                <w:color w:val="auto"/>
                <w:highlight w:val="none"/>
                <w:lang w:val="en-US" w:eastAsia="zh-CN"/>
              </w:rPr>
              <w:t>，产污率按80%计算，则</w:t>
            </w:r>
            <w:r>
              <w:rPr>
                <w:rFonts w:hint="eastAsia" w:ascii="Times New Roman" w:hAnsi="Times New Roman" w:eastAsia="宋体" w:cs="Times New Roman"/>
                <w:color w:val="auto"/>
                <w:highlight w:val="none"/>
                <w:lang w:val="en-US" w:eastAsia="zh-CN"/>
              </w:rPr>
              <w:t>污水排放量</w:t>
            </w:r>
            <w:r>
              <w:rPr>
                <w:rFonts w:hint="eastAsia" w:cs="Times New Roman"/>
                <w:color w:val="auto"/>
                <w:highlight w:val="none"/>
                <w:lang w:val="en-US" w:eastAsia="zh-CN"/>
              </w:rPr>
              <w:t>为29200</w:t>
            </w:r>
            <w:r>
              <w:rPr>
                <w:rFonts w:hint="eastAsia" w:cs="宋体"/>
                <w:bCs/>
                <w:color w:val="auto"/>
                <w:sz w:val="24"/>
                <w:szCs w:val="21"/>
                <w:highlight w:val="none"/>
              </w:rPr>
              <w:t>t/</w:t>
            </w:r>
            <w:r>
              <w:rPr>
                <w:rFonts w:hint="eastAsia" w:cs="宋体"/>
                <w:bCs/>
                <w:color w:val="auto"/>
                <w:sz w:val="24"/>
                <w:szCs w:val="21"/>
                <w:highlight w:val="none"/>
                <w:lang w:val="en-US" w:eastAsia="zh-CN"/>
              </w:rPr>
              <w:t>a，80</w:t>
            </w:r>
            <w:r>
              <w:rPr>
                <w:rFonts w:hint="eastAsia" w:cs="宋体"/>
                <w:bCs/>
                <w:color w:val="auto"/>
                <w:sz w:val="24"/>
                <w:szCs w:val="21"/>
                <w:highlight w:val="none"/>
              </w:rPr>
              <w:t>t/</w:t>
            </w:r>
            <w:r>
              <w:rPr>
                <w:rFonts w:hint="eastAsia" w:cs="宋体"/>
                <w:bCs/>
                <w:color w:val="auto"/>
                <w:sz w:val="24"/>
                <w:szCs w:val="21"/>
                <w:highlight w:val="none"/>
                <w:lang w:val="en-US" w:eastAsia="zh-CN"/>
              </w:rPr>
              <w:t>d</w:t>
            </w:r>
            <w:r>
              <w:rPr>
                <w:rFonts w:hint="eastAsia" w:cs="宋体"/>
                <w:bCs/>
                <w:color w:val="auto"/>
                <w:sz w:val="24"/>
                <w:szCs w:val="21"/>
                <w:highlight w:val="none"/>
              </w:rPr>
              <w:t>。</w:t>
            </w:r>
            <w:r>
              <w:rPr>
                <w:rFonts w:hint="eastAsia" w:ascii="Times New Roman" w:hAnsi="Times New Roman" w:eastAsia="宋体" w:cs="Times New Roman"/>
                <w:color w:val="auto"/>
                <w:highlight w:val="none"/>
              </w:rPr>
              <w:t>污染物浓度为</w:t>
            </w:r>
            <w:r>
              <w:rPr>
                <w:rFonts w:hint="default" w:ascii="Times New Roman" w:hAnsi="Times New Roman" w:eastAsia="宋体" w:cs="Times New Roman"/>
                <w:color w:val="auto"/>
                <w:highlight w:val="none"/>
              </w:rPr>
              <w:t>CO</w:t>
            </w:r>
            <w:r>
              <w:rPr>
                <w:rFonts w:hint="default" w:ascii="Times New Roman" w:hAnsi="Times New Roman" w:eastAsia="宋体" w:cs="Times New Roman"/>
                <w:color w:val="auto"/>
              </w:rPr>
              <w:t>D</w:t>
            </w:r>
            <w:r>
              <w:rPr>
                <w:rFonts w:hint="eastAsia" w:ascii="Times New Roman" w:hAnsi="Times New Roman" w:eastAsia="宋体" w:cs="Times New Roman"/>
                <w:color w:val="auto"/>
              </w:rPr>
              <w:t>为</w:t>
            </w:r>
            <w:r>
              <w:rPr>
                <w:rFonts w:hint="default" w:ascii="Times New Roman" w:hAnsi="Times New Roman" w:eastAsia="宋体" w:cs="Times New Roman"/>
                <w:color w:val="auto"/>
              </w:rPr>
              <w:t>350mg/L</w:t>
            </w:r>
            <w:r>
              <w:rPr>
                <w:rFonts w:hint="eastAsia" w:ascii="Times New Roman" w:hAnsi="Times New Roman" w:eastAsia="宋体" w:cs="Times New Roman"/>
                <w:color w:val="auto"/>
              </w:rPr>
              <w:t>、</w:t>
            </w:r>
            <w:r>
              <w:rPr>
                <w:rFonts w:hint="default" w:ascii="Times New Roman" w:hAnsi="Times New Roman" w:eastAsia="宋体" w:cs="Times New Roman"/>
                <w:color w:val="auto"/>
              </w:rPr>
              <w:t>BOD</w:t>
            </w:r>
            <w:r>
              <w:rPr>
                <w:rFonts w:hint="default" w:ascii="Times New Roman" w:hAnsi="Times New Roman" w:eastAsia="宋体" w:cs="Times New Roman"/>
                <w:color w:val="auto"/>
                <w:vertAlign w:val="subscript"/>
              </w:rPr>
              <w:t>5</w:t>
            </w:r>
            <w:r>
              <w:rPr>
                <w:rFonts w:hint="eastAsia" w:ascii="Times New Roman" w:hAnsi="Times New Roman" w:eastAsia="宋体" w:cs="Times New Roman"/>
                <w:color w:val="auto"/>
              </w:rPr>
              <w:t>为</w:t>
            </w:r>
            <w:r>
              <w:rPr>
                <w:rFonts w:hint="default" w:ascii="Times New Roman" w:hAnsi="Times New Roman" w:eastAsia="宋体" w:cs="Times New Roman"/>
                <w:color w:val="auto"/>
              </w:rPr>
              <w:t>200mg/L</w:t>
            </w:r>
            <w:r>
              <w:rPr>
                <w:rFonts w:hint="eastAsia" w:ascii="Times New Roman" w:hAnsi="Times New Roman" w:eastAsia="宋体" w:cs="Times New Roman"/>
                <w:color w:val="auto"/>
              </w:rPr>
              <w:t>、</w:t>
            </w:r>
            <w:r>
              <w:rPr>
                <w:rFonts w:hint="default" w:ascii="Times New Roman" w:hAnsi="Times New Roman" w:eastAsia="宋体" w:cs="Times New Roman"/>
                <w:color w:val="auto"/>
              </w:rPr>
              <w:t>SS</w:t>
            </w:r>
            <w:r>
              <w:rPr>
                <w:rFonts w:hint="eastAsia" w:ascii="Times New Roman" w:hAnsi="Times New Roman" w:eastAsia="宋体" w:cs="Times New Roman"/>
                <w:color w:val="auto"/>
              </w:rPr>
              <w:t>为</w:t>
            </w:r>
            <w:r>
              <w:rPr>
                <w:rFonts w:hint="default" w:ascii="Times New Roman" w:hAnsi="Times New Roman" w:eastAsia="宋体" w:cs="Times New Roman"/>
                <w:color w:val="auto"/>
              </w:rPr>
              <w:t>300mg/L</w:t>
            </w:r>
            <w:r>
              <w:rPr>
                <w:rFonts w:hint="eastAsia" w:ascii="Times New Roman" w:hAnsi="Times New Roman" w:eastAsia="宋体" w:cs="Times New Roman"/>
                <w:color w:val="auto"/>
              </w:rPr>
              <w:t>、</w:t>
            </w:r>
            <w:r>
              <w:rPr>
                <w:rFonts w:hint="default" w:ascii="Times New Roman" w:hAnsi="Times New Roman" w:eastAsia="宋体" w:cs="Times New Roman"/>
                <w:color w:val="auto"/>
              </w:rPr>
              <w:t>NH</w:t>
            </w:r>
            <w:r>
              <w:rPr>
                <w:rFonts w:hint="default" w:ascii="Times New Roman" w:hAnsi="Times New Roman" w:eastAsia="宋体" w:cs="Times New Roman"/>
                <w:color w:val="auto"/>
                <w:vertAlign w:val="subscript"/>
              </w:rPr>
              <w:t>3</w:t>
            </w:r>
            <w:r>
              <w:rPr>
                <w:rFonts w:hint="default" w:ascii="Times New Roman" w:hAnsi="Times New Roman" w:eastAsia="宋体" w:cs="Times New Roman"/>
                <w:color w:val="auto"/>
              </w:rPr>
              <w:t>-N</w:t>
            </w:r>
            <w:r>
              <w:rPr>
                <w:rFonts w:hint="eastAsia" w:ascii="Times New Roman" w:hAnsi="Times New Roman" w:eastAsia="宋体" w:cs="Times New Roman"/>
                <w:color w:val="auto"/>
              </w:rPr>
              <w:t>为</w:t>
            </w:r>
            <w:r>
              <w:rPr>
                <w:rFonts w:hint="default" w:ascii="Times New Roman" w:hAnsi="Times New Roman" w:eastAsia="宋体" w:cs="Times New Roman"/>
                <w:color w:val="auto"/>
              </w:rPr>
              <w:t>30mg/L</w:t>
            </w:r>
            <w:r>
              <w:rPr>
                <w:rFonts w:hint="eastAsia" w:cs="Times New Roman"/>
                <w:color w:val="auto"/>
                <w:lang w:eastAsia="zh-CN"/>
              </w:rPr>
              <w:t>、</w:t>
            </w:r>
            <w:r>
              <w:rPr>
                <w:rFonts w:hint="eastAsia" w:cs="Times New Roman"/>
                <w:color w:val="auto"/>
                <w:lang w:val="en-US" w:eastAsia="zh-CN"/>
              </w:rPr>
              <w:t>TP为10</w:t>
            </w:r>
            <w:r>
              <w:rPr>
                <w:rFonts w:hint="default" w:ascii="Times New Roman" w:hAnsi="Times New Roman" w:eastAsia="宋体" w:cs="Times New Roman"/>
                <w:color w:val="auto"/>
              </w:rPr>
              <w:t>mg/L</w:t>
            </w:r>
            <w:r>
              <w:rPr>
                <w:rFonts w:hint="eastAsia" w:ascii="Times New Roman" w:hAnsi="Times New Roman" w:eastAsia="宋体" w:cs="Times New Roman"/>
                <w:color w:val="auto"/>
              </w:rPr>
              <w:t>。</w:t>
            </w:r>
            <w:r>
              <w:rPr>
                <w:rFonts w:hint="eastAsia"/>
                <w:color w:val="auto"/>
                <w:spacing w:val="-3"/>
                <w:sz w:val="24"/>
                <w:szCs w:val="24"/>
              </w:rPr>
              <w:t>本项目生活污水经化粪池处理后达</w:t>
            </w:r>
            <w:r>
              <w:rPr>
                <w:rFonts w:hint="eastAsia"/>
                <w:color w:val="auto"/>
                <w:sz w:val="24"/>
                <w:lang w:val="en-US" w:eastAsia="zh-CN"/>
              </w:rPr>
              <w:t>到</w:t>
            </w:r>
            <w:r>
              <w:rPr>
                <w:color w:val="auto"/>
                <w:sz w:val="24"/>
                <w:lang w:val="en-US" w:eastAsia="zh-CN"/>
              </w:rPr>
              <w:t>华容县团洲乡团洲新村污水处理厂</w:t>
            </w:r>
            <w:r>
              <w:rPr>
                <w:rFonts w:hint="eastAsia"/>
                <w:color w:val="auto"/>
                <w:sz w:val="24"/>
                <w:lang w:val="en-US" w:eastAsia="zh-CN"/>
              </w:rPr>
              <w:t>进水水质标准后</w:t>
            </w:r>
            <w:r>
              <w:rPr>
                <w:rFonts w:hint="eastAsia"/>
                <w:color w:val="auto"/>
                <w:sz w:val="24"/>
              </w:rPr>
              <w:t>经</w:t>
            </w:r>
            <w:r>
              <w:rPr>
                <w:rFonts w:hint="eastAsia"/>
                <w:color w:val="auto"/>
                <w:sz w:val="24"/>
                <w:lang w:val="en-US" w:eastAsia="zh-CN"/>
              </w:rPr>
              <w:t>市政</w:t>
            </w:r>
            <w:r>
              <w:rPr>
                <w:rFonts w:hint="eastAsia"/>
                <w:color w:val="auto"/>
                <w:sz w:val="24"/>
              </w:rPr>
              <w:t>污水管网收集后</w:t>
            </w:r>
            <w:r>
              <w:rPr>
                <w:rFonts w:hint="eastAsia"/>
                <w:color w:val="auto"/>
                <w:sz w:val="24"/>
                <w:lang w:val="en-US" w:eastAsia="zh-CN"/>
              </w:rPr>
              <w:t>排入</w:t>
            </w:r>
            <w:r>
              <w:rPr>
                <w:color w:val="auto"/>
                <w:sz w:val="24"/>
                <w:lang w:val="en-US" w:eastAsia="zh-CN"/>
              </w:rPr>
              <w:t>华容县团洲乡团洲新村污水处理厂</w:t>
            </w:r>
            <w:r>
              <w:rPr>
                <w:rFonts w:hint="eastAsia"/>
                <w:color w:val="auto"/>
                <w:sz w:val="24"/>
              </w:rPr>
              <w:t>进行深度处理</w:t>
            </w:r>
            <w:r>
              <w:rPr>
                <w:rFonts w:hint="eastAsia"/>
                <w:color w:val="auto"/>
                <w:sz w:val="24"/>
                <w:lang w:eastAsia="zh-CN"/>
              </w:rPr>
              <w:t>，</w:t>
            </w:r>
            <w:r>
              <w:rPr>
                <w:rFonts w:hint="eastAsia"/>
                <w:color w:val="auto"/>
                <w:sz w:val="24"/>
                <w:lang w:val="en-US" w:eastAsia="zh-CN"/>
              </w:rPr>
              <w:t>经处理</w:t>
            </w:r>
            <w:r>
              <w:rPr>
                <w:rFonts w:hint="eastAsia"/>
                <w:color w:val="auto"/>
                <w:sz w:val="24"/>
              </w:rPr>
              <w:t>排水水质达《城镇污水处理厂污染物排放标准》（GB</w:t>
            </w:r>
            <w:r>
              <w:rPr>
                <w:rFonts w:hint="eastAsia"/>
                <w:color w:val="auto"/>
                <w:sz w:val="24"/>
                <w:lang w:val="en-US" w:eastAsia="zh-CN"/>
              </w:rPr>
              <w:t xml:space="preserve"> </w:t>
            </w:r>
            <w:r>
              <w:rPr>
                <w:rFonts w:hint="eastAsia"/>
                <w:color w:val="auto"/>
                <w:sz w:val="24"/>
              </w:rPr>
              <w:t>18918-2002）</w:t>
            </w:r>
            <w:r>
              <w:rPr>
                <w:rFonts w:hint="eastAsia" w:eastAsia="宋体"/>
                <w:color w:val="auto"/>
                <w:sz w:val="24"/>
              </w:rPr>
              <w:t>一级A标准后，</w:t>
            </w:r>
            <w:r>
              <w:rPr>
                <w:rFonts w:hint="eastAsia"/>
                <w:color w:val="auto"/>
                <w:sz w:val="24"/>
                <w:lang w:val="en-US" w:eastAsia="zh-CN"/>
              </w:rPr>
              <w:t>回用于县区洒水降尘及绿化（若有多余部分可回用于周边农田）</w:t>
            </w:r>
            <w:r>
              <w:rPr>
                <w:rFonts w:hint="eastAsia"/>
                <w:color w:val="auto"/>
                <w:sz w:val="24"/>
                <w:szCs w:val="24"/>
                <w:lang w:eastAsia="zh-CN"/>
              </w:rPr>
              <w:t>，</w:t>
            </w:r>
            <w:r>
              <w:rPr>
                <w:rFonts w:hint="eastAsia"/>
                <w:color w:val="auto"/>
                <w:sz w:val="24"/>
                <w:szCs w:val="24"/>
                <w:lang w:val="en-US" w:eastAsia="zh-CN"/>
              </w:rPr>
              <w:t>不直接外排周边水体，对周边环境影响较小</w:t>
            </w:r>
            <w:r>
              <w:rPr>
                <w:rFonts w:hint="eastAsia"/>
                <w:color w:val="auto"/>
                <w:sz w:val="24"/>
                <w:szCs w:val="24"/>
              </w:rPr>
              <w:t>。</w:t>
            </w:r>
          </w:p>
          <w:p>
            <w:pPr>
              <w:adjustRightInd w:val="0"/>
              <w:snapToGrid w:val="0"/>
              <w:ind w:firstLine="442" w:firstLineChars="200"/>
              <w:jc w:val="center"/>
              <w:rPr>
                <w:rFonts w:hint="eastAsia" w:cs="宋体"/>
                <w:b/>
                <w:color w:val="auto"/>
                <w:spacing w:val="-10"/>
                <w:sz w:val="24"/>
                <w:szCs w:val="21"/>
                <w:highlight w:val="none"/>
              </w:rPr>
            </w:pPr>
            <w:r>
              <w:rPr>
                <w:rFonts w:hint="eastAsia" w:cs="宋体"/>
                <w:b/>
                <w:color w:val="auto"/>
                <w:spacing w:val="-10"/>
                <w:sz w:val="24"/>
                <w:szCs w:val="21"/>
                <w:highlight w:val="none"/>
              </w:rPr>
              <w:t>表</w:t>
            </w:r>
            <w:r>
              <w:rPr>
                <w:rFonts w:hint="eastAsia" w:cs="宋体"/>
                <w:b/>
                <w:color w:val="auto"/>
                <w:spacing w:val="-10"/>
                <w:sz w:val="24"/>
                <w:szCs w:val="21"/>
                <w:highlight w:val="none"/>
                <w:lang w:val="en-US" w:eastAsia="zh-CN"/>
              </w:rPr>
              <w:t>4-2</w:t>
            </w:r>
            <w:r>
              <w:rPr>
                <w:rFonts w:hint="default" w:cs="宋体"/>
                <w:b/>
                <w:color w:val="auto"/>
                <w:spacing w:val="-10"/>
                <w:sz w:val="24"/>
                <w:szCs w:val="21"/>
                <w:highlight w:val="none"/>
              </w:rPr>
              <w:tab/>
            </w:r>
            <w:r>
              <w:rPr>
                <w:rFonts w:hint="eastAsia" w:cs="宋体"/>
                <w:b/>
                <w:color w:val="auto"/>
                <w:spacing w:val="-10"/>
                <w:sz w:val="24"/>
                <w:szCs w:val="21"/>
                <w:highlight w:val="none"/>
                <w:lang w:val="en-US" w:eastAsia="zh-CN"/>
              </w:rPr>
              <w:t xml:space="preserve"> </w:t>
            </w:r>
            <w:r>
              <w:rPr>
                <w:rFonts w:hint="eastAsia" w:cs="宋体"/>
                <w:b/>
                <w:color w:val="auto"/>
                <w:spacing w:val="-10"/>
                <w:sz w:val="24"/>
                <w:szCs w:val="21"/>
                <w:highlight w:val="none"/>
              </w:rPr>
              <w:t>项目运营期废水污染物产生情况一览表</w:t>
            </w:r>
          </w:p>
          <w:tbl>
            <w:tblPr>
              <w:tblStyle w:val="22"/>
              <w:tblW w:w="7937"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817"/>
              <w:gridCol w:w="973"/>
              <w:gridCol w:w="1116"/>
              <w:gridCol w:w="1258"/>
              <w:gridCol w:w="1257"/>
              <w:gridCol w:w="1258"/>
              <w:gridCol w:w="125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60" w:hRule="atLeast"/>
                <w:jc w:val="center"/>
              </w:trPr>
              <w:tc>
                <w:tcPr>
                  <w:tcW w:w="817" w:type="dxa"/>
                  <w:tcBorders>
                    <w:tl2br w:val="nil"/>
                    <w:tr2bl w:val="nil"/>
                  </w:tcBorders>
                  <w:shd w:val="clear" w:color="auto" w:fill="F1F1F1"/>
                  <w:noWrap w:val="0"/>
                  <w:vAlign w:val="center"/>
                </w:tcPr>
                <w:p>
                  <w:pPr>
                    <w:pStyle w:val="5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项目</w:t>
                  </w:r>
                </w:p>
              </w:tc>
              <w:tc>
                <w:tcPr>
                  <w:tcW w:w="973" w:type="dxa"/>
                  <w:tcBorders>
                    <w:tl2br w:val="nil"/>
                    <w:tr2bl w:val="nil"/>
                  </w:tcBorders>
                  <w:shd w:val="clear" w:color="auto" w:fill="F1F1F1"/>
                  <w:noWrap w:val="0"/>
                  <w:vAlign w:val="center"/>
                </w:tcPr>
                <w:p>
                  <w:pPr>
                    <w:pStyle w:val="5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污染因子</w:t>
                  </w:r>
                </w:p>
              </w:tc>
              <w:tc>
                <w:tcPr>
                  <w:tcW w:w="1116" w:type="dxa"/>
                  <w:tcBorders>
                    <w:tl2br w:val="nil"/>
                    <w:tr2bl w:val="nil"/>
                  </w:tcBorders>
                  <w:shd w:val="clear" w:color="auto" w:fill="F1F1F1"/>
                  <w:noWrap w:val="0"/>
                  <w:vAlign w:val="center"/>
                </w:tcPr>
                <w:p>
                  <w:pPr>
                    <w:pStyle w:val="5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产生浓度</w:t>
                  </w:r>
                </w:p>
                <w:p>
                  <w:pPr>
                    <w:pStyle w:val="5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w:t>
                  </w:r>
                  <w:r>
                    <w:rPr>
                      <w:rFonts w:hint="default" w:ascii="Times New Roman" w:hAnsi="Times New Roman" w:eastAsia="宋体" w:cs="Times New Roman"/>
                      <w:b/>
                      <w:bCs/>
                      <w:color w:val="auto"/>
                    </w:rPr>
                    <w:t>mg/L</w:t>
                  </w:r>
                  <w:r>
                    <w:rPr>
                      <w:rFonts w:hint="eastAsia" w:ascii="Times New Roman" w:hAnsi="Times New Roman" w:eastAsia="宋体" w:cs="Times New Roman"/>
                      <w:b/>
                      <w:bCs/>
                      <w:color w:val="auto"/>
                    </w:rPr>
                    <w:t>）</w:t>
                  </w:r>
                </w:p>
              </w:tc>
              <w:tc>
                <w:tcPr>
                  <w:tcW w:w="1258" w:type="dxa"/>
                  <w:tcBorders>
                    <w:tl2br w:val="nil"/>
                    <w:tr2bl w:val="nil"/>
                  </w:tcBorders>
                  <w:shd w:val="clear" w:color="auto" w:fill="F1F1F1"/>
                  <w:noWrap w:val="0"/>
                  <w:vAlign w:val="center"/>
                </w:tcPr>
                <w:p>
                  <w:pPr>
                    <w:pStyle w:val="5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产生量</w:t>
                  </w:r>
                </w:p>
                <w:p>
                  <w:pPr>
                    <w:pStyle w:val="5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w:t>
                  </w:r>
                  <w:r>
                    <w:rPr>
                      <w:rFonts w:hint="default" w:ascii="Times New Roman" w:hAnsi="Times New Roman" w:eastAsia="宋体" w:cs="Times New Roman"/>
                      <w:b/>
                      <w:bCs/>
                      <w:color w:val="auto"/>
                    </w:rPr>
                    <w:t>t/a</w:t>
                  </w:r>
                  <w:r>
                    <w:rPr>
                      <w:rFonts w:hint="eastAsia" w:ascii="Times New Roman" w:hAnsi="Times New Roman" w:eastAsia="宋体" w:cs="Times New Roman"/>
                      <w:b/>
                      <w:bCs/>
                      <w:color w:val="auto"/>
                    </w:rPr>
                    <w:t>）</w:t>
                  </w:r>
                </w:p>
              </w:tc>
              <w:tc>
                <w:tcPr>
                  <w:tcW w:w="1257" w:type="dxa"/>
                  <w:tcBorders>
                    <w:tl2br w:val="nil"/>
                    <w:tr2bl w:val="nil"/>
                  </w:tcBorders>
                  <w:shd w:val="clear" w:color="auto" w:fill="F1F1F1"/>
                  <w:noWrap w:val="0"/>
                  <w:vAlign w:val="center"/>
                </w:tcPr>
                <w:p>
                  <w:pPr>
                    <w:pStyle w:val="5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处置措施</w:t>
                  </w:r>
                </w:p>
              </w:tc>
              <w:tc>
                <w:tcPr>
                  <w:tcW w:w="1258" w:type="dxa"/>
                  <w:tcBorders>
                    <w:tl2br w:val="nil"/>
                    <w:tr2bl w:val="nil"/>
                  </w:tcBorders>
                  <w:shd w:val="clear" w:color="auto" w:fill="F1F1F1"/>
                  <w:noWrap w:val="0"/>
                  <w:vAlign w:val="center"/>
                </w:tcPr>
                <w:p>
                  <w:pPr>
                    <w:pStyle w:val="5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排放浓度</w:t>
                  </w:r>
                </w:p>
                <w:p>
                  <w:pPr>
                    <w:pStyle w:val="5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w:t>
                  </w:r>
                  <w:r>
                    <w:rPr>
                      <w:rFonts w:hint="default" w:ascii="Times New Roman" w:hAnsi="Times New Roman" w:eastAsia="宋体" w:cs="Times New Roman"/>
                      <w:b/>
                      <w:bCs/>
                      <w:color w:val="auto"/>
                    </w:rPr>
                    <w:t>mg/L</w:t>
                  </w:r>
                  <w:r>
                    <w:rPr>
                      <w:rFonts w:hint="eastAsia" w:ascii="Times New Roman" w:hAnsi="Times New Roman" w:eastAsia="宋体" w:cs="Times New Roman"/>
                      <w:b/>
                      <w:bCs/>
                      <w:color w:val="auto"/>
                    </w:rPr>
                    <w:t>）</w:t>
                  </w:r>
                </w:p>
              </w:tc>
              <w:tc>
                <w:tcPr>
                  <w:tcW w:w="1258" w:type="dxa"/>
                  <w:tcBorders>
                    <w:tl2br w:val="nil"/>
                    <w:tr2bl w:val="nil"/>
                  </w:tcBorders>
                  <w:shd w:val="clear" w:color="auto" w:fill="F1F1F1"/>
                  <w:noWrap w:val="0"/>
                  <w:vAlign w:val="center"/>
                </w:tcPr>
                <w:p>
                  <w:pPr>
                    <w:pStyle w:val="5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排放量</w:t>
                  </w:r>
                </w:p>
                <w:p>
                  <w:pPr>
                    <w:pStyle w:val="50"/>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w:t>
                  </w:r>
                  <w:r>
                    <w:rPr>
                      <w:rFonts w:hint="default" w:ascii="Times New Roman" w:hAnsi="Times New Roman" w:eastAsia="宋体" w:cs="Times New Roman"/>
                      <w:b/>
                      <w:bCs/>
                      <w:color w:val="auto"/>
                    </w:rPr>
                    <w:t>t/a</w:t>
                  </w:r>
                  <w:r>
                    <w:rPr>
                      <w:rFonts w:hint="eastAsia" w:ascii="Times New Roman" w:hAnsi="Times New Roman" w:eastAsia="宋体" w:cs="Times New Roman"/>
                      <w:b/>
                      <w:bCs/>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00" w:hRule="atLeast"/>
                <w:jc w:val="center"/>
              </w:trPr>
              <w:tc>
                <w:tcPr>
                  <w:tcW w:w="817" w:type="dxa"/>
                  <w:vMerge w:val="restart"/>
                  <w:tcBorders>
                    <w:tl2br w:val="nil"/>
                    <w:tr2bl w:val="nil"/>
                  </w:tcBorders>
                  <w:noWrap w:val="0"/>
                  <w:vAlign w:val="center"/>
                </w:tcPr>
                <w:p>
                  <w:pPr>
                    <w:pStyle w:val="50"/>
                    <w:jc w:val="center"/>
                    <w:rPr>
                      <w:rFonts w:hint="eastAsia" w:ascii="Times New Roman" w:hAnsi="Times New Roman" w:eastAsia="宋体" w:cs="Times New Roman"/>
                      <w:color w:val="auto"/>
                    </w:rPr>
                  </w:pPr>
                  <w:r>
                    <w:rPr>
                      <w:rFonts w:hint="eastAsia" w:ascii="Times New Roman" w:hAnsi="Times New Roman" w:eastAsia="宋体" w:cs="Times New Roman"/>
                      <w:color w:val="auto"/>
                    </w:rPr>
                    <w:t>生活污水</w:t>
                  </w:r>
                </w:p>
                <w:p>
                  <w:pPr>
                    <w:pStyle w:val="50"/>
                    <w:jc w:val="center"/>
                    <w:rPr>
                      <w:rFonts w:hint="default" w:ascii="Times New Roman" w:hAnsi="Times New Roman" w:eastAsia="宋体" w:cs="Times New Roman"/>
                      <w:color w:val="auto"/>
                    </w:rPr>
                  </w:pPr>
                  <w:r>
                    <w:rPr>
                      <w:rFonts w:hint="eastAsia" w:cs="Times New Roman"/>
                      <w:color w:val="auto"/>
                      <w:lang w:val="en-US" w:eastAsia="zh-CN"/>
                    </w:rPr>
                    <w:t>29200</w:t>
                  </w:r>
                  <w:r>
                    <w:rPr>
                      <w:rFonts w:hint="default" w:ascii="Times New Roman" w:hAnsi="Times New Roman" w:eastAsia="宋体" w:cs="Times New Roman"/>
                      <w:color w:val="auto"/>
                    </w:rPr>
                    <w:t>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/a</w:t>
                  </w:r>
                </w:p>
              </w:tc>
              <w:tc>
                <w:tcPr>
                  <w:tcW w:w="973" w:type="dxa"/>
                  <w:tcBorders>
                    <w:tl2br w:val="nil"/>
                    <w:tr2bl w:val="nil"/>
                  </w:tcBorders>
                  <w:noWrap w:val="0"/>
                  <w:vAlign w:val="center"/>
                </w:tcPr>
                <w:p>
                  <w:pPr>
                    <w:pStyle w:val="50"/>
                    <w:jc w:val="center"/>
                    <w:rPr>
                      <w:rFonts w:hint="default" w:ascii="Times New Roman" w:hAnsi="Times New Roman" w:eastAsia="宋体" w:cs="Times New Roman"/>
                      <w:color w:val="auto"/>
                    </w:rPr>
                  </w:pPr>
                  <w:r>
                    <w:rPr>
                      <w:rFonts w:hint="default" w:ascii="Times New Roman" w:hAnsi="Times New Roman" w:eastAsia="宋体" w:cs="Times New Roman"/>
                      <w:color w:val="auto"/>
                    </w:rPr>
                    <w:t>COD</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b/>
                      <w:bCs/>
                      <w:i w:val="0"/>
                      <w:iCs w:val="0"/>
                      <w:color w:val="auto"/>
                      <w:kern w:val="0"/>
                      <w:sz w:val="21"/>
                      <w:szCs w:val="21"/>
                      <w:u w:val="none"/>
                      <w:lang w:val="en-US" w:eastAsia="zh-CN" w:bidi="ar"/>
                    </w:rPr>
                    <w:t>350</w:t>
                  </w: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10.220 </w:t>
                  </w:r>
                </w:p>
              </w:tc>
              <w:tc>
                <w:tcPr>
                  <w:tcW w:w="1257" w:type="dxa"/>
                  <w:vMerge w:val="restart"/>
                  <w:tcBorders>
                    <w:tl2br w:val="nil"/>
                    <w:tr2bl w:val="nil"/>
                  </w:tcBorders>
                  <w:noWrap w:val="0"/>
                  <w:vAlign w:val="center"/>
                </w:tcPr>
                <w:p>
                  <w:pPr>
                    <w:pStyle w:val="50"/>
                    <w:jc w:val="center"/>
                    <w:rPr>
                      <w:rFonts w:hint="eastAsia" w:ascii="Times New Roman" w:hAnsi="Times New Roman" w:eastAsia="宋体" w:cs="Times New Roman"/>
                      <w:color w:val="auto"/>
                    </w:rPr>
                  </w:pPr>
                  <w:r>
                    <w:rPr>
                      <w:rFonts w:hint="eastAsia" w:ascii="Times New Roman" w:hAnsi="Times New Roman" w:eastAsia="宋体" w:cs="Times New Roman"/>
                      <w:color w:val="auto"/>
                    </w:rPr>
                    <w:t>化粪池</w:t>
                  </w:r>
                  <w:r>
                    <w:rPr>
                      <w:rFonts w:hint="default" w:ascii="Times New Roman" w:hAnsi="Times New Roman" w:eastAsia="宋体" w:cs="Times New Roman"/>
                      <w:color w:val="auto"/>
                    </w:rPr>
                    <w:t>+</w:t>
                  </w:r>
                  <w:r>
                    <w:rPr>
                      <w:rFonts w:hint="eastAsia"/>
                      <w:color w:val="auto"/>
                    </w:rPr>
                    <w:t>城镇污水处理厂</w:t>
                  </w: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b/>
                      <w:bCs/>
                      <w:i w:val="0"/>
                      <w:iCs w:val="0"/>
                      <w:color w:val="auto"/>
                      <w:kern w:val="0"/>
                      <w:sz w:val="21"/>
                      <w:szCs w:val="21"/>
                      <w:u w:val="none"/>
                      <w:lang w:val="en-US" w:eastAsia="zh-CN" w:bidi="ar"/>
                    </w:rPr>
                    <w:t>50</w:t>
                  </w: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 xml:space="preserve">1.460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00" w:hRule="atLeast"/>
                <w:jc w:val="center"/>
              </w:trPr>
              <w:tc>
                <w:tcPr>
                  <w:tcW w:w="817" w:type="dxa"/>
                  <w:vMerge w:val="continue"/>
                  <w:tcBorders>
                    <w:tl2br w:val="nil"/>
                    <w:tr2bl w:val="nil"/>
                  </w:tcBorders>
                  <w:noWrap w:val="0"/>
                  <w:vAlign w:val="center"/>
                </w:tcPr>
                <w:p>
                  <w:pPr>
                    <w:pStyle w:val="50"/>
                    <w:jc w:val="center"/>
                    <w:rPr>
                      <w:rFonts w:hint="eastAsia" w:ascii="Times New Roman" w:hAnsi="Times New Roman" w:eastAsia="宋体" w:cs="Times New Roman"/>
                      <w:color w:val="auto"/>
                    </w:rPr>
                  </w:pPr>
                </w:p>
              </w:tc>
              <w:tc>
                <w:tcPr>
                  <w:tcW w:w="973" w:type="dxa"/>
                  <w:tcBorders>
                    <w:tl2br w:val="nil"/>
                    <w:tr2bl w:val="nil"/>
                  </w:tcBorders>
                  <w:noWrap w:val="0"/>
                  <w:vAlign w:val="center"/>
                </w:tcPr>
                <w:p>
                  <w:pPr>
                    <w:pStyle w:val="50"/>
                    <w:jc w:val="center"/>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rPr>
                    <w:t>BOD</w:t>
                  </w:r>
                  <w:r>
                    <w:rPr>
                      <w:rFonts w:hint="eastAsia" w:ascii="Times New Roman" w:hAnsi="Times New Roman" w:eastAsia="宋体" w:cs="Times New Roman"/>
                      <w:color w:val="auto"/>
                      <w:vertAlign w:val="subscript"/>
                      <w:lang w:val="en-US" w:eastAsia="zh-CN"/>
                    </w:rPr>
                    <w:t>5</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b/>
                      <w:bCs/>
                      <w:i w:val="0"/>
                      <w:iCs w:val="0"/>
                      <w:color w:val="auto"/>
                      <w:kern w:val="0"/>
                      <w:sz w:val="21"/>
                      <w:szCs w:val="21"/>
                      <w:u w:val="none"/>
                      <w:lang w:val="en-US" w:eastAsia="zh-CN" w:bidi="ar"/>
                    </w:rPr>
                    <w:t>200</w:t>
                  </w: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 xml:space="preserve">5.840 </w:t>
                  </w:r>
                </w:p>
              </w:tc>
              <w:tc>
                <w:tcPr>
                  <w:tcW w:w="1257" w:type="dxa"/>
                  <w:vMerge w:val="continue"/>
                  <w:tcBorders>
                    <w:tl2br w:val="nil"/>
                    <w:tr2bl w:val="nil"/>
                  </w:tcBorders>
                  <w:noWrap w:val="0"/>
                  <w:vAlign w:val="center"/>
                </w:tcPr>
                <w:p>
                  <w:pPr>
                    <w:pStyle w:val="50"/>
                    <w:jc w:val="center"/>
                    <w:rPr>
                      <w:rFonts w:hint="eastAsia" w:ascii="Times New Roman" w:hAnsi="Times New Roman" w:eastAsia="宋体" w:cs="Times New Roman"/>
                      <w:color w:val="auto"/>
                    </w:rPr>
                  </w:pP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b/>
                      <w:bCs/>
                      <w:i w:val="0"/>
                      <w:iCs w:val="0"/>
                      <w:color w:val="auto"/>
                      <w:kern w:val="0"/>
                      <w:sz w:val="21"/>
                      <w:szCs w:val="21"/>
                      <w:u w:val="none"/>
                      <w:lang w:val="en-US" w:eastAsia="zh-CN" w:bidi="ar"/>
                    </w:rPr>
                    <w:t>10</w:t>
                  </w: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 xml:space="preserve">0.292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817" w:type="dxa"/>
                  <w:vMerge w:val="continue"/>
                  <w:tcBorders>
                    <w:tl2br w:val="nil"/>
                    <w:tr2bl w:val="nil"/>
                  </w:tcBorders>
                  <w:noWrap w:val="0"/>
                  <w:vAlign w:val="center"/>
                </w:tcPr>
                <w:p>
                  <w:pPr>
                    <w:pStyle w:val="50"/>
                    <w:jc w:val="center"/>
                    <w:rPr>
                      <w:rFonts w:hint="eastAsia" w:ascii="Times New Roman" w:hAnsi="Times New Roman" w:eastAsia="宋体" w:cs="Times New Roman"/>
                      <w:color w:val="auto"/>
                    </w:rPr>
                  </w:pPr>
                </w:p>
              </w:tc>
              <w:tc>
                <w:tcPr>
                  <w:tcW w:w="973" w:type="dxa"/>
                  <w:tcBorders>
                    <w:tl2br w:val="nil"/>
                    <w:tr2bl w:val="nil"/>
                  </w:tcBorders>
                  <w:noWrap w:val="0"/>
                  <w:vAlign w:val="center"/>
                </w:tcPr>
                <w:p>
                  <w:pPr>
                    <w:pStyle w:val="50"/>
                    <w:jc w:val="center"/>
                    <w:rPr>
                      <w:rFonts w:hint="default" w:ascii="Times New Roman" w:hAnsi="Times New Roman" w:eastAsia="宋体" w:cs="Times New Roman"/>
                      <w:color w:val="auto"/>
                    </w:rPr>
                  </w:pPr>
                  <w:r>
                    <w:rPr>
                      <w:rFonts w:hint="default" w:ascii="Times New Roman" w:hAnsi="Times New Roman" w:eastAsia="宋体" w:cs="Times New Roman"/>
                      <w:color w:val="auto"/>
                    </w:rPr>
                    <w:t>NH</w:t>
                  </w:r>
                  <w:r>
                    <w:rPr>
                      <w:rFonts w:hint="default" w:ascii="Times New Roman" w:hAnsi="Times New Roman" w:eastAsia="宋体" w:cs="Times New Roman"/>
                      <w:color w:val="auto"/>
                      <w:vertAlign w:val="subscript"/>
                    </w:rPr>
                    <w:t>3</w:t>
                  </w:r>
                  <w:r>
                    <w:rPr>
                      <w:rFonts w:hint="default" w:ascii="Times New Roman" w:hAnsi="Times New Roman" w:eastAsia="宋体" w:cs="Times New Roman"/>
                      <w:color w:val="auto"/>
                    </w:rPr>
                    <w:t>-N</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b/>
                      <w:bCs/>
                      <w:i w:val="0"/>
                      <w:iCs w:val="0"/>
                      <w:color w:val="auto"/>
                      <w:kern w:val="0"/>
                      <w:sz w:val="21"/>
                      <w:szCs w:val="21"/>
                      <w:u w:val="none"/>
                      <w:lang w:val="en-US" w:eastAsia="zh-CN" w:bidi="ar"/>
                    </w:rPr>
                    <w:t>30</w:t>
                  </w: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 xml:space="preserve">0.876 </w:t>
                  </w:r>
                </w:p>
              </w:tc>
              <w:tc>
                <w:tcPr>
                  <w:tcW w:w="1257" w:type="dxa"/>
                  <w:vMerge w:val="continue"/>
                  <w:tcBorders>
                    <w:tl2br w:val="nil"/>
                    <w:tr2bl w:val="nil"/>
                  </w:tcBorders>
                  <w:noWrap w:val="0"/>
                  <w:vAlign w:val="center"/>
                </w:tcPr>
                <w:p>
                  <w:pPr>
                    <w:pStyle w:val="50"/>
                    <w:jc w:val="center"/>
                    <w:rPr>
                      <w:rFonts w:hint="eastAsia" w:ascii="Times New Roman" w:hAnsi="Times New Roman" w:eastAsia="宋体" w:cs="Times New Roman"/>
                      <w:color w:val="auto"/>
                    </w:rPr>
                  </w:pP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b/>
                      <w:bCs/>
                      <w:i w:val="0"/>
                      <w:iCs w:val="0"/>
                      <w:color w:val="auto"/>
                      <w:kern w:val="0"/>
                      <w:sz w:val="21"/>
                      <w:szCs w:val="21"/>
                      <w:u w:val="none"/>
                      <w:lang w:val="en-US" w:eastAsia="zh-CN" w:bidi="ar"/>
                    </w:rPr>
                    <w:t>8</w:t>
                  </w: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 xml:space="preserve">0.234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00" w:hRule="atLeast"/>
                <w:jc w:val="center"/>
              </w:trPr>
              <w:tc>
                <w:tcPr>
                  <w:tcW w:w="817" w:type="dxa"/>
                  <w:vMerge w:val="continue"/>
                  <w:tcBorders>
                    <w:tl2br w:val="nil"/>
                    <w:tr2bl w:val="nil"/>
                  </w:tcBorders>
                  <w:noWrap w:val="0"/>
                  <w:vAlign w:val="center"/>
                </w:tcPr>
                <w:p>
                  <w:pPr>
                    <w:pStyle w:val="50"/>
                    <w:jc w:val="center"/>
                    <w:rPr>
                      <w:rFonts w:hint="eastAsia" w:ascii="Times New Roman" w:hAnsi="Times New Roman" w:eastAsia="宋体" w:cs="Times New Roman"/>
                      <w:color w:val="auto"/>
                    </w:rPr>
                  </w:pPr>
                </w:p>
              </w:tc>
              <w:tc>
                <w:tcPr>
                  <w:tcW w:w="973" w:type="dxa"/>
                  <w:tcBorders>
                    <w:tl2br w:val="nil"/>
                    <w:tr2bl w:val="nil"/>
                  </w:tcBorders>
                  <w:noWrap w:val="0"/>
                  <w:vAlign w:val="center"/>
                </w:tcPr>
                <w:p>
                  <w:pPr>
                    <w:pStyle w:val="50"/>
                    <w:jc w:val="center"/>
                    <w:rPr>
                      <w:rFonts w:hint="default" w:ascii="Times New Roman" w:hAnsi="Times New Roman" w:eastAsia="宋体" w:cs="Times New Roman"/>
                      <w:color w:val="auto"/>
                    </w:rPr>
                  </w:pPr>
                  <w:r>
                    <w:rPr>
                      <w:rFonts w:hint="default" w:ascii="Times New Roman" w:hAnsi="Times New Roman" w:eastAsia="宋体" w:cs="Times New Roman"/>
                      <w:color w:val="auto"/>
                    </w:rPr>
                    <w:t>SS</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eastAsia" w:cs="Times New Roman"/>
                      <w:b/>
                      <w:bCs/>
                      <w:i w:val="0"/>
                      <w:iCs w:val="0"/>
                      <w:color w:val="auto"/>
                      <w:kern w:val="0"/>
                      <w:sz w:val="21"/>
                      <w:szCs w:val="21"/>
                      <w:u w:val="none"/>
                      <w:lang w:val="en-US" w:eastAsia="zh-CN" w:bidi="ar"/>
                    </w:rPr>
                    <w:t>3</w:t>
                  </w:r>
                  <w:r>
                    <w:rPr>
                      <w:rFonts w:hint="default" w:ascii="Times New Roman" w:hAnsi="Times New Roman" w:eastAsia="宋体" w:cs="Times New Roman"/>
                      <w:b/>
                      <w:bCs/>
                      <w:i w:val="0"/>
                      <w:iCs w:val="0"/>
                      <w:color w:val="auto"/>
                      <w:kern w:val="0"/>
                      <w:sz w:val="21"/>
                      <w:szCs w:val="21"/>
                      <w:u w:val="none"/>
                      <w:lang w:val="en-US" w:eastAsia="zh-CN" w:bidi="ar"/>
                    </w:rPr>
                    <w:t>00</w:t>
                  </w: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 xml:space="preserve">8.760 </w:t>
                  </w:r>
                </w:p>
              </w:tc>
              <w:tc>
                <w:tcPr>
                  <w:tcW w:w="1257" w:type="dxa"/>
                  <w:vMerge w:val="continue"/>
                  <w:tcBorders>
                    <w:tl2br w:val="nil"/>
                    <w:tr2bl w:val="nil"/>
                  </w:tcBorders>
                  <w:noWrap w:val="0"/>
                  <w:vAlign w:val="center"/>
                </w:tcPr>
                <w:p>
                  <w:pPr>
                    <w:pStyle w:val="50"/>
                    <w:jc w:val="center"/>
                    <w:rPr>
                      <w:rFonts w:hint="eastAsia" w:ascii="Times New Roman" w:hAnsi="Times New Roman" w:eastAsia="宋体" w:cs="Times New Roman"/>
                      <w:color w:val="auto"/>
                    </w:rPr>
                  </w:pP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b/>
                      <w:bCs/>
                      <w:i w:val="0"/>
                      <w:iCs w:val="0"/>
                      <w:color w:val="auto"/>
                      <w:kern w:val="0"/>
                      <w:sz w:val="21"/>
                      <w:szCs w:val="21"/>
                      <w:u w:val="none"/>
                      <w:lang w:val="en-US" w:eastAsia="zh-CN" w:bidi="ar"/>
                    </w:rPr>
                    <w:t>10</w:t>
                  </w: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 xml:space="preserve">0.292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00" w:hRule="atLeast"/>
                <w:jc w:val="center"/>
              </w:trPr>
              <w:tc>
                <w:tcPr>
                  <w:tcW w:w="817" w:type="dxa"/>
                  <w:vMerge w:val="continue"/>
                  <w:tcBorders>
                    <w:tl2br w:val="nil"/>
                    <w:tr2bl w:val="nil"/>
                  </w:tcBorders>
                  <w:noWrap w:val="0"/>
                  <w:vAlign w:val="center"/>
                </w:tcPr>
                <w:p>
                  <w:pPr>
                    <w:pStyle w:val="50"/>
                    <w:jc w:val="center"/>
                    <w:rPr>
                      <w:rFonts w:hint="eastAsia" w:ascii="Times New Roman" w:hAnsi="Times New Roman" w:eastAsia="宋体" w:cs="Times New Roman"/>
                      <w:color w:val="auto"/>
                    </w:rPr>
                  </w:pPr>
                </w:p>
              </w:tc>
              <w:tc>
                <w:tcPr>
                  <w:tcW w:w="973" w:type="dxa"/>
                  <w:tcBorders>
                    <w:tl2br w:val="nil"/>
                    <w:tr2bl w:val="nil"/>
                  </w:tcBorders>
                  <w:noWrap w:val="0"/>
                  <w:vAlign w:val="center"/>
                </w:tcPr>
                <w:p>
                  <w:pPr>
                    <w:pStyle w:val="50"/>
                    <w:jc w:val="center"/>
                    <w:rPr>
                      <w:rFonts w:hint="eastAsia" w:ascii="Times New Roman" w:hAnsi="Times New Roman" w:eastAsia="宋体" w:cs="Times New Roman"/>
                      <w:color w:val="auto"/>
                      <w:lang w:val="en-US" w:eastAsia="zh-CN"/>
                    </w:rPr>
                  </w:pPr>
                  <w:r>
                    <w:rPr>
                      <w:rFonts w:hint="eastAsia" w:cs="Times New Roman"/>
                      <w:color w:val="auto"/>
                      <w:lang w:val="en-US" w:eastAsia="zh-CN"/>
                    </w:rPr>
                    <w:t>TP</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r>
                    <w:rPr>
                      <w:rFonts w:hint="eastAsia" w:cs="Times New Roman"/>
                      <w:b/>
                      <w:bCs/>
                      <w:i w:val="0"/>
                      <w:iCs w:val="0"/>
                      <w:color w:val="auto"/>
                      <w:kern w:val="0"/>
                      <w:sz w:val="21"/>
                      <w:szCs w:val="21"/>
                      <w:u w:val="none"/>
                      <w:lang w:val="en-US" w:eastAsia="zh-CN" w:bidi="ar"/>
                    </w:rPr>
                    <w:t>10</w:t>
                  </w: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0.292 </w:t>
                  </w:r>
                </w:p>
              </w:tc>
              <w:tc>
                <w:tcPr>
                  <w:tcW w:w="1257" w:type="dxa"/>
                  <w:vMerge w:val="continue"/>
                  <w:tcBorders>
                    <w:tl2br w:val="nil"/>
                    <w:tr2bl w:val="nil"/>
                  </w:tcBorders>
                  <w:noWrap w:val="0"/>
                  <w:vAlign w:val="center"/>
                </w:tcPr>
                <w:p>
                  <w:pPr>
                    <w:pStyle w:val="50"/>
                    <w:jc w:val="center"/>
                    <w:rPr>
                      <w:rFonts w:hint="eastAsia" w:ascii="Times New Roman" w:hAnsi="Times New Roman" w:eastAsia="宋体" w:cs="Times New Roman"/>
                      <w:color w:val="auto"/>
                    </w:rPr>
                  </w:pP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r>
                    <w:rPr>
                      <w:rFonts w:hint="eastAsia" w:cs="Times New Roman"/>
                      <w:b/>
                      <w:bCs/>
                      <w:i w:val="0"/>
                      <w:iCs w:val="0"/>
                      <w:color w:val="auto"/>
                      <w:kern w:val="0"/>
                      <w:sz w:val="21"/>
                      <w:szCs w:val="21"/>
                      <w:u w:val="none"/>
                      <w:lang w:val="en-US" w:eastAsia="zh-CN" w:bidi="ar"/>
                    </w:rPr>
                    <w:t>0.5</w:t>
                  </w: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0.015 </w:t>
                  </w:r>
                </w:p>
              </w:tc>
            </w:tr>
          </w:tbl>
          <w:p>
            <w:pPr>
              <w:pStyle w:val="61"/>
              <w:ind w:firstLine="482"/>
              <w:rPr>
                <w:rFonts w:hint="default" w:ascii="Times New Roman" w:hAnsi="Times New Roman" w:eastAsia="宋体" w:cs="Times New Roman"/>
                <w:b/>
                <w:color w:val="auto"/>
                <w:lang w:val="en-US" w:eastAsia="zh-CN"/>
              </w:rPr>
            </w:pPr>
            <w:r>
              <w:rPr>
                <w:rFonts w:hint="eastAsia" w:cs="Times New Roman"/>
                <w:b/>
                <w:color w:val="auto"/>
                <w:lang w:val="en-US" w:eastAsia="zh-CN"/>
              </w:rPr>
              <w:t>3</w:t>
            </w:r>
            <w:r>
              <w:rPr>
                <w:rFonts w:hint="eastAsia" w:ascii="Times New Roman" w:hAnsi="Times New Roman" w:eastAsia="宋体" w:cs="Times New Roman"/>
                <w:b/>
                <w:color w:val="auto"/>
                <w:lang w:val="en-US" w:eastAsia="zh-CN"/>
              </w:rPr>
              <w:t>.</w:t>
            </w:r>
            <w:r>
              <w:rPr>
                <w:rFonts w:hint="eastAsia" w:cs="Times New Roman"/>
                <w:b/>
                <w:color w:val="auto"/>
                <w:lang w:val="en-US" w:eastAsia="zh-CN"/>
              </w:rPr>
              <w:t>2</w:t>
            </w:r>
            <w:r>
              <w:rPr>
                <w:rFonts w:hint="eastAsia" w:ascii="Times New Roman" w:hAnsi="Times New Roman" w:eastAsia="宋体" w:cs="Times New Roman"/>
                <w:b/>
                <w:color w:val="auto"/>
                <w:lang w:val="en-US" w:eastAsia="zh-CN"/>
              </w:rPr>
              <w:t>排放口基本情况</w:t>
            </w:r>
          </w:p>
          <w:p>
            <w:pPr>
              <w:adjustRightInd w:val="0"/>
              <w:snapToGrid w:val="0"/>
              <w:jc w:val="center"/>
              <w:rPr>
                <w:rFonts w:cs="宋体"/>
                <w:b/>
                <w:color w:val="auto"/>
                <w:spacing w:val="-10"/>
                <w:sz w:val="24"/>
                <w:szCs w:val="21"/>
              </w:rPr>
            </w:pPr>
            <w:r>
              <w:rPr>
                <w:rFonts w:hint="eastAsia" w:cs="宋体"/>
                <w:b/>
                <w:color w:val="auto"/>
                <w:spacing w:val="-10"/>
                <w:sz w:val="24"/>
                <w:szCs w:val="21"/>
              </w:rPr>
              <w:t>表4-</w:t>
            </w:r>
            <w:r>
              <w:rPr>
                <w:rFonts w:hint="eastAsia" w:cs="宋体"/>
                <w:b/>
                <w:color w:val="auto"/>
                <w:spacing w:val="-10"/>
                <w:sz w:val="24"/>
                <w:szCs w:val="21"/>
                <w:lang w:val="en-US" w:eastAsia="zh-CN"/>
              </w:rPr>
              <w:t>3</w:t>
            </w:r>
            <w:r>
              <w:rPr>
                <w:rFonts w:hint="eastAsia" w:cs="宋体"/>
                <w:b/>
                <w:color w:val="auto"/>
                <w:spacing w:val="-10"/>
                <w:sz w:val="24"/>
                <w:szCs w:val="21"/>
              </w:rPr>
              <w:t xml:space="preserve">  废水间接排放口基本情况表</w:t>
            </w:r>
          </w:p>
          <w:tbl>
            <w:tblPr>
              <w:tblStyle w:val="23"/>
              <w:tblW w:w="793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30"/>
              <w:gridCol w:w="828"/>
              <w:gridCol w:w="860"/>
              <w:gridCol w:w="859"/>
              <w:gridCol w:w="661"/>
              <w:gridCol w:w="793"/>
              <w:gridCol w:w="711"/>
              <w:gridCol w:w="859"/>
              <w:gridCol w:w="789"/>
              <w:gridCol w:w="74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30" w:type="dxa"/>
                  <w:vMerge w:val="restart"/>
                  <w:tcBorders>
                    <w:tl2br w:val="nil"/>
                    <w:tr2bl w:val="nil"/>
                  </w:tcBorders>
                  <w:vAlign w:val="center"/>
                </w:tcPr>
                <w:p>
                  <w:pPr>
                    <w:adjustRightInd w:val="0"/>
                    <w:snapToGrid w:val="0"/>
                    <w:jc w:val="center"/>
                    <w:rPr>
                      <w:rFonts w:cs="宋体"/>
                      <w:b/>
                      <w:color w:val="auto"/>
                      <w:spacing w:val="-10"/>
                      <w:sz w:val="21"/>
                      <w:szCs w:val="21"/>
                    </w:rPr>
                  </w:pPr>
                  <w:r>
                    <w:rPr>
                      <w:rFonts w:hint="eastAsia" w:cs="宋体"/>
                      <w:b/>
                      <w:color w:val="auto"/>
                      <w:spacing w:val="-10"/>
                      <w:sz w:val="21"/>
                      <w:szCs w:val="21"/>
                    </w:rPr>
                    <w:t>排放口编号</w:t>
                  </w:r>
                </w:p>
              </w:tc>
              <w:tc>
                <w:tcPr>
                  <w:tcW w:w="1688" w:type="dxa"/>
                  <w:gridSpan w:val="2"/>
                  <w:tcBorders>
                    <w:tl2br w:val="nil"/>
                    <w:tr2bl w:val="nil"/>
                  </w:tcBorders>
                  <w:vAlign w:val="center"/>
                </w:tcPr>
                <w:p>
                  <w:pPr>
                    <w:adjustRightInd w:val="0"/>
                    <w:snapToGrid w:val="0"/>
                    <w:jc w:val="center"/>
                    <w:rPr>
                      <w:rFonts w:cs="宋体"/>
                      <w:b/>
                      <w:color w:val="auto"/>
                      <w:spacing w:val="-10"/>
                      <w:sz w:val="21"/>
                      <w:szCs w:val="21"/>
                    </w:rPr>
                  </w:pPr>
                  <w:r>
                    <w:rPr>
                      <w:rFonts w:hint="eastAsia" w:cs="宋体"/>
                      <w:b/>
                      <w:color w:val="auto"/>
                      <w:spacing w:val="-10"/>
                      <w:sz w:val="21"/>
                      <w:szCs w:val="21"/>
                    </w:rPr>
                    <w:t>排放口地理坐标</w:t>
                  </w:r>
                </w:p>
              </w:tc>
              <w:tc>
                <w:tcPr>
                  <w:tcW w:w="859" w:type="dxa"/>
                  <w:vMerge w:val="restart"/>
                  <w:tcBorders>
                    <w:tl2br w:val="nil"/>
                    <w:tr2bl w:val="nil"/>
                  </w:tcBorders>
                  <w:vAlign w:val="center"/>
                </w:tcPr>
                <w:p>
                  <w:pPr>
                    <w:adjustRightInd w:val="0"/>
                    <w:snapToGrid w:val="0"/>
                    <w:jc w:val="center"/>
                    <w:rPr>
                      <w:rFonts w:cs="宋体"/>
                      <w:b/>
                      <w:color w:val="auto"/>
                      <w:spacing w:val="-10"/>
                      <w:sz w:val="21"/>
                      <w:szCs w:val="21"/>
                    </w:rPr>
                  </w:pPr>
                  <w:r>
                    <w:rPr>
                      <w:rFonts w:hint="eastAsia" w:cs="宋体"/>
                      <w:b/>
                      <w:color w:val="auto"/>
                      <w:spacing w:val="-10"/>
                      <w:sz w:val="21"/>
                      <w:szCs w:val="21"/>
                    </w:rPr>
                    <w:t>废水</w:t>
                  </w:r>
                </w:p>
                <w:p>
                  <w:pPr>
                    <w:adjustRightInd w:val="0"/>
                    <w:snapToGrid w:val="0"/>
                    <w:jc w:val="center"/>
                    <w:rPr>
                      <w:rFonts w:cs="宋体"/>
                      <w:b/>
                      <w:color w:val="auto"/>
                      <w:spacing w:val="-10"/>
                      <w:sz w:val="21"/>
                      <w:szCs w:val="21"/>
                    </w:rPr>
                  </w:pPr>
                  <w:r>
                    <w:rPr>
                      <w:rFonts w:hint="eastAsia" w:cs="宋体"/>
                      <w:b/>
                      <w:color w:val="auto"/>
                      <w:spacing w:val="-10"/>
                      <w:sz w:val="21"/>
                      <w:szCs w:val="21"/>
                    </w:rPr>
                    <w:t>排放量</w:t>
                  </w:r>
                </w:p>
              </w:tc>
              <w:tc>
                <w:tcPr>
                  <w:tcW w:w="661" w:type="dxa"/>
                  <w:vMerge w:val="restart"/>
                  <w:tcBorders>
                    <w:tl2br w:val="nil"/>
                    <w:tr2bl w:val="nil"/>
                  </w:tcBorders>
                  <w:vAlign w:val="center"/>
                </w:tcPr>
                <w:p>
                  <w:pPr>
                    <w:adjustRightInd w:val="0"/>
                    <w:snapToGrid w:val="0"/>
                    <w:jc w:val="center"/>
                    <w:rPr>
                      <w:rFonts w:cs="宋体"/>
                      <w:b/>
                      <w:color w:val="auto"/>
                      <w:spacing w:val="-10"/>
                      <w:sz w:val="21"/>
                      <w:szCs w:val="21"/>
                    </w:rPr>
                  </w:pPr>
                  <w:r>
                    <w:rPr>
                      <w:rFonts w:hint="eastAsia" w:cs="宋体"/>
                      <w:b/>
                      <w:color w:val="auto"/>
                      <w:spacing w:val="-10"/>
                      <w:sz w:val="21"/>
                      <w:szCs w:val="21"/>
                    </w:rPr>
                    <w:t>排放去向</w:t>
                  </w:r>
                </w:p>
              </w:tc>
              <w:tc>
                <w:tcPr>
                  <w:tcW w:w="793" w:type="dxa"/>
                  <w:vMerge w:val="restart"/>
                  <w:tcBorders>
                    <w:tl2br w:val="nil"/>
                    <w:tr2bl w:val="nil"/>
                  </w:tcBorders>
                  <w:vAlign w:val="center"/>
                </w:tcPr>
                <w:p>
                  <w:pPr>
                    <w:adjustRightInd w:val="0"/>
                    <w:snapToGrid w:val="0"/>
                    <w:jc w:val="center"/>
                    <w:rPr>
                      <w:rFonts w:cs="宋体"/>
                      <w:b/>
                      <w:color w:val="auto"/>
                      <w:spacing w:val="-10"/>
                      <w:szCs w:val="21"/>
                    </w:rPr>
                  </w:pPr>
                  <w:r>
                    <w:rPr>
                      <w:rFonts w:hint="eastAsia" w:cs="宋体"/>
                      <w:b/>
                      <w:color w:val="auto"/>
                      <w:spacing w:val="-10"/>
                      <w:sz w:val="21"/>
                      <w:szCs w:val="21"/>
                    </w:rPr>
                    <w:t>排放</w:t>
                  </w:r>
                </w:p>
                <w:p>
                  <w:pPr>
                    <w:adjustRightInd w:val="0"/>
                    <w:snapToGrid w:val="0"/>
                    <w:jc w:val="center"/>
                    <w:rPr>
                      <w:rFonts w:cs="宋体"/>
                      <w:b/>
                      <w:color w:val="auto"/>
                      <w:spacing w:val="-10"/>
                      <w:sz w:val="21"/>
                      <w:szCs w:val="21"/>
                    </w:rPr>
                  </w:pPr>
                  <w:r>
                    <w:rPr>
                      <w:rFonts w:hint="eastAsia" w:cs="宋体"/>
                      <w:b/>
                      <w:color w:val="auto"/>
                      <w:spacing w:val="-10"/>
                      <w:sz w:val="21"/>
                      <w:szCs w:val="21"/>
                    </w:rPr>
                    <w:t>规律</w:t>
                  </w:r>
                </w:p>
              </w:tc>
              <w:tc>
                <w:tcPr>
                  <w:tcW w:w="711" w:type="dxa"/>
                  <w:vMerge w:val="restart"/>
                  <w:tcBorders>
                    <w:tl2br w:val="nil"/>
                    <w:tr2bl w:val="nil"/>
                  </w:tcBorders>
                  <w:vAlign w:val="center"/>
                </w:tcPr>
                <w:p>
                  <w:pPr>
                    <w:adjustRightInd w:val="0"/>
                    <w:snapToGrid w:val="0"/>
                    <w:jc w:val="center"/>
                    <w:rPr>
                      <w:rFonts w:cs="宋体"/>
                      <w:b/>
                      <w:color w:val="auto"/>
                      <w:spacing w:val="-10"/>
                      <w:sz w:val="21"/>
                      <w:szCs w:val="21"/>
                    </w:rPr>
                  </w:pPr>
                  <w:r>
                    <w:rPr>
                      <w:rFonts w:hint="eastAsia" w:cs="宋体"/>
                      <w:b/>
                      <w:color w:val="auto"/>
                      <w:spacing w:val="-10"/>
                      <w:sz w:val="21"/>
                      <w:szCs w:val="21"/>
                    </w:rPr>
                    <w:t>间接排放时段</w:t>
                  </w:r>
                </w:p>
              </w:tc>
              <w:tc>
                <w:tcPr>
                  <w:tcW w:w="2394" w:type="dxa"/>
                  <w:gridSpan w:val="3"/>
                  <w:tcBorders>
                    <w:tl2br w:val="nil"/>
                    <w:tr2bl w:val="nil"/>
                  </w:tcBorders>
                  <w:vAlign w:val="center"/>
                </w:tcPr>
                <w:p>
                  <w:pPr>
                    <w:adjustRightInd w:val="0"/>
                    <w:snapToGrid w:val="0"/>
                    <w:jc w:val="center"/>
                    <w:rPr>
                      <w:rFonts w:cs="宋体"/>
                      <w:b/>
                      <w:color w:val="auto"/>
                      <w:spacing w:val="-10"/>
                      <w:sz w:val="21"/>
                      <w:szCs w:val="21"/>
                    </w:rPr>
                  </w:pPr>
                  <w:r>
                    <w:rPr>
                      <w:rFonts w:hint="eastAsia" w:cs="宋体"/>
                      <w:b/>
                      <w:color w:val="auto"/>
                      <w:spacing w:val="-10"/>
                      <w:sz w:val="21"/>
                      <w:szCs w:val="21"/>
                    </w:rPr>
                    <w:t>收纳污水处理厂信息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30" w:type="dxa"/>
                  <w:vMerge w:val="continue"/>
                  <w:tcBorders>
                    <w:tl2br w:val="nil"/>
                    <w:tr2bl w:val="nil"/>
                  </w:tcBorders>
                  <w:vAlign w:val="center"/>
                </w:tcPr>
                <w:p>
                  <w:pPr>
                    <w:adjustRightInd w:val="0"/>
                    <w:snapToGrid w:val="0"/>
                    <w:jc w:val="center"/>
                    <w:rPr>
                      <w:rFonts w:cs="宋体"/>
                      <w:b/>
                      <w:color w:val="auto"/>
                      <w:spacing w:val="-10"/>
                      <w:sz w:val="21"/>
                      <w:szCs w:val="21"/>
                    </w:rPr>
                  </w:pPr>
                </w:p>
              </w:tc>
              <w:tc>
                <w:tcPr>
                  <w:tcW w:w="828" w:type="dxa"/>
                  <w:tcBorders>
                    <w:tl2br w:val="nil"/>
                    <w:tr2bl w:val="nil"/>
                  </w:tcBorders>
                  <w:vAlign w:val="center"/>
                </w:tcPr>
                <w:p>
                  <w:pPr>
                    <w:adjustRightInd w:val="0"/>
                    <w:snapToGrid w:val="0"/>
                    <w:jc w:val="center"/>
                    <w:rPr>
                      <w:rFonts w:cs="宋体"/>
                      <w:b/>
                      <w:color w:val="auto"/>
                      <w:spacing w:val="-10"/>
                      <w:sz w:val="21"/>
                      <w:szCs w:val="21"/>
                    </w:rPr>
                  </w:pPr>
                  <w:r>
                    <w:rPr>
                      <w:rFonts w:hint="eastAsia" w:cs="宋体"/>
                      <w:b/>
                      <w:color w:val="auto"/>
                      <w:spacing w:val="-10"/>
                      <w:sz w:val="21"/>
                      <w:szCs w:val="21"/>
                    </w:rPr>
                    <w:t>经度</w:t>
                  </w:r>
                </w:p>
              </w:tc>
              <w:tc>
                <w:tcPr>
                  <w:tcW w:w="860" w:type="dxa"/>
                  <w:tcBorders>
                    <w:tl2br w:val="nil"/>
                    <w:tr2bl w:val="nil"/>
                  </w:tcBorders>
                  <w:vAlign w:val="center"/>
                </w:tcPr>
                <w:p>
                  <w:pPr>
                    <w:adjustRightInd w:val="0"/>
                    <w:snapToGrid w:val="0"/>
                    <w:jc w:val="center"/>
                    <w:rPr>
                      <w:rFonts w:cs="宋体"/>
                      <w:b/>
                      <w:color w:val="auto"/>
                      <w:spacing w:val="-10"/>
                      <w:sz w:val="21"/>
                      <w:szCs w:val="21"/>
                    </w:rPr>
                  </w:pPr>
                  <w:r>
                    <w:rPr>
                      <w:rFonts w:hint="eastAsia" w:cs="宋体"/>
                      <w:b/>
                      <w:color w:val="auto"/>
                      <w:spacing w:val="-10"/>
                      <w:sz w:val="21"/>
                      <w:szCs w:val="21"/>
                    </w:rPr>
                    <w:t>纬度</w:t>
                  </w:r>
                </w:p>
              </w:tc>
              <w:tc>
                <w:tcPr>
                  <w:tcW w:w="859" w:type="dxa"/>
                  <w:vMerge w:val="continue"/>
                  <w:tcBorders>
                    <w:tl2br w:val="nil"/>
                    <w:tr2bl w:val="nil"/>
                  </w:tcBorders>
                  <w:vAlign w:val="center"/>
                </w:tcPr>
                <w:p>
                  <w:pPr>
                    <w:adjustRightInd w:val="0"/>
                    <w:snapToGrid w:val="0"/>
                    <w:jc w:val="center"/>
                    <w:rPr>
                      <w:rFonts w:cs="宋体"/>
                      <w:b/>
                      <w:color w:val="auto"/>
                      <w:spacing w:val="-10"/>
                      <w:sz w:val="21"/>
                      <w:szCs w:val="21"/>
                    </w:rPr>
                  </w:pPr>
                </w:p>
              </w:tc>
              <w:tc>
                <w:tcPr>
                  <w:tcW w:w="661" w:type="dxa"/>
                  <w:vMerge w:val="continue"/>
                  <w:tcBorders>
                    <w:tl2br w:val="nil"/>
                    <w:tr2bl w:val="nil"/>
                  </w:tcBorders>
                  <w:vAlign w:val="center"/>
                </w:tcPr>
                <w:p>
                  <w:pPr>
                    <w:adjustRightInd w:val="0"/>
                    <w:snapToGrid w:val="0"/>
                    <w:jc w:val="center"/>
                    <w:rPr>
                      <w:rFonts w:cs="宋体"/>
                      <w:b/>
                      <w:color w:val="auto"/>
                      <w:spacing w:val="-10"/>
                      <w:sz w:val="21"/>
                      <w:szCs w:val="21"/>
                    </w:rPr>
                  </w:pPr>
                </w:p>
              </w:tc>
              <w:tc>
                <w:tcPr>
                  <w:tcW w:w="793" w:type="dxa"/>
                  <w:vMerge w:val="continue"/>
                  <w:tcBorders>
                    <w:tl2br w:val="nil"/>
                    <w:tr2bl w:val="nil"/>
                  </w:tcBorders>
                  <w:vAlign w:val="center"/>
                </w:tcPr>
                <w:p>
                  <w:pPr>
                    <w:adjustRightInd w:val="0"/>
                    <w:snapToGrid w:val="0"/>
                    <w:jc w:val="center"/>
                    <w:rPr>
                      <w:rFonts w:cs="宋体"/>
                      <w:b/>
                      <w:color w:val="auto"/>
                      <w:spacing w:val="-10"/>
                      <w:sz w:val="21"/>
                      <w:szCs w:val="21"/>
                    </w:rPr>
                  </w:pPr>
                </w:p>
              </w:tc>
              <w:tc>
                <w:tcPr>
                  <w:tcW w:w="711" w:type="dxa"/>
                  <w:vMerge w:val="continue"/>
                  <w:tcBorders>
                    <w:tl2br w:val="nil"/>
                    <w:tr2bl w:val="nil"/>
                  </w:tcBorders>
                  <w:vAlign w:val="center"/>
                </w:tcPr>
                <w:p>
                  <w:pPr>
                    <w:adjustRightInd w:val="0"/>
                    <w:snapToGrid w:val="0"/>
                    <w:jc w:val="center"/>
                    <w:rPr>
                      <w:rFonts w:cs="宋体"/>
                      <w:b/>
                      <w:color w:val="auto"/>
                      <w:spacing w:val="-10"/>
                      <w:sz w:val="21"/>
                      <w:szCs w:val="21"/>
                    </w:rPr>
                  </w:pPr>
                </w:p>
              </w:tc>
              <w:tc>
                <w:tcPr>
                  <w:tcW w:w="859" w:type="dxa"/>
                  <w:tcBorders>
                    <w:tl2br w:val="nil"/>
                    <w:tr2bl w:val="nil"/>
                  </w:tcBorders>
                  <w:vAlign w:val="center"/>
                </w:tcPr>
                <w:p>
                  <w:pPr>
                    <w:adjustRightInd w:val="0"/>
                    <w:snapToGrid w:val="0"/>
                    <w:jc w:val="center"/>
                    <w:rPr>
                      <w:rFonts w:cs="宋体"/>
                      <w:b/>
                      <w:color w:val="auto"/>
                      <w:spacing w:val="-10"/>
                      <w:sz w:val="21"/>
                      <w:szCs w:val="21"/>
                    </w:rPr>
                  </w:pPr>
                  <w:r>
                    <w:rPr>
                      <w:rFonts w:hint="eastAsia" w:cs="宋体"/>
                      <w:b/>
                      <w:color w:val="auto"/>
                      <w:spacing w:val="-10"/>
                      <w:sz w:val="21"/>
                      <w:szCs w:val="21"/>
                    </w:rPr>
                    <w:t>名称</w:t>
                  </w:r>
                </w:p>
              </w:tc>
              <w:tc>
                <w:tcPr>
                  <w:tcW w:w="789" w:type="dxa"/>
                  <w:tcBorders>
                    <w:tl2br w:val="nil"/>
                    <w:tr2bl w:val="nil"/>
                  </w:tcBorders>
                  <w:vAlign w:val="center"/>
                </w:tcPr>
                <w:p>
                  <w:pPr>
                    <w:adjustRightInd w:val="0"/>
                    <w:snapToGrid w:val="0"/>
                    <w:jc w:val="center"/>
                    <w:rPr>
                      <w:rFonts w:cs="宋体"/>
                      <w:b/>
                      <w:color w:val="auto"/>
                      <w:spacing w:val="-10"/>
                      <w:sz w:val="21"/>
                      <w:szCs w:val="21"/>
                    </w:rPr>
                  </w:pPr>
                  <w:r>
                    <w:rPr>
                      <w:rFonts w:hint="eastAsia" w:cs="宋体"/>
                      <w:b/>
                      <w:color w:val="auto"/>
                      <w:spacing w:val="-10"/>
                      <w:sz w:val="21"/>
                      <w:szCs w:val="21"/>
                    </w:rPr>
                    <w:t>污染物种类</w:t>
                  </w:r>
                </w:p>
              </w:tc>
              <w:tc>
                <w:tcPr>
                  <w:tcW w:w="746" w:type="dxa"/>
                  <w:tcBorders>
                    <w:tl2br w:val="nil"/>
                    <w:tr2bl w:val="nil"/>
                  </w:tcBorders>
                  <w:vAlign w:val="center"/>
                </w:tcPr>
                <w:p>
                  <w:pPr>
                    <w:adjustRightInd w:val="0"/>
                    <w:snapToGrid w:val="0"/>
                    <w:jc w:val="center"/>
                    <w:rPr>
                      <w:rFonts w:cs="宋体"/>
                      <w:b/>
                      <w:color w:val="auto"/>
                      <w:spacing w:val="-10"/>
                      <w:szCs w:val="21"/>
                    </w:rPr>
                  </w:pPr>
                  <w:r>
                    <w:rPr>
                      <w:rFonts w:hint="eastAsia" w:cs="宋体"/>
                      <w:b/>
                      <w:color w:val="auto"/>
                      <w:spacing w:val="-10"/>
                      <w:sz w:val="21"/>
                      <w:szCs w:val="21"/>
                    </w:rPr>
                    <w:t>浓度</w:t>
                  </w:r>
                </w:p>
                <w:p>
                  <w:pPr>
                    <w:adjustRightInd w:val="0"/>
                    <w:snapToGrid w:val="0"/>
                    <w:jc w:val="center"/>
                    <w:rPr>
                      <w:rFonts w:cs="宋体"/>
                      <w:b/>
                      <w:color w:val="auto"/>
                      <w:spacing w:val="-10"/>
                      <w:sz w:val="21"/>
                      <w:szCs w:val="21"/>
                    </w:rPr>
                  </w:pPr>
                  <w:r>
                    <w:rPr>
                      <w:rFonts w:hint="eastAsia" w:cs="宋体"/>
                      <w:b/>
                      <w:color w:val="auto"/>
                      <w:spacing w:val="-10"/>
                      <w:sz w:val="21"/>
                      <w:szCs w:val="21"/>
                    </w:rPr>
                    <w:t>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30" w:type="dxa"/>
                  <w:vMerge w:val="restart"/>
                  <w:tcBorders>
                    <w:tl2br w:val="nil"/>
                    <w:tr2bl w:val="nil"/>
                  </w:tcBorders>
                  <w:vAlign w:val="center"/>
                </w:tcPr>
                <w:p>
                  <w:pPr>
                    <w:adjustRightInd w:val="0"/>
                    <w:snapToGrid w:val="0"/>
                    <w:jc w:val="center"/>
                    <w:rPr>
                      <w:rFonts w:cs="宋体"/>
                      <w:bCs/>
                      <w:color w:val="auto"/>
                      <w:spacing w:val="-10"/>
                      <w:sz w:val="21"/>
                      <w:szCs w:val="21"/>
                    </w:rPr>
                  </w:pPr>
                  <w:r>
                    <w:rPr>
                      <w:rFonts w:cs="宋体"/>
                      <w:bCs/>
                      <w:color w:val="auto"/>
                      <w:spacing w:val="-10"/>
                      <w:sz w:val="21"/>
                      <w:szCs w:val="21"/>
                    </w:rPr>
                    <w:t>DW</w:t>
                  </w:r>
                </w:p>
                <w:p>
                  <w:pPr>
                    <w:adjustRightInd w:val="0"/>
                    <w:snapToGrid w:val="0"/>
                    <w:jc w:val="center"/>
                    <w:rPr>
                      <w:rFonts w:cs="宋体"/>
                      <w:bCs/>
                      <w:color w:val="auto"/>
                      <w:spacing w:val="-10"/>
                      <w:sz w:val="21"/>
                      <w:szCs w:val="21"/>
                    </w:rPr>
                  </w:pPr>
                  <w:r>
                    <w:rPr>
                      <w:rFonts w:cs="宋体"/>
                      <w:bCs/>
                      <w:color w:val="auto"/>
                      <w:spacing w:val="-10"/>
                      <w:sz w:val="21"/>
                      <w:szCs w:val="21"/>
                    </w:rPr>
                    <w:t>001</w:t>
                  </w:r>
                </w:p>
              </w:tc>
              <w:tc>
                <w:tcPr>
                  <w:tcW w:w="828" w:type="dxa"/>
                  <w:vMerge w:val="restart"/>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eastAsia" w:ascii="Times New Roman" w:hAnsi="Times New Roman" w:eastAsia="宋体" w:cs="宋体"/>
                      <w:bCs/>
                      <w:color w:val="auto"/>
                      <w:spacing w:val="-10"/>
                      <w:sz w:val="21"/>
                      <w:szCs w:val="21"/>
                      <w:lang w:val="en-US" w:eastAsia="zh-CN"/>
                    </w:rPr>
                    <w:t>112.800832</w:t>
                  </w:r>
                </w:p>
              </w:tc>
              <w:tc>
                <w:tcPr>
                  <w:tcW w:w="860" w:type="dxa"/>
                  <w:vMerge w:val="restart"/>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eastAsia" w:ascii="Times New Roman" w:hAnsi="Times New Roman" w:eastAsia="宋体" w:cs="宋体"/>
                      <w:bCs/>
                      <w:color w:val="auto"/>
                      <w:spacing w:val="-10"/>
                      <w:sz w:val="21"/>
                      <w:szCs w:val="21"/>
                      <w:lang w:val="en-US" w:eastAsia="zh-CN"/>
                    </w:rPr>
                    <w:t>29.33653</w:t>
                  </w:r>
                  <w:r>
                    <w:rPr>
                      <w:rFonts w:hint="eastAsia" w:cs="宋体"/>
                      <w:bCs/>
                      <w:color w:val="auto"/>
                      <w:spacing w:val="-10"/>
                      <w:sz w:val="21"/>
                      <w:szCs w:val="21"/>
                      <w:lang w:val="en-US" w:eastAsia="zh-CN"/>
                    </w:rPr>
                    <w:t>1</w:t>
                  </w:r>
                </w:p>
              </w:tc>
              <w:tc>
                <w:tcPr>
                  <w:tcW w:w="859" w:type="dxa"/>
                  <w:vMerge w:val="restart"/>
                  <w:tcBorders>
                    <w:tl2br w:val="nil"/>
                    <w:tr2bl w:val="nil"/>
                  </w:tcBorders>
                  <w:vAlign w:val="center"/>
                </w:tcPr>
                <w:p>
                  <w:pPr>
                    <w:adjustRightInd w:val="0"/>
                    <w:snapToGrid w:val="0"/>
                    <w:jc w:val="center"/>
                    <w:rPr>
                      <w:rFonts w:cs="宋体"/>
                      <w:bCs/>
                      <w:color w:val="auto"/>
                      <w:spacing w:val="-10"/>
                      <w:sz w:val="21"/>
                      <w:szCs w:val="21"/>
                    </w:rPr>
                  </w:pPr>
                  <w:r>
                    <w:rPr>
                      <w:rFonts w:hint="eastAsia" w:cs="宋体"/>
                      <w:bCs/>
                      <w:color w:val="auto"/>
                      <w:spacing w:val="-10"/>
                      <w:sz w:val="21"/>
                      <w:szCs w:val="21"/>
                      <w:lang w:val="en-US" w:eastAsia="zh-CN"/>
                    </w:rPr>
                    <w:t>29200</w:t>
                  </w:r>
                  <w:r>
                    <w:rPr>
                      <w:rFonts w:cs="宋体"/>
                      <w:bCs/>
                      <w:color w:val="auto"/>
                      <w:spacing w:val="-10"/>
                      <w:sz w:val="21"/>
                      <w:szCs w:val="21"/>
                    </w:rPr>
                    <w:t>m</w:t>
                  </w:r>
                  <w:r>
                    <w:rPr>
                      <w:rFonts w:cs="宋体"/>
                      <w:b/>
                      <w:color w:val="auto"/>
                      <w:spacing w:val="-10"/>
                      <w:sz w:val="21"/>
                      <w:szCs w:val="21"/>
                      <w:vertAlign w:val="superscript"/>
                    </w:rPr>
                    <w:t>3</w:t>
                  </w:r>
                  <w:r>
                    <w:rPr>
                      <w:rFonts w:cs="宋体"/>
                      <w:bCs/>
                      <w:color w:val="auto"/>
                      <w:spacing w:val="-10"/>
                      <w:sz w:val="21"/>
                      <w:szCs w:val="21"/>
                    </w:rPr>
                    <w:t>/a</w:t>
                  </w:r>
                </w:p>
              </w:tc>
              <w:tc>
                <w:tcPr>
                  <w:tcW w:w="661" w:type="dxa"/>
                  <w:vMerge w:val="restart"/>
                  <w:tcBorders>
                    <w:tl2br w:val="nil"/>
                    <w:tr2bl w:val="nil"/>
                  </w:tcBorders>
                  <w:vAlign w:val="center"/>
                </w:tcPr>
                <w:p>
                  <w:pPr>
                    <w:adjustRightInd w:val="0"/>
                    <w:snapToGrid w:val="0"/>
                    <w:jc w:val="center"/>
                    <w:rPr>
                      <w:rFonts w:cs="宋体"/>
                      <w:bCs/>
                      <w:color w:val="auto"/>
                      <w:spacing w:val="-10"/>
                      <w:sz w:val="21"/>
                      <w:szCs w:val="21"/>
                    </w:rPr>
                  </w:pPr>
                  <w:r>
                    <w:rPr>
                      <w:rFonts w:hint="eastAsia" w:cs="宋体"/>
                      <w:bCs/>
                      <w:color w:val="auto"/>
                      <w:spacing w:val="-10"/>
                      <w:sz w:val="21"/>
                      <w:szCs w:val="21"/>
                      <w:lang w:val="en-US" w:eastAsia="zh-CN"/>
                    </w:rPr>
                    <w:t>城镇</w:t>
                  </w:r>
                  <w:r>
                    <w:rPr>
                      <w:rFonts w:hint="eastAsia" w:cs="宋体"/>
                      <w:bCs/>
                      <w:color w:val="auto"/>
                      <w:spacing w:val="-10"/>
                      <w:sz w:val="21"/>
                      <w:szCs w:val="21"/>
                    </w:rPr>
                    <w:t>污水处理厂</w:t>
                  </w:r>
                </w:p>
              </w:tc>
              <w:tc>
                <w:tcPr>
                  <w:tcW w:w="793" w:type="dxa"/>
                  <w:vMerge w:val="restart"/>
                  <w:tcBorders>
                    <w:tl2br w:val="nil"/>
                    <w:tr2bl w:val="nil"/>
                  </w:tcBorders>
                  <w:vAlign w:val="center"/>
                </w:tcPr>
                <w:p>
                  <w:pPr>
                    <w:adjustRightInd w:val="0"/>
                    <w:snapToGrid w:val="0"/>
                    <w:jc w:val="center"/>
                    <w:rPr>
                      <w:rFonts w:cs="宋体"/>
                      <w:bCs/>
                      <w:color w:val="auto"/>
                      <w:spacing w:val="-10"/>
                      <w:sz w:val="21"/>
                      <w:szCs w:val="21"/>
                    </w:rPr>
                  </w:pPr>
                  <w:r>
                    <w:rPr>
                      <w:rFonts w:hint="eastAsia" w:cs="宋体"/>
                      <w:bCs/>
                      <w:color w:val="auto"/>
                      <w:spacing w:val="-10"/>
                      <w:sz w:val="21"/>
                      <w:szCs w:val="21"/>
                    </w:rPr>
                    <w:t>间断排放，流量不稳定且无规律.</w:t>
                  </w:r>
                </w:p>
              </w:tc>
              <w:tc>
                <w:tcPr>
                  <w:tcW w:w="711" w:type="dxa"/>
                  <w:vMerge w:val="restart"/>
                  <w:tcBorders>
                    <w:tl2br w:val="nil"/>
                    <w:tr2bl w:val="nil"/>
                  </w:tcBorders>
                  <w:vAlign w:val="center"/>
                </w:tcPr>
                <w:p>
                  <w:pPr>
                    <w:adjustRightInd w:val="0"/>
                    <w:snapToGrid w:val="0"/>
                    <w:jc w:val="center"/>
                    <w:rPr>
                      <w:rFonts w:cs="宋体"/>
                      <w:bCs/>
                      <w:color w:val="auto"/>
                      <w:spacing w:val="-10"/>
                      <w:sz w:val="21"/>
                      <w:szCs w:val="21"/>
                    </w:rPr>
                  </w:pPr>
                  <w:r>
                    <w:rPr>
                      <w:rFonts w:cs="宋体"/>
                      <w:bCs/>
                      <w:color w:val="auto"/>
                      <w:spacing w:val="-10"/>
                      <w:sz w:val="21"/>
                      <w:szCs w:val="21"/>
                    </w:rPr>
                    <w:t>/</w:t>
                  </w:r>
                </w:p>
              </w:tc>
              <w:tc>
                <w:tcPr>
                  <w:tcW w:w="859" w:type="dxa"/>
                  <w:vMerge w:val="restart"/>
                  <w:tcBorders>
                    <w:tl2br w:val="nil"/>
                    <w:tr2bl w:val="nil"/>
                  </w:tcBorders>
                  <w:vAlign w:val="center"/>
                </w:tcPr>
                <w:p>
                  <w:pPr>
                    <w:adjustRightInd w:val="0"/>
                    <w:snapToGrid w:val="0"/>
                    <w:jc w:val="center"/>
                    <w:rPr>
                      <w:rFonts w:hint="eastAsia" w:ascii="Times New Roman" w:hAnsi="Times New Roman" w:eastAsia="宋体" w:cs="宋体"/>
                      <w:bCs/>
                      <w:color w:val="auto"/>
                      <w:spacing w:val="-10"/>
                      <w:sz w:val="21"/>
                      <w:szCs w:val="21"/>
                      <w:lang w:val="en-US" w:eastAsia="zh-CN"/>
                    </w:rPr>
                  </w:pPr>
                  <w:r>
                    <w:rPr>
                      <w:rFonts w:hint="eastAsia" w:ascii="Times New Roman" w:hAnsi="Times New Roman" w:eastAsia="宋体" w:cs="宋体"/>
                      <w:bCs/>
                      <w:color w:val="auto"/>
                      <w:spacing w:val="-10"/>
                      <w:sz w:val="21"/>
                      <w:szCs w:val="21"/>
                      <w:lang w:val="en-US" w:eastAsia="zh-CN"/>
                    </w:rPr>
                    <w:t>华容县团洲乡团洲新村污水处理厂</w:t>
                  </w:r>
                </w:p>
              </w:tc>
              <w:tc>
                <w:tcPr>
                  <w:tcW w:w="789" w:type="dxa"/>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default" w:ascii="Times New Roman" w:hAnsi="Times New Roman" w:eastAsia="宋体" w:cs="宋体"/>
                      <w:bCs/>
                      <w:color w:val="auto"/>
                      <w:spacing w:val="-10"/>
                      <w:sz w:val="21"/>
                      <w:szCs w:val="21"/>
                      <w:lang w:val="en-US" w:eastAsia="zh-CN"/>
                    </w:rPr>
                    <w:t>COD</w:t>
                  </w:r>
                </w:p>
              </w:tc>
              <w:tc>
                <w:tcPr>
                  <w:tcW w:w="746" w:type="dxa"/>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default" w:ascii="Times New Roman" w:hAnsi="Times New Roman" w:eastAsia="宋体" w:cs="宋体"/>
                      <w:bCs/>
                      <w:color w:val="auto"/>
                      <w:spacing w:val="-10"/>
                      <w:sz w:val="21"/>
                      <w:szCs w:val="21"/>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30"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28"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60"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59"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661"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93"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11"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59" w:type="dxa"/>
                  <w:vMerge w:val="continue"/>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p>
              </w:tc>
              <w:tc>
                <w:tcPr>
                  <w:tcW w:w="789" w:type="dxa"/>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default" w:ascii="Times New Roman" w:hAnsi="Times New Roman" w:eastAsia="宋体" w:cs="宋体"/>
                      <w:bCs/>
                      <w:color w:val="auto"/>
                      <w:spacing w:val="-10"/>
                      <w:sz w:val="21"/>
                      <w:szCs w:val="21"/>
                      <w:lang w:val="en-US" w:eastAsia="zh-CN"/>
                    </w:rPr>
                    <w:t>BOD</w:t>
                  </w:r>
                  <w:r>
                    <w:rPr>
                      <w:rFonts w:hint="eastAsia" w:ascii="Times New Roman" w:hAnsi="Times New Roman" w:eastAsia="宋体" w:cs="宋体"/>
                      <w:bCs/>
                      <w:color w:val="auto"/>
                      <w:spacing w:val="-10"/>
                      <w:sz w:val="21"/>
                      <w:szCs w:val="21"/>
                      <w:vertAlign w:val="subscript"/>
                      <w:lang w:val="en-US" w:eastAsia="zh-CN"/>
                    </w:rPr>
                    <w:t>5</w:t>
                  </w:r>
                </w:p>
              </w:tc>
              <w:tc>
                <w:tcPr>
                  <w:tcW w:w="746" w:type="dxa"/>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default" w:ascii="Times New Roman" w:hAnsi="Times New Roman" w:eastAsia="宋体" w:cs="宋体"/>
                      <w:bCs/>
                      <w:color w:val="auto"/>
                      <w:spacing w:val="-10"/>
                      <w:sz w:val="21"/>
                      <w:szCs w:val="21"/>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30"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28"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60"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59"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661"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93"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11"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59" w:type="dxa"/>
                  <w:vMerge w:val="continue"/>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p>
              </w:tc>
              <w:tc>
                <w:tcPr>
                  <w:tcW w:w="789" w:type="dxa"/>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default" w:ascii="Times New Roman" w:hAnsi="Times New Roman" w:eastAsia="宋体" w:cs="宋体"/>
                      <w:bCs/>
                      <w:color w:val="auto"/>
                      <w:spacing w:val="-10"/>
                      <w:sz w:val="21"/>
                      <w:szCs w:val="21"/>
                      <w:lang w:val="en-US" w:eastAsia="zh-CN"/>
                    </w:rPr>
                    <w:t>NH</w:t>
                  </w:r>
                  <w:r>
                    <w:rPr>
                      <w:rFonts w:hint="default" w:ascii="Times New Roman" w:hAnsi="Times New Roman" w:eastAsia="宋体" w:cs="宋体"/>
                      <w:bCs/>
                      <w:color w:val="auto"/>
                      <w:spacing w:val="-10"/>
                      <w:sz w:val="21"/>
                      <w:szCs w:val="21"/>
                      <w:vertAlign w:val="subscript"/>
                      <w:lang w:val="en-US" w:eastAsia="zh-CN"/>
                    </w:rPr>
                    <w:t>3</w:t>
                  </w:r>
                  <w:r>
                    <w:rPr>
                      <w:rFonts w:hint="default" w:ascii="Times New Roman" w:hAnsi="Times New Roman" w:eastAsia="宋体" w:cs="宋体"/>
                      <w:bCs/>
                      <w:color w:val="auto"/>
                      <w:spacing w:val="-10"/>
                      <w:sz w:val="21"/>
                      <w:szCs w:val="21"/>
                      <w:lang w:val="en-US" w:eastAsia="zh-CN"/>
                    </w:rPr>
                    <w:t>-N</w:t>
                  </w:r>
                </w:p>
              </w:tc>
              <w:tc>
                <w:tcPr>
                  <w:tcW w:w="746" w:type="dxa"/>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default" w:ascii="Times New Roman" w:hAnsi="Times New Roman" w:eastAsia="宋体" w:cs="宋体"/>
                      <w:bCs/>
                      <w:color w:val="auto"/>
                      <w:spacing w:val="-10"/>
                      <w:sz w:val="21"/>
                      <w:szCs w:val="21"/>
                      <w:lang w:val="en-US" w:eastAsia="zh-CN"/>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30"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28"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60"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59"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661"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93"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11"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59" w:type="dxa"/>
                  <w:vMerge w:val="continue"/>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p>
              </w:tc>
              <w:tc>
                <w:tcPr>
                  <w:tcW w:w="789" w:type="dxa"/>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default" w:ascii="Times New Roman" w:hAnsi="Times New Roman" w:eastAsia="宋体" w:cs="宋体"/>
                      <w:bCs/>
                      <w:color w:val="auto"/>
                      <w:spacing w:val="-10"/>
                      <w:sz w:val="21"/>
                      <w:szCs w:val="21"/>
                      <w:lang w:val="en-US" w:eastAsia="zh-CN"/>
                    </w:rPr>
                    <w:t>SS</w:t>
                  </w:r>
                </w:p>
              </w:tc>
              <w:tc>
                <w:tcPr>
                  <w:tcW w:w="746" w:type="dxa"/>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default" w:ascii="Times New Roman" w:hAnsi="Times New Roman" w:eastAsia="宋体" w:cs="宋体"/>
                      <w:bCs/>
                      <w:color w:val="auto"/>
                      <w:spacing w:val="-10"/>
                      <w:sz w:val="21"/>
                      <w:szCs w:val="21"/>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30"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28"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60"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59"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661"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93"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11"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59" w:type="dxa"/>
                  <w:vMerge w:val="continue"/>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p>
              </w:tc>
              <w:tc>
                <w:tcPr>
                  <w:tcW w:w="789" w:type="dxa"/>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eastAsia" w:ascii="Times New Roman" w:hAnsi="Times New Roman" w:eastAsia="宋体" w:cs="宋体"/>
                      <w:bCs/>
                      <w:color w:val="auto"/>
                      <w:spacing w:val="-10"/>
                      <w:sz w:val="21"/>
                      <w:szCs w:val="21"/>
                      <w:lang w:val="en-US" w:eastAsia="zh-CN"/>
                    </w:rPr>
                    <w:t>TP</w:t>
                  </w:r>
                </w:p>
              </w:tc>
              <w:tc>
                <w:tcPr>
                  <w:tcW w:w="746" w:type="dxa"/>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eastAsia" w:ascii="Times New Roman" w:hAnsi="Times New Roman" w:eastAsia="宋体" w:cs="宋体"/>
                      <w:bCs/>
                      <w:color w:val="auto"/>
                      <w:spacing w:val="-10"/>
                      <w:sz w:val="21"/>
                      <w:szCs w:val="21"/>
                      <w:lang w:val="en-US" w:eastAsia="zh-CN"/>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30"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28"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60"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59"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661"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93"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11"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59" w:type="dxa"/>
                  <w:vMerge w:val="continue"/>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p>
              </w:tc>
              <w:tc>
                <w:tcPr>
                  <w:tcW w:w="789" w:type="dxa"/>
                  <w:tcBorders>
                    <w:tl2br w:val="nil"/>
                    <w:tr2bl w:val="nil"/>
                  </w:tcBorders>
                  <w:vAlign w:val="center"/>
                </w:tcPr>
                <w:p>
                  <w:pPr>
                    <w:adjustRightInd w:val="0"/>
                    <w:snapToGrid w:val="0"/>
                    <w:jc w:val="center"/>
                    <w:rPr>
                      <w:rFonts w:hint="eastAsia" w:ascii="Times New Roman" w:hAnsi="Times New Roman" w:eastAsia="宋体" w:cs="宋体"/>
                      <w:bCs/>
                      <w:color w:val="auto"/>
                      <w:spacing w:val="-10"/>
                      <w:sz w:val="21"/>
                      <w:szCs w:val="21"/>
                      <w:lang w:val="en-US" w:eastAsia="zh-CN"/>
                    </w:rPr>
                  </w:pPr>
                  <w:r>
                    <w:rPr>
                      <w:rFonts w:hint="eastAsia" w:ascii="Times New Roman" w:hAnsi="Times New Roman" w:eastAsia="宋体" w:cs="宋体"/>
                      <w:bCs/>
                      <w:color w:val="auto"/>
                      <w:spacing w:val="-10"/>
                      <w:sz w:val="21"/>
                      <w:szCs w:val="21"/>
                      <w:lang w:val="en-US" w:eastAsia="zh-CN"/>
                    </w:rPr>
                    <w:t>pH</w:t>
                  </w:r>
                </w:p>
              </w:tc>
              <w:tc>
                <w:tcPr>
                  <w:tcW w:w="746" w:type="dxa"/>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default" w:ascii="Times New Roman" w:hAnsi="Times New Roman" w:eastAsia="宋体" w:cs="宋体"/>
                      <w:bCs/>
                      <w:color w:val="auto"/>
                      <w:spacing w:val="-10"/>
                      <w:sz w:val="21"/>
                      <w:szCs w:val="21"/>
                      <w:lang w:val="en-US" w:eastAsia="zh-CN"/>
                    </w:rPr>
                    <w:t>6-9</w:t>
                  </w:r>
                </w:p>
              </w:tc>
            </w:tr>
          </w:tbl>
          <w:p>
            <w:pPr>
              <w:numPr>
                <w:ilvl w:val="0"/>
                <w:numId w:val="0"/>
              </w:numPr>
              <w:adjustRightInd w:val="0"/>
              <w:snapToGrid w:val="0"/>
              <w:spacing w:line="360" w:lineRule="auto"/>
              <w:rPr>
                <w:rFonts w:cs="宋体"/>
                <w:b/>
                <w:color w:val="auto"/>
                <w:spacing w:val="-10"/>
                <w:sz w:val="24"/>
                <w:szCs w:val="21"/>
              </w:rPr>
            </w:pPr>
            <w:r>
              <w:rPr>
                <w:rFonts w:hint="eastAsia" w:cs="宋体"/>
                <w:b/>
                <w:color w:val="auto"/>
                <w:spacing w:val="-10"/>
                <w:sz w:val="24"/>
                <w:szCs w:val="21"/>
                <w:lang w:val="en-US" w:eastAsia="zh-CN"/>
              </w:rPr>
              <w:t>4、</w:t>
            </w:r>
            <w:r>
              <w:rPr>
                <w:rFonts w:hint="eastAsia" w:cs="宋体"/>
                <w:b/>
                <w:color w:val="auto"/>
                <w:spacing w:val="-10"/>
                <w:sz w:val="24"/>
                <w:szCs w:val="21"/>
              </w:rPr>
              <w:t>声环境影响分析</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default" w:ascii="Times New Roman" w:hAnsi="Times New Roman" w:eastAsia="宋体" w:cs="宋体"/>
                <w:bCs/>
                <w:i w:val="0"/>
                <w:iCs w:val="0"/>
                <w:color w:val="auto"/>
                <w:sz w:val="24"/>
                <w:szCs w:val="21"/>
                <w:u w:val="none"/>
                <w:lang w:val="en-US" w:eastAsia="zh-CN"/>
              </w:rPr>
              <w:t>根据对本项目噪声污染源的分析及同类型项目的调研可知，噪声污染源主要为车辆进出、</w:t>
            </w:r>
            <w:r>
              <w:rPr>
                <w:rFonts w:hint="eastAsia" w:ascii="Times New Roman" w:hAnsi="Times New Roman" w:eastAsia="宋体" w:cs="宋体"/>
                <w:bCs/>
                <w:i w:val="0"/>
                <w:iCs w:val="0"/>
                <w:color w:val="auto"/>
                <w:sz w:val="24"/>
                <w:szCs w:val="21"/>
                <w:u w:val="none"/>
                <w:lang w:val="en-US" w:eastAsia="zh-CN"/>
              </w:rPr>
              <w:t>人群活动</w:t>
            </w:r>
            <w:r>
              <w:rPr>
                <w:rFonts w:hint="default" w:ascii="Times New Roman" w:hAnsi="Times New Roman" w:eastAsia="宋体" w:cs="宋体"/>
                <w:bCs/>
                <w:i w:val="0"/>
                <w:iCs w:val="0"/>
                <w:color w:val="auto"/>
                <w:sz w:val="24"/>
                <w:szCs w:val="21"/>
                <w:u w:val="none"/>
                <w:lang w:val="en-US" w:eastAsia="zh-CN"/>
              </w:rPr>
              <w:t>和各类设备运行噪声等，</w:t>
            </w:r>
            <w:r>
              <w:rPr>
                <w:rFonts w:hint="eastAsia" w:ascii="Times New Roman" w:hAnsi="Times New Roman" w:eastAsia="宋体" w:cs="宋体"/>
                <w:bCs/>
                <w:i w:val="0"/>
                <w:iCs w:val="0"/>
                <w:color w:val="auto"/>
                <w:sz w:val="24"/>
                <w:szCs w:val="21"/>
                <w:u w:val="none"/>
                <w:lang w:val="en-US" w:eastAsia="zh-CN"/>
              </w:rPr>
              <w:t>电梯机组</w:t>
            </w:r>
            <w:r>
              <w:rPr>
                <w:rFonts w:hint="default" w:ascii="Times New Roman" w:hAnsi="Times New Roman" w:eastAsia="宋体" w:cs="宋体"/>
                <w:bCs/>
                <w:i w:val="0"/>
                <w:iCs w:val="0"/>
                <w:color w:val="auto"/>
                <w:sz w:val="24"/>
                <w:szCs w:val="21"/>
                <w:u w:val="none"/>
                <w:lang w:val="en-US" w:eastAsia="zh-CN"/>
              </w:rPr>
              <w:t>以及配电房等设备噪声。本评价根据对同类型设备的类比监测，了解各噪声源正常作业时的噪声源强，具体见表</w:t>
            </w:r>
            <w:r>
              <w:rPr>
                <w:rFonts w:hint="eastAsia" w:ascii="Times New Roman" w:hAnsi="Times New Roman" w:eastAsia="宋体" w:cs="宋体"/>
                <w:bCs/>
                <w:i w:val="0"/>
                <w:iCs w:val="0"/>
                <w:color w:val="auto"/>
                <w:sz w:val="24"/>
                <w:szCs w:val="21"/>
                <w:u w:val="none"/>
                <w:lang w:val="en-US" w:eastAsia="zh-CN"/>
              </w:rPr>
              <w:t>4-4</w:t>
            </w:r>
            <w:r>
              <w:rPr>
                <w:rFonts w:hint="default" w:ascii="Times New Roman" w:hAnsi="Times New Roman" w:eastAsia="宋体" w:cs="宋体"/>
                <w:bCs/>
                <w:i w:val="0"/>
                <w:iCs w:val="0"/>
                <w:color w:val="auto"/>
                <w:sz w:val="24"/>
                <w:szCs w:val="21"/>
                <w:u w:val="none"/>
                <w:lang w:val="en-US" w:eastAsia="zh-CN"/>
              </w:rPr>
              <w:t>。</w:t>
            </w:r>
          </w:p>
          <w:p>
            <w:pPr>
              <w:adjustRightInd w:val="0"/>
              <w:snapToGrid w:val="0"/>
              <w:jc w:val="center"/>
              <w:rPr>
                <w:rFonts w:hint="default" w:ascii="Times New Roman" w:hAnsi="Times New Roman" w:eastAsia="宋体" w:cs="Times New Roman"/>
                <w:b/>
                <w:color w:val="auto"/>
                <w:sz w:val="24"/>
                <w:szCs w:val="21"/>
                <w:lang w:val="en-US" w:eastAsia="zh-CN"/>
              </w:rPr>
            </w:pPr>
            <w:r>
              <w:rPr>
                <w:rFonts w:hint="default" w:ascii="Times New Roman" w:hAnsi="Times New Roman" w:eastAsia="宋体" w:cs="Times New Roman"/>
                <w:b/>
                <w:color w:val="auto"/>
                <w:sz w:val="24"/>
                <w:szCs w:val="21"/>
                <w:lang w:val="en-US" w:eastAsia="zh-CN"/>
              </w:rPr>
              <w:t>表</w:t>
            </w:r>
            <w:r>
              <w:rPr>
                <w:rFonts w:hint="eastAsia" w:ascii="Times New Roman" w:hAnsi="Times New Roman" w:eastAsia="宋体" w:cs="Times New Roman"/>
                <w:b/>
                <w:color w:val="auto"/>
                <w:sz w:val="24"/>
                <w:szCs w:val="21"/>
                <w:lang w:val="en-US" w:eastAsia="zh-CN"/>
              </w:rPr>
              <w:t>4-4</w:t>
            </w:r>
            <w:r>
              <w:rPr>
                <w:rFonts w:hint="default" w:ascii="Times New Roman" w:hAnsi="Times New Roman" w:eastAsia="宋体" w:cs="Times New Roman"/>
                <w:b/>
                <w:color w:val="auto"/>
                <w:sz w:val="24"/>
                <w:szCs w:val="21"/>
                <w:lang w:val="en-US" w:eastAsia="zh-CN"/>
              </w:rPr>
              <w:t xml:space="preserve">  项目噪声源强  单位：dB(A)</w:t>
            </w:r>
          </w:p>
          <w:tbl>
            <w:tblPr>
              <w:tblStyle w:val="22"/>
              <w:tblW w:w="793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34"/>
              <w:gridCol w:w="2256"/>
              <w:gridCol w:w="1845"/>
              <w:gridCol w:w="24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34" w:type="dxa"/>
                  <w:tcBorders>
                    <w:tl2br w:val="nil"/>
                    <w:tr2bl w:val="nil"/>
                  </w:tcBorders>
                  <w:noWrap w:val="0"/>
                  <w:vAlign w:val="center"/>
                </w:tcPr>
                <w:p>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噪声类型</w:t>
                  </w:r>
                </w:p>
              </w:tc>
              <w:tc>
                <w:tcPr>
                  <w:tcW w:w="2256" w:type="dxa"/>
                  <w:tcBorders>
                    <w:tl2br w:val="nil"/>
                    <w:tr2bl w:val="nil"/>
                  </w:tcBorders>
                  <w:noWrap w:val="0"/>
                  <w:vAlign w:val="center"/>
                </w:tcPr>
                <w:p>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位置</w:t>
                  </w:r>
                </w:p>
              </w:tc>
              <w:tc>
                <w:tcPr>
                  <w:tcW w:w="1845" w:type="dxa"/>
                  <w:tcBorders>
                    <w:tl2br w:val="nil"/>
                    <w:tr2bl w:val="nil"/>
                  </w:tcBorders>
                  <w:noWrap w:val="0"/>
                  <w:vAlign w:val="center"/>
                </w:tcPr>
                <w:p>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源强值</w:t>
                  </w:r>
                </w:p>
              </w:tc>
              <w:tc>
                <w:tcPr>
                  <w:tcW w:w="2402" w:type="dxa"/>
                  <w:tcBorders>
                    <w:tl2br w:val="nil"/>
                    <w:tr2bl w:val="nil"/>
                  </w:tcBorders>
                  <w:noWrap w:val="0"/>
                  <w:vAlign w:val="center"/>
                </w:tcPr>
                <w:p>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34" w:type="dxa"/>
                  <w:vMerge w:val="restart"/>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车辆噪声</w:t>
                  </w:r>
                </w:p>
              </w:tc>
              <w:tc>
                <w:tcPr>
                  <w:tcW w:w="2256" w:type="dxa"/>
                  <w:vMerge w:val="restart"/>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小型汽车行驶(7.5m处)</w:t>
                  </w:r>
                </w:p>
              </w:tc>
              <w:tc>
                <w:tcPr>
                  <w:tcW w:w="1845"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怠速50～60</w:t>
                  </w:r>
                </w:p>
              </w:tc>
              <w:tc>
                <w:tcPr>
                  <w:tcW w:w="2402" w:type="dxa"/>
                  <w:vMerge w:val="restart"/>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一般集中在早晨和下午上下课时间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34"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2256"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1845"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正常60～70</w:t>
                  </w:r>
                </w:p>
              </w:tc>
              <w:tc>
                <w:tcPr>
                  <w:tcW w:w="2402"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34"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2256"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1845"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highlight w:val="none"/>
                    </w:rPr>
                    <w:t>鸣笛</w:t>
                  </w:r>
                  <w:r>
                    <w:rPr>
                      <w:rFonts w:hint="default" w:ascii="Times New Roman" w:hAnsi="Times New Roman" w:eastAsia="宋体" w:cs="Times New Roman"/>
                      <w:color w:val="auto"/>
                      <w:szCs w:val="21"/>
                    </w:rPr>
                    <w:t>70～75</w:t>
                  </w:r>
                </w:p>
              </w:tc>
              <w:tc>
                <w:tcPr>
                  <w:tcW w:w="2402"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34" w:type="dxa"/>
                  <w:vMerge w:val="restart"/>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设备噪声</w:t>
                  </w:r>
                </w:p>
              </w:tc>
              <w:tc>
                <w:tcPr>
                  <w:tcW w:w="2256"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配电房</w:t>
                  </w:r>
                </w:p>
              </w:tc>
              <w:tc>
                <w:tcPr>
                  <w:tcW w:w="1845"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70～80</w:t>
                  </w:r>
                </w:p>
              </w:tc>
              <w:tc>
                <w:tcPr>
                  <w:tcW w:w="2402"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地面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34"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2256"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电梯机组</w:t>
                  </w:r>
                </w:p>
              </w:tc>
              <w:tc>
                <w:tcPr>
                  <w:tcW w:w="1845"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75～80</w:t>
                  </w:r>
                </w:p>
              </w:tc>
              <w:tc>
                <w:tcPr>
                  <w:tcW w:w="2402"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食堂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34"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大型</w:t>
                  </w:r>
                  <w:r>
                    <w:rPr>
                      <w:rFonts w:hint="eastAsia" w:ascii="Times New Roman" w:hAnsi="Times New Roman" w:eastAsia="宋体" w:cs="Times New Roman"/>
                      <w:color w:val="auto"/>
                      <w:szCs w:val="21"/>
                      <w:lang w:val="en-US" w:eastAsia="zh-CN"/>
                    </w:rPr>
                    <w:t>活动</w:t>
                  </w:r>
                  <w:r>
                    <w:rPr>
                      <w:rFonts w:hint="default" w:ascii="Times New Roman" w:hAnsi="Times New Roman" w:eastAsia="宋体" w:cs="Times New Roman"/>
                      <w:color w:val="auto"/>
                      <w:szCs w:val="21"/>
                    </w:rPr>
                    <w:t>（文娱活动）噪声</w:t>
                  </w:r>
                </w:p>
              </w:tc>
              <w:tc>
                <w:tcPr>
                  <w:tcW w:w="2256"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社会噪声</w:t>
                  </w:r>
                </w:p>
              </w:tc>
              <w:tc>
                <w:tcPr>
                  <w:tcW w:w="1845"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85~</w:t>
                  </w:r>
                  <w:r>
                    <w:rPr>
                      <w:rFonts w:hint="eastAsia" w:ascii="Times New Roman" w:hAnsi="Times New Roman" w:eastAsia="宋体" w:cs="Times New Roman"/>
                      <w:color w:val="auto"/>
                      <w:szCs w:val="21"/>
                      <w:lang w:val="en-US" w:eastAsia="zh-CN"/>
                    </w:rPr>
                    <w:t>90</w:t>
                  </w:r>
                </w:p>
              </w:tc>
              <w:tc>
                <w:tcPr>
                  <w:tcW w:w="2402"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休闲空地</w:t>
                  </w:r>
                </w:p>
              </w:tc>
            </w:tr>
          </w:tbl>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default" w:ascii="Times New Roman" w:hAnsi="Times New Roman" w:eastAsia="宋体" w:cs="宋体"/>
                <w:bCs/>
                <w:i w:val="0"/>
                <w:iCs w:val="0"/>
                <w:color w:val="auto"/>
                <w:sz w:val="24"/>
                <w:szCs w:val="21"/>
                <w:u w:val="none"/>
                <w:lang w:val="en-US" w:eastAsia="zh-CN"/>
              </w:rPr>
              <w:t>（</w:t>
            </w:r>
            <w:r>
              <w:rPr>
                <w:rFonts w:hint="eastAsia" w:ascii="Times New Roman" w:hAnsi="Times New Roman" w:eastAsia="宋体" w:cs="宋体"/>
                <w:bCs/>
                <w:i w:val="0"/>
                <w:iCs w:val="0"/>
                <w:color w:val="auto"/>
                <w:sz w:val="24"/>
                <w:szCs w:val="21"/>
                <w:u w:val="none"/>
                <w:lang w:val="en-US" w:eastAsia="zh-CN"/>
              </w:rPr>
              <w:t>1</w:t>
            </w:r>
            <w:r>
              <w:rPr>
                <w:rFonts w:hint="default" w:ascii="Times New Roman" w:hAnsi="Times New Roman" w:eastAsia="宋体" w:cs="宋体"/>
                <w:bCs/>
                <w:i w:val="0"/>
                <w:iCs w:val="0"/>
                <w:color w:val="auto"/>
                <w:sz w:val="24"/>
                <w:szCs w:val="21"/>
                <w:u w:val="none"/>
                <w:lang w:val="en-US" w:eastAsia="zh-CN"/>
              </w:rPr>
              <w:t>）地面设备噪声</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default" w:ascii="Times New Roman" w:hAnsi="Times New Roman" w:eastAsia="宋体" w:cs="宋体"/>
                <w:bCs/>
                <w:i w:val="0"/>
                <w:iCs w:val="0"/>
                <w:color w:val="auto"/>
                <w:sz w:val="24"/>
                <w:szCs w:val="21"/>
                <w:u w:val="none"/>
                <w:lang w:val="en-US" w:eastAsia="zh-CN"/>
              </w:rPr>
              <w:t>地面设备噪声主要为</w:t>
            </w:r>
            <w:r>
              <w:rPr>
                <w:rFonts w:hint="eastAsia" w:ascii="Times New Roman" w:hAnsi="Times New Roman" w:eastAsia="宋体" w:cs="宋体"/>
                <w:bCs/>
                <w:i w:val="0"/>
                <w:iCs w:val="0"/>
                <w:color w:val="auto"/>
                <w:sz w:val="24"/>
                <w:szCs w:val="21"/>
                <w:u w:val="none"/>
                <w:lang w:val="en-US" w:eastAsia="zh-CN"/>
              </w:rPr>
              <w:t>配电房噪声以及电梯机组噪声</w:t>
            </w:r>
            <w:r>
              <w:rPr>
                <w:rFonts w:hint="default" w:ascii="Times New Roman" w:hAnsi="Times New Roman" w:eastAsia="宋体" w:cs="宋体"/>
                <w:bCs/>
                <w:i w:val="0"/>
                <w:iCs w:val="0"/>
                <w:color w:val="auto"/>
                <w:sz w:val="24"/>
                <w:szCs w:val="21"/>
                <w:u w:val="none"/>
                <w:lang w:val="en-US" w:eastAsia="zh-CN"/>
              </w:rPr>
              <w:t>。</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变配电室变压器声源强约为7</w:t>
            </w:r>
            <w:r>
              <w:rPr>
                <w:rFonts w:hint="default" w:ascii="Times New Roman" w:hAnsi="Times New Roman" w:eastAsia="宋体" w:cs="宋体"/>
                <w:bCs/>
                <w:i w:val="0"/>
                <w:iCs w:val="0"/>
                <w:color w:val="auto"/>
                <w:sz w:val="24"/>
                <w:szCs w:val="21"/>
                <w:u w:val="none"/>
                <w:lang w:val="en-US" w:eastAsia="zh-CN"/>
              </w:rPr>
              <w:t>5dB(A)</w:t>
            </w:r>
            <w:r>
              <w:rPr>
                <w:rFonts w:hint="eastAsia" w:ascii="Times New Roman" w:hAnsi="Times New Roman" w:eastAsia="宋体" w:cs="宋体"/>
                <w:bCs/>
                <w:i w:val="0"/>
                <w:iCs w:val="0"/>
                <w:color w:val="auto"/>
                <w:sz w:val="24"/>
                <w:szCs w:val="21"/>
                <w:u w:val="none"/>
                <w:lang w:val="en-US" w:eastAsia="zh-CN"/>
              </w:rPr>
              <w:t>，变配电室位于场地西南角，采用吸声、基础减震等措施，通过建筑物隔声后，对外界影响较小，不会影响到校区的正常运行。少量</w:t>
            </w:r>
            <w:r>
              <w:rPr>
                <w:rFonts w:hint="default" w:ascii="Times New Roman" w:hAnsi="Times New Roman" w:eastAsia="宋体" w:cs="宋体"/>
                <w:bCs/>
                <w:i w:val="0"/>
                <w:iCs w:val="0"/>
                <w:color w:val="auto"/>
                <w:sz w:val="24"/>
                <w:szCs w:val="21"/>
                <w:u w:val="none"/>
                <w:lang w:val="en-US" w:eastAsia="zh-CN"/>
              </w:rPr>
              <w:t>空调</w:t>
            </w:r>
            <w:r>
              <w:rPr>
                <w:rFonts w:hint="eastAsia" w:ascii="Times New Roman" w:hAnsi="Times New Roman" w:eastAsia="宋体" w:cs="宋体"/>
                <w:bCs/>
                <w:i w:val="0"/>
                <w:iCs w:val="0"/>
                <w:color w:val="auto"/>
                <w:sz w:val="24"/>
                <w:szCs w:val="21"/>
                <w:u w:val="none"/>
                <w:lang w:val="en-US" w:eastAsia="zh-CN"/>
              </w:rPr>
              <w:t>外机</w:t>
            </w:r>
            <w:r>
              <w:rPr>
                <w:rFonts w:hint="default" w:ascii="Times New Roman" w:hAnsi="Times New Roman" w:eastAsia="宋体" w:cs="宋体"/>
                <w:bCs/>
                <w:i w:val="0"/>
                <w:iCs w:val="0"/>
                <w:color w:val="auto"/>
                <w:sz w:val="24"/>
                <w:szCs w:val="21"/>
                <w:u w:val="none"/>
                <w:lang w:val="en-US" w:eastAsia="zh-CN"/>
              </w:rPr>
              <w:t>选用低噪声型号，并按设计位置布置，基础设减振垫；同时加强设备的日常检修和维护。</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本项目电梯机组安装于每栋楼房顶楼位置，设置于密闭房间内。经墙壁隔声后噪声可大大降低。</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default" w:ascii="Times New Roman" w:hAnsi="Times New Roman" w:eastAsia="宋体" w:cs="宋体"/>
                <w:bCs/>
                <w:i w:val="0"/>
                <w:iCs w:val="0"/>
                <w:color w:val="auto"/>
                <w:sz w:val="24"/>
                <w:szCs w:val="21"/>
                <w:u w:val="none"/>
                <w:lang w:val="en-US" w:eastAsia="zh-CN"/>
              </w:rPr>
              <w:t>（</w:t>
            </w:r>
            <w:r>
              <w:rPr>
                <w:rFonts w:hint="eastAsia" w:ascii="Times New Roman" w:hAnsi="Times New Roman" w:eastAsia="宋体" w:cs="宋体"/>
                <w:bCs/>
                <w:i w:val="0"/>
                <w:iCs w:val="0"/>
                <w:color w:val="auto"/>
                <w:sz w:val="24"/>
                <w:szCs w:val="21"/>
                <w:u w:val="none"/>
                <w:lang w:val="en-US" w:eastAsia="zh-CN"/>
              </w:rPr>
              <w:t>2</w:t>
            </w:r>
            <w:r>
              <w:rPr>
                <w:rFonts w:hint="default" w:ascii="Times New Roman" w:hAnsi="Times New Roman" w:eastAsia="宋体" w:cs="宋体"/>
                <w:bCs/>
                <w:i w:val="0"/>
                <w:iCs w:val="0"/>
                <w:color w:val="auto"/>
                <w:sz w:val="24"/>
                <w:szCs w:val="21"/>
                <w:u w:val="none"/>
                <w:lang w:val="en-US" w:eastAsia="zh-CN"/>
              </w:rPr>
              <w:t>）人群活动噪声</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default" w:ascii="Times New Roman" w:hAnsi="Times New Roman" w:eastAsia="宋体" w:cs="宋体"/>
                <w:bCs/>
                <w:i w:val="0"/>
                <w:iCs w:val="0"/>
                <w:color w:val="auto"/>
                <w:sz w:val="24"/>
                <w:szCs w:val="21"/>
                <w:u w:val="none"/>
                <w:lang w:val="en-US" w:eastAsia="zh-CN"/>
              </w:rPr>
              <w:t>营运期噪声源还有来自师生教学、生活的社会生活噪声，源强较小，此类噪声源对声环境的影响较小。主要噪声来源于</w:t>
            </w:r>
            <w:r>
              <w:rPr>
                <w:rFonts w:hint="eastAsia" w:ascii="Times New Roman" w:hAnsi="Times New Roman" w:eastAsia="宋体" w:cs="宋体"/>
                <w:bCs/>
                <w:i w:val="0"/>
                <w:iCs w:val="0"/>
                <w:color w:val="auto"/>
                <w:sz w:val="24"/>
                <w:szCs w:val="21"/>
                <w:u w:val="none"/>
                <w:lang w:val="en-US" w:eastAsia="zh-CN"/>
              </w:rPr>
              <w:t>上学放学交通高峰期、</w:t>
            </w:r>
            <w:r>
              <w:rPr>
                <w:rFonts w:hint="default" w:ascii="Times New Roman" w:hAnsi="Times New Roman" w:eastAsia="宋体" w:cs="宋体"/>
                <w:bCs/>
                <w:i w:val="0"/>
                <w:iCs w:val="0"/>
                <w:color w:val="auto"/>
                <w:sz w:val="24"/>
                <w:szCs w:val="21"/>
                <w:u w:val="none"/>
                <w:lang w:val="en-US" w:eastAsia="zh-CN"/>
              </w:rPr>
              <w:t>课间活动或大型场外活动产生的噪声，一般情况下对周边居民影响有限，不会造成扰民现象，处于其可接受水平内。</w:t>
            </w:r>
          </w:p>
          <w:p>
            <w:pPr>
              <w:pStyle w:val="53"/>
              <w:adjustRightInd w:val="0"/>
              <w:snapToGrid w:val="0"/>
              <w:spacing w:line="360" w:lineRule="auto"/>
              <w:ind w:firstLine="482"/>
              <w:rPr>
                <w:rFonts w:hint="default" w:cs="宋体"/>
                <w:b/>
                <w:color w:val="auto"/>
                <w:spacing w:val="-10"/>
                <w:sz w:val="24"/>
                <w:szCs w:val="21"/>
                <w:lang w:val="en-US" w:eastAsia="zh-CN"/>
              </w:rPr>
            </w:pPr>
            <w:r>
              <w:rPr>
                <w:rFonts w:hint="eastAsia"/>
                <w:color w:val="auto"/>
                <w:sz w:val="24"/>
              </w:rPr>
              <w:t>在</w:t>
            </w:r>
            <w:r>
              <w:rPr>
                <w:rFonts w:hint="eastAsia"/>
                <w:color w:val="auto"/>
                <w:sz w:val="24"/>
                <w:lang w:val="en-US" w:eastAsia="zh-CN"/>
              </w:rPr>
              <w:t>采取了相应措施后</w:t>
            </w:r>
            <w:r>
              <w:rPr>
                <w:rFonts w:hint="eastAsia"/>
                <w:color w:val="auto"/>
                <w:sz w:val="24"/>
              </w:rPr>
              <w:t>，</w:t>
            </w:r>
            <w:r>
              <w:rPr>
                <w:rFonts w:hint="eastAsia"/>
                <w:color w:val="auto"/>
                <w:sz w:val="24"/>
                <w:lang w:eastAsia="zh-CN"/>
              </w:rPr>
              <w:t>经距离衰减后，</w:t>
            </w:r>
            <w:r>
              <w:rPr>
                <w:rFonts w:hint="eastAsia"/>
                <w:color w:val="auto"/>
                <w:sz w:val="24"/>
              </w:rPr>
              <w:t>本项目噪声</w:t>
            </w:r>
            <w:r>
              <w:rPr>
                <w:rFonts w:hint="eastAsia"/>
                <w:color w:val="auto"/>
                <w:sz w:val="24"/>
                <w:lang w:eastAsia="zh-CN"/>
              </w:rPr>
              <w:t>在厂界可达标排放，</w:t>
            </w:r>
            <w:r>
              <w:rPr>
                <w:rFonts w:hint="eastAsia"/>
                <w:color w:val="auto"/>
                <w:sz w:val="24"/>
              </w:rPr>
              <w:t>对周边声环境影响较小。</w:t>
            </w:r>
            <w:r>
              <w:rPr>
                <w:rFonts w:hint="default" w:ascii="Times New Roman" w:hAnsi="Times New Roman" w:eastAsia="宋体" w:cs="Times New Roman"/>
                <w:color w:val="auto"/>
                <w:sz w:val="24"/>
              </w:rPr>
              <w:t xml:space="preserve">     </w:t>
            </w:r>
          </w:p>
          <w:p>
            <w:pPr>
              <w:numPr>
                <w:ilvl w:val="0"/>
                <w:numId w:val="0"/>
              </w:numPr>
              <w:adjustRightInd w:val="0"/>
              <w:snapToGrid w:val="0"/>
              <w:spacing w:line="360" w:lineRule="auto"/>
              <w:rPr>
                <w:rFonts w:cs="宋体"/>
                <w:b/>
                <w:color w:val="auto"/>
                <w:spacing w:val="-10"/>
                <w:sz w:val="24"/>
                <w:szCs w:val="21"/>
              </w:rPr>
            </w:pPr>
            <w:r>
              <w:rPr>
                <w:rFonts w:hint="eastAsia" w:cs="宋体"/>
                <w:b/>
                <w:color w:val="auto"/>
                <w:spacing w:val="-10"/>
                <w:sz w:val="24"/>
                <w:szCs w:val="21"/>
                <w:lang w:val="en-US" w:eastAsia="zh-CN"/>
              </w:rPr>
              <w:t>5、</w:t>
            </w:r>
            <w:r>
              <w:rPr>
                <w:rFonts w:hint="eastAsia" w:cs="宋体"/>
                <w:b/>
                <w:color w:val="auto"/>
                <w:spacing w:val="-10"/>
                <w:sz w:val="24"/>
                <w:szCs w:val="21"/>
              </w:rPr>
              <w:t>固体废弃物环境影响分析</w:t>
            </w:r>
          </w:p>
          <w:p>
            <w:pPr>
              <w:pStyle w:val="53"/>
              <w:adjustRightInd w:val="0"/>
              <w:snapToGrid w:val="0"/>
              <w:spacing w:line="360" w:lineRule="auto"/>
              <w:ind w:firstLine="482"/>
              <w:rPr>
                <w:b/>
                <w:color w:val="auto"/>
                <w:sz w:val="24"/>
                <w:szCs w:val="21"/>
              </w:rPr>
            </w:pPr>
            <w:r>
              <w:rPr>
                <w:rFonts w:hint="eastAsia"/>
                <w:b/>
                <w:color w:val="auto"/>
                <w:sz w:val="24"/>
                <w:szCs w:val="21"/>
                <w:lang w:val="en-US" w:eastAsia="zh-CN"/>
              </w:rPr>
              <w:t>5.1</w:t>
            </w:r>
            <w:r>
              <w:rPr>
                <w:rFonts w:hint="eastAsia" w:cs="宋体"/>
                <w:b/>
                <w:color w:val="auto"/>
                <w:spacing w:val="-10"/>
                <w:sz w:val="24"/>
                <w:szCs w:val="21"/>
              </w:rPr>
              <w:t>污染源</w:t>
            </w:r>
            <w:r>
              <w:rPr>
                <w:rFonts w:hint="eastAsia"/>
                <w:b/>
                <w:color w:val="auto"/>
                <w:sz w:val="24"/>
                <w:szCs w:val="21"/>
              </w:rPr>
              <w:t>分析</w:t>
            </w:r>
          </w:p>
          <w:p>
            <w:pPr>
              <w:adjustRightInd w:val="0"/>
              <w:snapToGrid w:val="0"/>
              <w:spacing w:line="360" w:lineRule="auto"/>
              <w:ind w:firstLine="480" w:firstLineChars="200"/>
              <w:rPr>
                <w:bCs/>
                <w:color w:val="auto"/>
                <w:sz w:val="24"/>
                <w:szCs w:val="21"/>
              </w:rPr>
            </w:pPr>
            <w:r>
              <w:rPr>
                <w:rFonts w:hint="eastAsia"/>
                <w:bCs/>
                <w:color w:val="auto"/>
                <w:sz w:val="24"/>
                <w:szCs w:val="21"/>
              </w:rPr>
              <w:t>本项目运营期产生的固体废物为生活垃圾。</w:t>
            </w:r>
          </w:p>
          <w:p>
            <w:pPr>
              <w:pStyle w:val="19"/>
              <w:widowControl w:val="0"/>
              <w:adjustRightInd w:val="0"/>
              <w:snapToGrid w:val="0"/>
              <w:spacing w:before="0" w:beforeAutospacing="0" w:after="0" w:afterAutospacing="0" w:line="360" w:lineRule="auto"/>
              <w:ind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sz w:val="24"/>
              </w:rPr>
              <w:t>生活垃圾主要来源于</w:t>
            </w:r>
            <w:r>
              <w:rPr>
                <w:rFonts w:hint="eastAsia" w:ascii="Times New Roman" w:hAnsi="Times New Roman" w:eastAsia="宋体" w:cs="Times New Roman"/>
                <w:color w:val="auto"/>
                <w:sz w:val="24"/>
                <w:lang w:val="en-US" w:eastAsia="zh-CN"/>
              </w:rPr>
              <w:t>安置区内居民居住过程</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eastAsia="zh-CN"/>
              </w:rPr>
              <w:t>项目内</w:t>
            </w:r>
            <w:r>
              <w:rPr>
                <w:rFonts w:hint="eastAsia" w:ascii="Times New Roman" w:hAnsi="Times New Roman" w:eastAsia="宋体" w:cs="Times New Roman"/>
                <w:color w:val="auto"/>
                <w:sz w:val="24"/>
                <w:lang w:val="en-US" w:eastAsia="zh-CN"/>
              </w:rPr>
              <w:t>设计住户</w:t>
            </w:r>
            <w:r>
              <w:rPr>
                <w:rFonts w:hint="eastAsia" w:ascii="Times New Roman" w:hAnsi="Times New Roman" w:cs="Times New Roman"/>
                <w:color w:val="auto"/>
                <w:sz w:val="24"/>
                <w:lang w:val="en-US" w:eastAsia="zh-CN"/>
              </w:rPr>
              <w:t>636</w:t>
            </w:r>
            <w:r>
              <w:rPr>
                <w:rFonts w:hint="eastAsia" w:ascii="Times New Roman" w:hAnsi="Times New Roman" w:eastAsia="宋体" w:cs="Times New Roman"/>
                <w:color w:val="auto"/>
                <w:sz w:val="24"/>
                <w:lang w:val="en-US" w:eastAsia="zh-CN"/>
              </w:rPr>
              <w:t>户，</w:t>
            </w:r>
            <w:r>
              <w:rPr>
                <w:rFonts w:hint="eastAsia" w:ascii="Times New Roman" w:hAnsi="Times New Roman" w:cs="Times New Roman"/>
                <w:color w:val="auto"/>
                <w:sz w:val="24"/>
                <w:lang w:val="en-US" w:eastAsia="zh-CN"/>
              </w:rPr>
              <w:t>根据华容县团洲乡实际情况，实际入住</w:t>
            </w:r>
            <w:r>
              <w:rPr>
                <w:rFonts w:hint="eastAsia" w:ascii="Times New Roman" w:hAnsi="Times New Roman" w:eastAsia="宋体" w:cs="Times New Roman"/>
                <w:color w:val="auto"/>
                <w:sz w:val="24"/>
                <w:lang w:val="en-US" w:eastAsia="zh-CN"/>
              </w:rPr>
              <w:t>居民数</w:t>
            </w:r>
            <w:r>
              <w:rPr>
                <w:rFonts w:hint="eastAsia" w:ascii="Times New Roman" w:hAnsi="Times New Roman" w:cs="Times New Roman"/>
                <w:color w:val="auto"/>
                <w:sz w:val="24"/>
                <w:lang w:val="en-US" w:eastAsia="zh-CN"/>
              </w:rPr>
              <w:t>最高可达</w:t>
            </w:r>
            <w:r>
              <w:rPr>
                <w:rFonts w:hint="eastAsia" w:ascii="Times New Roman" w:hAnsi="Times New Roman" w:eastAsia="宋体" w:cs="Times New Roman"/>
                <w:color w:val="auto"/>
                <w:sz w:val="24"/>
                <w:lang w:eastAsia="zh-CN"/>
              </w:rPr>
              <w:t>约</w:t>
            </w:r>
            <w:r>
              <w:rPr>
                <w:rFonts w:hint="eastAsia" w:ascii="Times New Roman" w:hAnsi="Times New Roman" w:cs="Times New Roman"/>
                <w:color w:val="auto"/>
                <w:sz w:val="24"/>
                <w:lang w:val="en-US" w:eastAsia="zh-CN"/>
              </w:rPr>
              <w:t>1000</w:t>
            </w:r>
            <w:r>
              <w:rPr>
                <w:rFonts w:hint="eastAsia" w:ascii="Times New Roman" w:hAnsi="Times New Roman" w:eastAsia="宋体" w:cs="Times New Roman"/>
                <w:color w:val="auto"/>
                <w:sz w:val="24"/>
                <w:lang w:val="en-US" w:eastAsia="zh-CN"/>
              </w:rPr>
              <w:t>人</w:t>
            </w:r>
            <w:r>
              <w:rPr>
                <w:rFonts w:hint="default" w:ascii="Times New Roman" w:hAnsi="Times New Roman" w:eastAsia="宋体" w:cs="Times New Roman"/>
                <w:color w:val="auto"/>
                <w:sz w:val="24"/>
              </w:rPr>
              <w:t>，人均产垃圾量以</w:t>
            </w:r>
            <w:r>
              <w:rPr>
                <w:rFonts w:hint="eastAsia" w:ascii="Times New Roman" w:hAnsi="Times New Roman" w:eastAsia="宋体" w:cs="Times New Roman"/>
                <w:color w:val="auto"/>
                <w:sz w:val="24"/>
                <w:lang w:val="en-US" w:eastAsia="zh-CN"/>
              </w:rPr>
              <w:t>1.0</w:t>
            </w:r>
            <w:r>
              <w:rPr>
                <w:rFonts w:hint="default" w:ascii="Times New Roman" w:hAnsi="Times New Roman" w:eastAsia="宋体" w:cs="Times New Roman"/>
                <w:color w:val="auto"/>
                <w:sz w:val="24"/>
              </w:rPr>
              <w:t>kg/人·d计</w:t>
            </w:r>
            <w:r>
              <w:rPr>
                <w:rFonts w:hint="eastAsia" w:ascii="Times New Roman" w:hAnsi="Times New Roman" w:eastAsia="宋体" w:cs="Times New Roman"/>
                <w:color w:val="auto"/>
                <w:sz w:val="24"/>
                <w:lang w:eastAsia="zh-CN"/>
              </w:rPr>
              <w:t>，则</w:t>
            </w:r>
            <w:r>
              <w:rPr>
                <w:rFonts w:hint="default" w:ascii="Times New Roman" w:hAnsi="Times New Roman" w:eastAsia="宋体" w:cs="Times New Roman"/>
                <w:color w:val="auto"/>
                <w:sz w:val="24"/>
              </w:rPr>
              <w:t>生活垃圾产生量约为</w:t>
            </w:r>
            <w:r>
              <w:rPr>
                <w:rFonts w:hint="eastAsia" w:ascii="Times New Roman" w:hAnsi="Times New Roman" w:cs="Times New Roman"/>
                <w:color w:val="auto"/>
                <w:sz w:val="24"/>
                <w:lang w:val="en-US" w:eastAsia="zh-CN"/>
              </w:rPr>
              <w:t>10</w:t>
            </w:r>
            <w:r>
              <w:rPr>
                <w:rFonts w:hint="default" w:ascii="Times New Roman" w:hAnsi="Times New Roman" w:eastAsia="宋体" w:cs="Times New Roman"/>
                <w:color w:val="auto"/>
                <w:sz w:val="24"/>
              </w:rPr>
              <w:t>t/d、</w:t>
            </w:r>
            <w:r>
              <w:rPr>
                <w:rFonts w:hint="eastAsia" w:ascii="Times New Roman" w:hAnsi="Times New Roman" w:cs="Times New Roman"/>
                <w:color w:val="auto"/>
                <w:sz w:val="24"/>
                <w:lang w:val="en-US" w:eastAsia="zh-CN"/>
              </w:rPr>
              <w:t>365</w:t>
            </w:r>
            <w:r>
              <w:rPr>
                <w:rFonts w:hint="default" w:ascii="Times New Roman" w:hAnsi="Times New Roman" w:eastAsia="宋体" w:cs="Times New Roman"/>
                <w:color w:val="auto"/>
                <w:sz w:val="24"/>
              </w:rPr>
              <w:t>t/a。</w:t>
            </w:r>
            <w:r>
              <w:rPr>
                <w:rFonts w:hint="default" w:ascii="Times New Roman" w:hAnsi="Times New Roman" w:eastAsia="宋体" w:cs="Times New Roman"/>
                <w:color w:val="auto"/>
              </w:rPr>
              <w:t>生活垃圾由校内垃圾桶收集，由校内环卫人员送至垃圾站压缩处理，</w:t>
            </w:r>
            <w:r>
              <w:rPr>
                <w:rFonts w:hint="eastAsia" w:ascii="Times New Roman" w:hAnsi="Times New Roman" w:eastAsia="宋体" w:cs="Times New Roman"/>
                <w:color w:val="auto"/>
                <w:lang w:eastAsia="zh-CN"/>
              </w:rPr>
              <w:t>之后</w:t>
            </w:r>
            <w:r>
              <w:rPr>
                <w:rFonts w:hint="default" w:ascii="Times New Roman" w:hAnsi="Times New Roman" w:eastAsia="宋体" w:cs="Times New Roman"/>
                <w:color w:val="auto"/>
              </w:rPr>
              <w:t>由环卫部门统一收集外运处理。</w:t>
            </w:r>
          </w:p>
          <w:p>
            <w:pPr>
              <w:pStyle w:val="53"/>
              <w:adjustRightInd w:val="0"/>
              <w:snapToGrid w:val="0"/>
              <w:spacing w:line="360" w:lineRule="auto"/>
              <w:ind w:firstLine="482"/>
              <w:rPr>
                <w:b/>
                <w:color w:val="auto"/>
                <w:sz w:val="24"/>
                <w:szCs w:val="21"/>
              </w:rPr>
            </w:pPr>
            <w:r>
              <w:rPr>
                <w:rFonts w:hint="eastAsia"/>
                <w:b/>
                <w:color w:val="auto"/>
                <w:sz w:val="24"/>
                <w:szCs w:val="21"/>
                <w:lang w:val="en-US" w:eastAsia="zh-CN"/>
              </w:rPr>
              <w:t>5.2</w:t>
            </w:r>
            <w:r>
              <w:rPr>
                <w:rFonts w:hint="eastAsia"/>
                <w:b/>
                <w:color w:val="auto"/>
                <w:sz w:val="24"/>
                <w:szCs w:val="21"/>
              </w:rPr>
              <w:t>影响分析</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生活垃圾由</w:t>
            </w:r>
            <w:r>
              <w:rPr>
                <w:rFonts w:hint="eastAsia" w:cs="Times New Roman"/>
                <w:color w:val="auto"/>
                <w:sz w:val="24"/>
                <w:highlight w:val="none"/>
                <w:lang w:val="en-US" w:eastAsia="zh-CN"/>
              </w:rPr>
              <w:t>安置区内分散布置的</w:t>
            </w:r>
            <w:r>
              <w:rPr>
                <w:rFonts w:hint="default" w:ascii="Times New Roman" w:hAnsi="Times New Roman" w:eastAsia="宋体" w:cs="Times New Roman"/>
                <w:color w:val="auto"/>
                <w:sz w:val="24"/>
                <w:highlight w:val="none"/>
              </w:rPr>
              <w:t>垃圾桶收集，</w:t>
            </w:r>
            <w:r>
              <w:rPr>
                <w:rFonts w:hint="eastAsia" w:cs="Times New Roman"/>
                <w:color w:val="auto"/>
                <w:sz w:val="24"/>
                <w:highlight w:val="none"/>
                <w:lang w:val="en-US" w:eastAsia="zh-CN"/>
              </w:rPr>
              <w:t>之后由安置区内</w:t>
            </w:r>
            <w:r>
              <w:rPr>
                <w:rFonts w:hint="default" w:ascii="Times New Roman" w:hAnsi="Times New Roman" w:eastAsia="宋体" w:cs="Times New Roman"/>
                <w:color w:val="auto"/>
                <w:sz w:val="24"/>
                <w:highlight w:val="none"/>
              </w:rPr>
              <w:t>环卫人员送至</w:t>
            </w:r>
            <w:r>
              <w:rPr>
                <w:rFonts w:hint="eastAsia" w:cs="Times New Roman"/>
                <w:color w:val="auto"/>
                <w:sz w:val="24"/>
                <w:highlight w:val="none"/>
                <w:lang w:val="en-US" w:eastAsia="zh-CN"/>
              </w:rPr>
              <w:t>附件</w:t>
            </w:r>
            <w:r>
              <w:rPr>
                <w:rFonts w:hint="default" w:ascii="Times New Roman" w:hAnsi="Times New Roman" w:eastAsia="宋体" w:cs="Times New Roman"/>
                <w:color w:val="auto"/>
                <w:sz w:val="24"/>
                <w:highlight w:val="none"/>
              </w:rPr>
              <w:t>垃圾站压缩处理，</w:t>
            </w:r>
            <w:r>
              <w:rPr>
                <w:rFonts w:hint="eastAsia" w:cs="Times New Roman"/>
                <w:color w:val="auto"/>
                <w:sz w:val="24"/>
                <w:highlight w:val="none"/>
                <w:lang w:val="en-US" w:eastAsia="zh-CN"/>
              </w:rPr>
              <w:t>之后再</w:t>
            </w:r>
            <w:r>
              <w:rPr>
                <w:rFonts w:hint="default" w:ascii="Times New Roman" w:hAnsi="Times New Roman" w:eastAsia="宋体" w:cs="Times New Roman"/>
                <w:color w:val="auto"/>
                <w:sz w:val="24"/>
                <w:highlight w:val="none"/>
              </w:rPr>
              <w:t>由环卫部门统一收集外运处理，对周围环境影响很小。</w:t>
            </w:r>
          </w:p>
          <w:p>
            <w:pPr>
              <w:adjustRightInd w:val="0"/>
              <w:snapToGrid w:val="0"/>
              <w:spacing w:line="360" w:lineRule="auto"/>
              <w:ind w:firstLine="480" w:firstLineChars="200"/>
              <w:jc w:val="left"/>
              <w:rPr>
                <w:bCs/>
                <w:color w:val="auto"/>
                <w:sz w:val="24"/>
                <w:szCs w:val="21"/>
                <w:highlight w:val="none"/>
                <w:u w:val="none"/>
              </w:rPr>
            </w:pPr>
            <w:r>
              <w:rPr>
                <w:bCs/>
                <w:color w:val="auto"/>
                <w:sz w:val="24"/>
                <w:szCs w:val="21"/>
                <w:highlight w:val="none"/>
                <w:u w:val="none"/>
              </w:rPr>
              <w:t>采取上述措施后，本工程固体废物可得到妥善的处理，对周围环境造成的影响小。</w:t>
            </w:r>
          </w:p>
          <w:p>
            <w:pPr>
              <w:numPr>
                <w:ilvl w:val="0"/>
                <w:numId w:val="0"/>
              </w:numPr>
              <w:adjustRightInd w:val="0"/>
              <w:snapToGrid w:val="0"/>
              <w:spacing w:line="360" w:lineRule="auto"/>
              <w:rPr>
                <w:rFonts w:cs="宋体"/>
                <w:b/>
                <w:color w:val="auto"/>
                <w:spacing w:val="-10"/>
                <w:sz w:val="24"/>
                <w:szCs w:val="21"/>
              </w:rPr>
            </w:pPr>
            <w:r>
              <w:rPr>
                <w:rFonts w:hint="eastAsia" w:cs="宋体"/>
                <w:b/>
                <w:color w:val="auto"/>
                <w:spacing w:val="-10"/>
                <w:sz w:val="24"/>
                <w:szCs w:val="21"/>
                <w:lang w:val="en-US" w:eastAsia="zh-CN"/>
              </w:rPr>
              <w:t>6、</w:t>
            </w:r>
            <w:r>
              <w:rPr>
                <w:rFonts w:hint="eastAsia" w:cs="宋体"/>
                <w:b/>
                <w:color w:val="auto"/>
                <w:spacing w:val="-10"/>
                <w:sz w:val="24"/>
                <w:szCs w:val="21"/>
              </w:rPr>
              <w:t>环境风险</w:t>
            </w:r>
          </w:p>
          <w:p>
            <w:pPr>
              <w:adjustRightInd w:val="0"/>
              <w:snapToGrid w:val="0"/>
              <w:spacing w:line="360" w:lineRule="auto"/>
              <w:ind w:firstLine="442" w:firstLineChars="200"/>
              <w:rPr>
                <w:rFonts w:cs="宋体"/>
                <w:b/>
                <w:color w:val="auto"/>
                <w:spacing w:val="-10"/>
                <w:sz w:val="24"/>
                <w:szCs w:val="21"/>
              </w:rPr>
            </w:pPr>
            <w:r>
              <w:rPr>
                <w:rFonts w:hint="eastAsia" w:cs="宋体"/>
                <w:b/>
                <w:color w:val="auto"/>
                <w:spacing w:val="-10"/>
                <w:sz w:val="24"/>
                <w:szCs w:val="21"/>
                <w:lang w:val="en-US" w:eastAsia="zh-CN"/>
              </w:rPr>
              <w:t>6.1</w:t>
            </w:r>
            <w:r>
              <w:rPr>
                <w:rFonts w:cs="宋体"/>
                <w:b/>
                <w:color w:val="auto"/>
                <w:spacing w:val="-10"/>
                <w:sz w:val="24"/>
                <w:szCs w:val="21"/>
              </w:rPr>
              <w:t>评价依据</w:t>
            </w:r>
          </w:p>
          <w:p>
            <w:pPr>
              <w:adjustRightInd w:val="0"/>
              <w:snapToGrid w:val="0"/>
              <w:spacing w:line="360" w:lineRule="auto"/>
              <w:ind w:firstLine="480" w:firstLineChars="200"/>
              <w:jc w:val="left"/>
              <w:rPr>
                <w:bCs/>
                <w:color w:val="auto"/>
                <w:sz w:val="24"/>
                <w:szCs w:val="21"/>
                <w:u w:val="none"/>
              </w:rPr>
            </w:pPr>
            <w:r>
              <w:rPr>
                <w:rFonts w:hint="eastAsia"/>
                <w:bCs/>
                <w:color w:val="auto"/>
                <w:sz w:val="24"/>
                <w:szCs w:val="21"/>
                <w:u w:val="none"/>
                <w:lang w:eastAsia="zh-CN"/>
              </w:rPr>
              <w:t>（</w:t>
            </w:r>
            <w:r>
              <w:rPr>
                <w:rFonts w:hint="eastAsia"/>
                <w:bCs/>
                <w:color w:val="auto"/>
                <w:sz w:val="24"/>
                <w:szCs w:val="21"/>
                <w:u w:val="none"/>
                <w:lang w:val="en-US" w:eastAsia="zh-CN"/>
              </w:rPr>
              <w:t>1</w:t>
            </w:r>
            <w:r>
              <w:rPr>
                <w:rFonts w:hint="eastAsia"/>
                <w:bCs/>
                <w:color w:val="auto"/>
                <w:sz w:val="24"/>
                <w:szCs w:val="21"/>
                <w:u w:val="none"/>
                <w:lang w:eastAsia="zh-CN"/>
              </w:rPr>
              <w:t>）</w:t>
            </w:r>
            <w:r>
              <w:rPr>
                <w:rFonts w:hint="eastAsia"/>
                <w:bCs/>
                <w:color w:val="auto"/>
                <w:sz w:val="24"/>
                <w:szCs w:val="21"/>
                <w:u w:val="none"/>
              </w:rPr>
              <w:t xml:space="preserve"> </w:t>
            </w:r>
            <w:r>
              <w:rPr>
                <w:bCs/>
                <w:color w:val="auto"/>
                <w:sz w:val="24"/>
                <w:szCs w:val="21"/>
                <w:u w:val="none"/>
              </w:rPr>
              <w:t>风险源调查</w:t>
            </w:r>
          </w:p>
          <w:p>
            <w:pPr>
              <w:adjustRightInd w:val="0"/>
              <w:snapToGrid w:val="0"/>
              <w:spacing w:line="360" w:lineRule="auto"/>
              <w:ind w:firstLine="480" w:firstLineChars="200"/>
              <w:jc w:val="left"/>
              <w:rPr>
                <w:bCs/>
                <w:color w:val="auto"/>
                <w:sz w:val="24"/>
                <w:szCs w:val="21"/>
                <w:u w:val="none"/>
              </w:rPr>
            </w:pPr>
            <w:r>
              <w:rPr>
                <w:bCs/>
                <w:color w:val="auto"/>
                <w:sz w:val="24"/>
                <w:szCs w:val="21"/>
                <w:u w:val="none"/>
              </w:rPr>
              <w:t>根据《建设项目环境风险评价技术导则》（HJ169-2018）附录B，本项目</w:t>
            </w:r>
            <w:r>
              <w:rPr>
                <w:rFonts w:hint="eastAsia"/>
                <w:bCs/>
                <w:color w:val="auto"/>
                <w:sz w:val="24"/>
                <w:szCs w:val="21"/>
                <w:u w:val="none"/>
                <w:lang w:val="en-US" w:eastAsia="zh-CN"/>
              </w:rPr>
              <w:t>主要为安置区，主要</w:t>
            </w:r>
            <w:r>
              <w:rPr>
                <w:bCs/>
                <w:color w:val="auto"/>
                <w:sz w:val="24"/>
                <w:szCs w:val="21"/>
                <w:u w:val="none"/>
              </w:rPr>
              <w:t>危险物质</w:t>
            </w:r>
            <w:r>
              <w:rPr>
                <w:rFonts w:hint="eastAsia"/>
                <w:bCs/>
                <w:color w:val="auto"/>
                <w:sz w:val="24"/>
                <w:szCs w:val="21"/>
                <w:u w:val="none"/>
                <w:lang w:val="en-US" w:eastAsia="zh-CN"/>
              </w:rPr>
              <w:t>主要</w:t>
            </w:r>
            <w:r>
              <w:rPr>
                <w:bCs/>
                <w:color w:val="auto"/>
                <w:sz w:val="24"/>
                <w:szCs w:val="21"/>
                <w:u w:val="none"/>
              </w:rPr>
              <w:t>为</w:t>
            </w:r>
            <w:r>
              <w:rPr>
                <w:rFonts w:hint="eastAsia"/>
                <w:bCs/>
                <w:color w:val="auto"/>
                <w:sz w:val="24"/>
                <w:szCs w:val="21"/>
                <w:u w:val="none"/>
                <w:lang w:val="en-US" w:eastAsia="zh-CN"/>
              </w:rPr>
              <w:t>天然气管道中的在线天然气以及居民日常可能使用的废旧电池、废弃药瓶等</w:t>
            </w:r>
            <w:r>
              <w:rPr>
                <w:bCs/>
                <w:color w:val="auto"/>
                <w:sz w:val="24"/>
                <w:szCs w:val="21"/>
                <w:u w:val="none"/>
              </w:rPr>
              <w:t>，</w:t>
            </w:r>
            <w:r>
              <w:rPr>
                <w:rFonts w:hint="eastAsia"/>
                <w:bCs/>
                <w:color w:val="auto"/>
                <w:sz w:val="24"/>
                <w:szCs w:val="21"/>
                <w:u w:val="none"/>
                <w:lang w:val="en-US" w:eastAsia="zh-CN"/>
              </w:rPr>
              <w:t>暂存量较小</w:t>
            </w:r>
            <w:r>
              <w:rPr>
                <w:bCs/>
                <w:color w:val="auto"/>
                <w:sz w:val="24"/>
                <w:szCs w:val="21"/>
                <w:u w:val="none"/>
              </w:rPr>
              <w:t>。</w:t>
            </w:r>
          </w:p>
          <w:p>
            <w:pPr>
              <w:adjustRightInd w:val="0"/>
              <w:snapToGrid w:val="0"/>
              <w:spacing w:line="360" w:lineRule="auto"/>
              <w:ind w:firstLine="480" w:firstLineChars="200"/>
              <w:jc w:val="left"/>
              <w:rPr>
                <w:bCs/>
                <w:color w:val="auto"/>
                <w:sz w:val="24"/>
                <w:szCs w:val="21"/>
                <w:u w:val="none"/>
              </w:rPr>
            </w:pPr>
            <w:r>
              <w:rPr>
                <w:rFonts w:hint="eastAsia"/>
                <w:bCs/>
                <w:color w:val="auto"/>
                <w:sz w:val="24"/>
                <w:szCs w:val="21"/>
                <w:u w:val="none"/>
                <w:lang w:eastAsia="zh-CN"/>
              </w:rPr>
              <w:t>（</w:t>
            </w:r>
            <w:r>
              <w:rPr>
                <w:rFonts w:hint="eastAsia"/>
                <w:bCs/>
                <w:color w:val="auto"/>
                <w:sz w:val="24"/>
                <w:szCs w:val="21"/>
                <w:u w:val="none"/>
                <w:lang w:val="en-US" w:eastAsia="zh-CN"/>
              </w:rPr>
              <w:t>2</w:t>
            </w:r>
            <w:r>
              <w:rPr>
                <w:rFonts w:hint="eastAsia"/>
                <w:bCs/>
                <w:color w:val="auto"/>
                <w:sz w:val="24"/>
                <w:szCs w:val="21"/>
                <w:u w:val="none"/>
                <w:lang w:eastAsia="zh-CN"/>
              </w:rPr>
              <w:t>）</w:t>
            </w:r>
            <w:r>
              <w:rPr>
                <w:bCs/>
                <w:color w:val="auto"/>
                <w:sz w:val="24"/>
                <w:szCs w:val="21"/>
                <w:u w:val="none"/>
              </w:rPr>
              <w:t>风险潜势与评价等级</w:t>
            </w:r>
          </w:p>
          <w:p>
            <w:pPr>
              <w:adjustRightInd w:val="0"/>
              <w:snapToGrid w:val="0"/>
              <w:spacing w:line="360" w:lineRule="auto"/>
              <w:ind w:firstLine="480" w:firstLineChars="200"/>
              <w:jc w:val="left"/>
              <w:rPr>
                <w:bCs/>
                <w:color w:val="auto"/>
                <w:sz w:val="24"/>
                <w:szCs w:val="21"/>
                <w:u w:val="none"/>
              </w:rPr>
            </w:pPr>
            <w:r>
              <w:rPr>
                <w:bCs/>
                <w:color w:val="auto"/>
                <w:sz w:val="24"/>
                <w:szCs w:val="21"/>
                <w:u w:val="none"/>
              </w:rPr>
              <w:t>1）风险潜势初判</w:t>
            </w:r>
          </w:p>
          <w:p>
            <w:pPr>
              <w:adjustRightInd w:val="0"/>
              <w:snapToGrid w:val="0"/>
              <w:spacing w:line="360" w:lineRule="auto"/>
              <w:ind w:firstLine="480" w:firstLineChars="200"/>
              <w:jc w:val="left"/>
              <w:rPr>
                <w:rFonts w:cs="宋体"/>
                <w:bCs/>
                <w:color w:val="auto"/>
                <w:spacing w:val="-10"/>
                <w:sz w:val="24"/>
                <w:szCs w:val="21"/>
              </w:rPr>
            </w:pPr>
            <w:r>
              <w:rPr>
                <w:bCs/>
                <w:color w:val="auto"/>
                <w:sz w:val="24"/>
                <w:szCs w:val="21"/>
                <w:u w:val="none"/>
              </w:rPr>
              <w:t>根据《建设项目环境风险评价技术导则》（HJ169-2018）附录C，危险物质及工艺系统危 险性（P）的分级，计算所涉及的每种危险物质在厂界内的最大存在总量与其在附录B中对应</w:t>
            </w:r>
            <w:r>
              <w:rPr>
                <w:rFonts w:cs="宋体"/>
                <w:bCs/>
                <w:color w:val="auto"/>
                <w:spacing w:val="-10"/>
                <w:sz w:val="24"/>
                <w:szCs w:val="21"/>
              </w:rPr>
              <w:t>临界量的比值Q。当存在的危险物质时，则按下式计算物质总量与其临界量比值Q：</w:t>
            </w:r>
          </w:p>
          <w:p>
            <w:pPr>
              <w:adjustRightInd w:val="0"/>
              <w:snapToGrid w:val="0"/>
              <w:spacing w:line="360" w:lineRule="auto"/>
              <w:ind w:firstLine="440" w:firstLineChars="200"/>
              <w:jc w:val="center"/>
              <w:rPr>
                <w:rFonts w:cs="宋体"/>
                <w:bCs/>
                <w:color w:val="auto"/>
                <w:spacing w:val="-10"/>
                <w:sz w:val="24"/>
                <w:szCs w:val="21"/>
              </w:rPr>
            </w:pPr>
            <w:r>
              <w:rPr>
                <w:rFonts w:cs="宋体"/>
                <w:bCs/>
                <w:color w:val="auto"/>
                <w:spacing w:val="-10"/>
                <w:sz w:val="24"/>
                <w:szCs w:val="21"/>
              </w:rPr>
              <w:t>Q=q1/Q1+q2/Q2+q3/Q3+ …+qn/Qn</w:t>
            </w:r>
          </w:p>
          <w:p>
            <w:pPr>
              <w:adjustRightInd w:val="0"/>
              <w:snapToGrid w:val="0"/>
              <w:spacing w:line="360" w:lineRule="auto"/>
              <w:ind w:firstLine="440" w:firstLineChars="200"/>
              <w:rPr>
                <w:rFonts w:cs="宋体"/>
                <w:bCs/>
                <w:color w:val="auto"/>
                <w:spacing w:val="-10"/>
                <w:sz w:val="24"/>
                <w:szCs w:val="21"/>
              </w:rPr>
            </w:pPr>
            <w:r>
              <w:rPr>
                <w:rFonts w:cs="宋体"/>
                <w:bCs/>
                <w:color w:val="auto"/>
                <w:spacing w:val="-10"/>
                <w:sz w:val="24"/>
                <w:szCs w:val="21"/>
              </w:rPr>
              <w:t>式中：q1,q2, …qn——每种危险物质的最大存在总量，单位为t；Q1,</w:t>
            </w:r>
            <w:r>
              <w:rPr>
                <w:rFonts w:cs="宋体"/>
                <w:bCs/>
                <w:color w:val="auto"/>
                <w:spacing w:val="-10"/>
                <w:sz w:val="24"/>
                <w:szCs w:val="21"/>
              </w:rPr>
              <w:tab/>
            </w:r>
            <w:r>
              <w:rPr>
                <w:rFonts w:cs="宋体"/>
                <w:bCs/>
                <w:color w:val="auto"/>
                <w:spacing w:val="-10"/>
                <w:sz w:val="24"/>
                <w:szCs w:val="21"/>
              </w:rPr>
              <w:t>Q2, …Qn——每种危险物质的临界量，单位为t；</w:t>
            </w:r>
          </w:p>
          <w:p>
            <w:pPr>
              <w:adjustRightInd w:val="0"/>
              <w:snapToGrid w:val="0"/>
              <w:spacing w:line="360" w:lineRule="auto"/>
              <w:ind w:firstLine="440" w:firstLineChars="200"/>
              <w:jc w:val="left"/>
              <w:rPr>
                <w:rFonts w:cs="宋体"/>
                <w:bCs/>
                <w:color w:val="auto"/>
                <w:spacing w:val="-10"/>
                <w:sz w:val="24"/>
                <w:szCs w:val="21"/>
              </w:rPr>
            </w:pPr>
            <w:r>
              <w:rPr>
                <w:rFonts w:hint="eastAsia" w:cs="宋体"/>
                <w:bCs/>
                <w:color w:val="auto"/>
                <w:spacing w:val="-10"/>
                <w:sz w:val="24"/>
                <w:szCs w:val="21"/>
                <w:lang w:val="en-US" w:eastAsia="zh-CN"/>
              </w:rPr>
              <w:t>本项目为安置区建设项目，居民日常暂存的风险物质较少</w:t>
            </w:r>
            <w:r>
              <w:rPr>
                <w:rFonts w:hint="eastAsia" w:cs="宋体"/>
                <w:bCs/>
                <w:color w:val="auto"/>
                <w:spacing w:val="-10"/>
                <w:sz w:val="24"/>
                <w:szCs w:val="21"/>
              </w:rPr>
              <w:t>，本项目风险物质数量与临界量比值</w:t>
            </w:r>
            <w:r>
              <w:rPr>
                <w:rFonts w:hint="eastAsia" w:cs="宋体"/>
                <w:bCs/>
                <w:color w:val="auto"/>
                <w:spacing w:val="-10"/>
                <w:sz w:val="24"/>
                <w:szCs w:val="21"/>
                <w:lang w:val="en-US" w:eastAsia="zh-CN"/>
              </w:rPr>
              <w:t>直接判定为</w:t>
            </w:r>
            <w:r>
              <w:rPr>
                <w:rFonts w:hint="eastAsia" w:cs="宋体"/>
                <w:bCs/>
                <w:color w:val="auto"/>
                <w:spacing w:val="-10"/>
                <w:sz w:val="24"/>
                <w:szCs w:val="21"/>
              </w:rPr>
              <w:t xml:space="preserve"> Q＜1，项目环境风险潜势为Ⅰ级。</w:t>
            </w:r>
          </w:p>
          <w:p>
            <w:pPr>
              <w:adjustRightInd w:val="0"/>
              <w:snapToGrid w:val="0"/>
              <w:spacing w:line="360" w:lineRule="auto"/>
              <w:ind w:firstLine="440" w:firstLineChars="200"/>
              <w:jc w:val="left"/>
              <w:rPr>
                <w:rFonts w:cs="宋体"/>
                <w:bCs/>
                <w:color w:val="auto"/>
                <w:spacing w:val="-10"/>
                <w:sz w:val="24"/>
                <w:szCs w:val="21"/>
              </w:rPr>
            </w:pPr>
            <w:r>
              <w:rPr>
                <w:rFonts w:hint="eastAsia" w:cs="宋体"/>
                <w:bCs/>
                <w:color w:val="auto"/>
                <w:spacing w:val="-10"/>
                <w:sz w:val="24"/>
                <w:szCs w:val="21"/>
              </w:rPr>
              <w:t>2）评价等级</w:t>
            </w:r>
          </w:p>
          <w:p>
            <w:pPr>
              <w:adjustRightInd w:val="0"/>
              <w:snapToGrid w:val="0"/>
              <w:spacing w:line="360" w:lineRule="auto"/>
              <w:ind w:firstLine="440" w:firstLineChars="200"/>
              <w:jc w:val="left"/>
              <w:rPr>
                <w:rFonts w:cs="宋体"/>
                <w:bCs/>
                <w:color w:val="auto"/>
                <w:spacing w:val="-10"/>
                <w:sz w:val="24"/>
                <w:szCs w:val="21"/>
              </w:rPr>
            </w:pPr>
            <w:r>
              <w:rPr>
                <w:rFonts w:hint="eastAsia" w:cs="宋体"/>
                <w:bCs/>
                <w:color w:val="auto"/>
                <w:spacing w:val="-10"/>
                <w:sz w:val="24"/>
                <w:szCs w:val="21"/>
              </w:rPr>
              <w:t>对照《建设项目环境风险评价技术导则》（HJ 169-2018），本项目环境风险潜势为Ⅰ级， 进行简单评价。</w:t>
            </w:r>
          </w:p>
          <w:p>
            <w:pPr>
              <w:adjustRightInd w:val="0"/>
              <w:snapToGrid w:val="0"/>
              <w:spacing w:line="360" w:lineRule="auto"/>
              <w:ind w:firstLine="442" w:firstLineChars="200"/>
              <w:jc w:val="left"/>
              <w:rPr>
                <w:rFonts w:cs="宋体"/>
                <w:b/>
                <w:color w:val="auto"/>
                <w:spacing w:val="-10"/>
                <w:sz w:val="24"/>
                <w:szCs w:val="21"/>
              </w:rPr>
            </w:pPr>
            <w:r>
              <w:rPr>
                <w:rFonts w:hint="eastAsia" w:cs="宋体"/>
                <w:b/>
                <w:color w:val="auto"/>
                <w:spacing w:val="-10"/>
                <w:sz w:val="24"/>
                <w:szCs w:val="21"/>
                <w:lang w:val="en-US" w:eastAsia="zh-CN"/>
              </w:rPr>
              <w:t>6.2</w:t>
            </w:r>
            <w:r>
              <w:rPr>
                <w:rFonts w:hint="eastAsia" w:cs="宋体"/>
                <w:b/>
                <w:color w:val="auto"/>
                <w:spacing w:val="-10"/>
                <w:sz w:val="24"/>
                <w:szCs w:val="21"/>
              </w:rPr>
              <w:t>环境风险识别</w:t>
            </w:r>
          </w:p>
          <w:p>
            <w:pPr>
              <w:adjustRightInd w:val="0"/>
              <w:snapToGrid w:val="0"/>
              <w:spacing w:line="360" w:lineRule="auto"/>
              <w:ind w:firstLine="480" w:firstLineChars="200"/>
              <w:jc w:val="left"/>
              <w:rPr>
                <w:rFonts w:hint="eastAsia"/>
                <w:bCs/>
                <w:color w:val="auto"/>
                <w:sz w:val="24"/>
                <w:szCs w:val="21"/>
                <w:u w:val="none"/>
                <w:lang w:val="en-US" w:eastAsia="zh-CN"/>
              </w:rPr>
            </w:pPr>
            <w:r>
              <w:rPr>
                <w:rFonts w:hint="eastAsia"/>
                <w:bCs/>
                <w:color w:val="auto"/>
                <w:sz w:val="24"/>
                <w:szCs w:val="21"/>
                <w:u w:val="none"/>
                <w:lang w:val="en-US" w:eastAsia="zh-CN"/>
              </w:rPr>
              <w:t>本项目存在的主要风险为小区内燃气泄漏等引起火灾爆炸：</w:t>
            </w:r>
          </w:p>
          <w:p>
            <w:pPr>
              <w:adjustRightInd w:val="0"/>
              <w:snapToGrid w:val="0"/>
              <w:spacing w:line="360" w:lineRule="auto"/>
              <w:ind w:firstLine="480" w:firstLineChars="200"/>
              <w:jc w:val="left"/>
              <w:rPr>
                <w:rFonts w:hint="eastAsia"/>
                <w:bCs/>
                <w:color w:val="auto"/>
                <w:sz w:val="24"/>
                <w:szCs w:val="21"/>
                <w:u w:val="none"/>
                <w:lang w:val="en-US" w:eastAsia="zh-CN"/>
              </w:rPr>
            </w:pPr>
            <w:r>
              <w:rPr>
                <w:rFonts w:hint="eastAsia"/>
                <w:bCs/>
                <w:color w:val="auto"/>
                <w:sz w:val="24"/>
                <w:szCs w:val="21"/>
                <w:u w:val="none"/>
                <w:lang w:val="en-US" w:eastAsia="zh-CN"/>
              </w:rPr>
              <w:t>发生火灾事故时，油类物质燃烧会产生 CO 等物质，并伴有烟雾产生，且灭火过程中会产生事故废水。发生油类物质泄露引起火灾可能造成大气环境及水环境污染。</w:t>
            </w:r>
          </w:p>
          <w:p>
            <w:pPr>
              <w:adjustRightInd w:val="0"/>
              <w:snapToGrid w:val="0"/>
              <w:spacing w:line="360" w:lineRule="auto"/>
              <w:ind w:firstLine="442" w:firstLineChars="200"/>
              <w:jc w:val="left"/>
              <w:rPr>
                <w:rFonts w:cs="宋体"/>
                <w:b/>
                <w:color w:val="auto"/>
                <w:spacing w:val="-10"/>
                <w:sz w:val="24"/>
                <w:szCs w:val="21"/>
              </w:rPr>
            </w:pPr>
            <w:r>
              <w:rPr>
                <w:rFonts w:hint="eastAsia" w:cs="宋体"/>
                <w:b/>
                <w:color w:val="auto"/>
                <w:spacing w:val="-10"/>
                <w:sz w:val="24"/>
                <w:szCs w:val="21"/>
                <w:lang w:val="en-US" w:eastAsia="zh-CN"/>
              </w:rPr>
              <w:t>6.3</w:t>
            </w:r>
            <w:r>
              <w:rPr>
                <w:rFonts w:hint="eastAsia" w:cs="宋体"/>
                <w:b/>
                <w:color w:val="auto"/>
                <w:spacing w:val="-10"/>
                <w:sz w:val="24"/>
                <w:szCs w:val="21"/>
              </w:rPr>
              <w:t>环境风险分析</w:t>
            </w:r>
          </w:p>
          <w:p>
            <w:pPr>
              <w:adjustRightInd w:val="0"/>
              <w:snapToGrid w:val="0"/>
              <w:spacing w:line="360" w:lineRule="auto"/>
              <w:ind w:firstLine="480" w:firstLineChars="200"/>
              <w:jc w:val="left"/>
              <w:rPr>
                <w:bCs/>
                <w:color w:val="auto"/>
                <w:sz w:val="24"/>
                <w:szCs w:val="21"/>
                <w:u w:val="none"/>
              </w:rPr>
            </w:pPr>
            <w:r>
              <w:rPr>
                <w:rFonts w:hint="eastAsia"/>
                <w:bCs/>
                <w:color w:val="auto"/>
                <w:sz w:val="24"/>
                <w:szCs w:val="21"/>
                <w:u w:val="none"/>
                <w:lang w:val="en-US" w:eastAsia="zh-CN"/>
              </w:rPr>
              <w:t>本项目主要为安置房小区内燃气泄漏等引起火灾爆炸风险。</w:t>
            </w:r>
          </w:p>
          <w:p>
            <w:pPr>
              <w:adjustRightInd w:val="0"/>
              <w:snapToGrid w:val="0"/>
              <w:spacing w:line="360" w:lineRule="auto"/>
              <w:ind w:firstLine="480" w:firstLineChars="200"/>
              <w:jc w:val="left"/>
              <w:rPr>
                <w:bCs/>
                <w:color w:val="auto"/>
                <w:sz w:val="24"/>
                <w:szCs w:val="21"/>
                <w:u w:val="none"/>
              </w:rPr>
            </w:pPr>
            <w:r>
              <w:rPr>
                <w:rFonts w:hint="eastAsia"/>
                <w:bCs/>
                <w:color w:val="auto"/>
                <w:sz w:val="24"/>
                <w:szCs w:val="21"/>
                <w:u w:val="none"/>
                <w:lang w:val="en-US" w:eastAsia="zh-CN"/>
              </w:rPr>
              <w:t>由于小区内使用天然气为主要气源，故存在燃气泄露风险，可能会引起火灾爆炸。。</w:t>
            </w:r>
          </w:p>
          <w:p>
            <w:pPr>
              <w:adjustRightInd w:val="0"/>
              <w:snapToGrid w:val="0"/>
              <w:spacing w:line="360" w:lineRule="auto"/>
              <w:ind w:firstLine="442" w:firstLineChars="200"/>
              <w:jc w:val="left"/>
              <w:rPr>
                <w:rFonts w:cs="宋体"/>
                <w:b/>
                <w:color w:val="auto"/>
                <w:spacing w:val="-10"/>
                <w:sz w:val="24"/>
                <w:szCs w:val="21"/>
              </w:rPr>
            </w:pPr>
            <w:r>
              <w:rPr>
                <w:rFonts w:hint="eastAsia" w:cs="宋体"/>
                <w:b/>
                <w:color w:val="auto"/>
                <w:spacing w:val="-10"/>
                <w:sz w:val="24"/>
                <w:szCs w:val="21"/>
                <w:lang w:val="en-US" w:eastAsia="zh-CN"/>
              </w:rPr>
              <w:t>6.4</w:t>
            </w:r>
            <w:r>
              <w:rPr>
                <w:rFonts w:cs="宋体"/>
                <w:b/>
                <w:color w:val="auto"/>
                <w:spacing w:val="-10"/>
                <w:sz w:val="24"/>
                <w:szCs w:val="21"/>
              </w:rPr>
              <w:t>环境风险防范措施及应急要求</w:t>
            </w:r>
          </w:p>
          <w:p>
            <w:pPr>
              <w:numPr>
                <w:ilvl w:val="0"/>
                <w:numId w:val="4"/>
              </w:numPr>
              <w:adjustRightInd w:val="0"/>
              <w:snapToGrid w:val="0"/>
              <w:spacing w:line="360" w:lineRule="auto"/>
              <w:ind w:left="0" w:firstLine="440" w:firstLineChars="200"/>
              <w:jc w:val="left"/>
              <w:rPr>
                <w:rFonts w:cs="宋体"/>
                <w:bCs/>
                <w:color w:val="auto"/>
                <w:spacing w:val="-10"/>
                <w:sz w:val="24"/>
                <w:szCs w:val="21"/>
              </w:rPr>
            </w:pPr>
            <w:r>
              <w:rPr>
                <w:rFonts w:cs="宋体"/>
                <w:bCs/>
                <w:color w:val="auto"/>
                <w:spacing w:val="-10"/>
                <w:sz w:val="24"/>
                <w:szCs w:val="21"/>
              </w:rPr>
              <w:t>环境风险防范措施</w:t>
            </w:r>
          </w:p>
          <w:p>
            <w:pPr>
              <w:adjustRightInd w:val="0"/>
              <w:snapToGrid w:val="0"/>
              <w:spacing w:line="360" w:lineRule="auto"/>
              <w:ind w:firstLine="480" w:firstLineChars="200"/>
              <w:jc w:val="left"/>
              <w:rPr>
                <w:bCs/>
                <w:color w:val="auto"/>
                <w:sz w:val="24"/>
                <w:szCs w:val="21"/>
                <w:u w:val="none"/>
              </w:rPr>
            </w:pPr>
            <w:r>
              <w:rPr>
                <w:rFonts w:hint="eastAsia"/>
                <w:bCs/>
                <w:color w:val="auto"/>
                <w:sz w:val="24"/>
                <w:szCs w:val="21"/>
                <w:u w:val="none"/>
                <w:lang w:val="en-US" w:eastAsia="zh-CN"/>
              </w:rPr>
              <w:t xml:space="preserve">为尽量避免火灾事故对周围环境的影响，需要采取一定的防范措施： </w:t>
            </w:r>
          </w:p>
          <w:p>
            <w:pPr>
              <w:adjustRightInd w:val="0"/>
              <w:snapToGrid w:val="0"/>
              <w:spacing w:line="360" w:lineRule="auto"/>
              <w:ind w:firstLine="480" w:firstLineChars="200"/>
              <w:jc w:val="left"/>
              <w:rPr>
                <w:bCs/>
                <w:color w:val="auto"/>
                <w:sz w:val="24"/>
                <w:szCs w:val="21"/>
                <w:u w:val="none"/>
              </w:rPr>
            </w:pPr>
            <w:r>
              <w:rPr>
                <w:rFonts w:hint="eastAsia"/>
                <w:bCs/>
                <w:color w:val="auto"/>
                <w:sz w:val="24"/>
                <w:szCs w:val="21"/>
                <w:u w:val="none"/>
                <w:lang w:val="en-US" w:eastAsia="zh-CN"/>
              </w:rPr>
              <w:t xml:space="preserve">①严格按照初步设计进行施工，厨房设置燃气泄漏保护装置。 </w:t>
            </w:r>
          </w:p>
          <w:p>
            <w:pPr>
              <w:numPr>
                <w:ilvl w:val="0"/>
                <w:numId w:val="0"/>
              </w:numPr>
              <w:adjustRightInd w:val="0"/>
              <w:snapToGrid w:val="0"/>
              <w:spacing w:line="360" w:lineRule="auto"/>
              <w:ind w:leftChars="200"/>
              <w:jc w:val="left"/>
              <w:rPr>
                <w:rFonts w:cs="宋体"/>
                <w:bCs/>
                <w:color w:val="auto"/>
                <w:spacing w:val="-10"/>
                <w:sz w:val="24"/>
                <w:szCs w:val="21"/>
              </w:rPr>
            </w:pPr>
            <w:r>
              <w:rPr>
                <w:rFonts w:hint="eastAsia"/>
                <w:bCs/>
                <w:color w:val="auto"/>
                <w:sz w:val="24"/>
                <w:szCs w:val="21"/>
                <w:u w:val="none"/>
                <w:lang w:val="en-US" w:eastAsia="zh-CN"/>
              </w:rPr>
              <w:t>②物业公司配合燃气单位定期对小区内天然气管道进行检修</w:t>
            </w:r>
          </w:p>
          <w:p>
            <w:pPr>
              <w:numPr>
                <w:ilvl w:val="0"/>
                <w:numId w:val="4"/>
              </w:numPr>
              <w:adjustRightInd w:val="0"/>
              <w:snapToGrid w:val="0"/>
              <w:spacing w:line="360" w:lineRule="auto"/>
              <w:ind w:left="0" w:firstLine="440" w:firstLineChars="200"/>
              <w:jc w:val="left"/>
              <w:rPr>
                <w:rFonts w:cs="宋体"/>
                <w:bCs/>
                <w:color w:val="auto"/>
                <w:spacing w:val="-10"/>
                <w:sz w:val="24"/>
                <w:szCs w:val="21"/>
              </w:rPr>
            </w:pPr>
            <w:r>
              <w:rPr>
                <w:rFonts w:cs="宋体"/>
                <w:bCs/>
                <w:color w:val="auto"/>
                <w:spacing w:val="-10"/>
                <w:sz w:val="24"/>
                <w:szCs w:val="21"/>
              </w:rPr>
              <w:t>环境风险应急措施</w:t>
            </w:r>
          </w:p>
          <w:p>
            <w:pPr>
              <w:adjustRightInd w:val="0"/>
              <w:snapToGrid w:val="0"/>
              <w:spacing w:line="360" w:lineRule="auto"/>
              <w:ind w:firstLine="440" w:firstLineChars="200"/>
              <w:jc w:val="left"/>
              <w:rPr>
                <w:rFonts w:cs="宋体"/>
                <w:bCs/>
                <w:color w:val="auto"/>
                <w:spacing w:val="-10"/>
                <w:sz w:val="24"/>
                <w:szCs w:val="21"/>
              </w:rPr>
            </w:pPr>
            <w:r>
              <w:rPr>
                <w:rFonts w:cs="宋体"/>
                <w:bCs/>
                <w:color w:val="auto"/>
                <w:spacing w:val="-10"/>
                <w:sz w:val="24"/>
                <w:szCs w:val="21"/>
              </w:rPr>
              <w:t>①若发生火灾，应立即使用干粉灭火器进行灭火，关闭总电源，同时视火势情况进行报警求助。</w:t>
            </w:r>
          </w:p>
          <w:p>
            <w:pPr>
              <w:adjustRightInd w:val="0"/>
              <w:snapToGrid w:val="0"/>
              <w:spacing w:line="360" w:lineRule="auto"/>
              <w:ind w:firstLine="440" w:firstLineChars="200"/>
              <w:jc w:val="left"/>
              <w:rPr>
                <w:rFonts w:cs="宋体"/>
                <w:bCs/>
                <w:color w:val="auto"/>
                <w:spacing w:val="-10"/>
                <w:sz w:val="24"/>
                <w:szCs w:val="21"/>
              </w:rPr>
            </w:pPr>
            <w:r>
              <w:rPr>
                <w:rFonts w:cs="宋体"/>
                <w:bCs/>
                <w:color w:val="auto"/>
                <w:spacing w:val="-10"/>
                <w:sz w:val="24"/>
                <w:szCs w:val="21"/>
              </w:rPr>
              <w:t>②若产生事故废水，需对事故废水进行收集，待事故后经水质检测合格后才可排放；受污染的土壤和废吸附材料及检测不达标的事故废水需交由有资质单位进行处置。</w:t>
            </w:r>
          </w:p>
          <w:p>
            <w:pPr>
              <w:adjustRightInd w:val="0"/>
              <w:snapToGrid w:val="0"/>
              <w:spacing w:line="360" w:lineRule="auto"/>
              <w:ind w:firstLine="442" w:firstLineChars="200"/>
              <w:jc w:val="left"/>
              <w:rPr>
                <w:rFonts w:cs="宋体"/>
                <w:b/>
                <w:color w:val="auto"/>
                <w:spacing w:val="-10"/>
                <w:sz w:val="24"/>
                <w:szCs w:val="21"/>
              </w:rPr>
            </w:pPr>
            <w:r>
              <w:rPr>
                <w:rFonts w:hint="eastAsia" w:cs="宋体"/>
                <w:b/>
                <w:color w:val="auto"/>
                <w:spacing w:val="-10"/>
                <w:sz w:val="24"/>
                <w:szCs w:val="21"/>
                <w:lang w:val="en-US" w:eastAsia="zh-CN"/>
              </w:rPr>
              <w:t>6.5</w:t>
            </w:r>
            <w:r>
              <w:rPr>
                <w:rFonts w:cs="宋体"/>
                <w:b/>
                <w:color w:val="auto"/>
                <w:spacing w:val="-10"/>
                <w:sz w:val="24"/>
                <w:szCs w:val="21"/>
              </w:rPr>
              <w:t xml:space="preserve">分析结论 </w:t>
            </w:r>
          </w:p>
          <w:p>
            <w:pPr>
              <w:adjustRightInd w:val="0"/>
              <w:snapToGrid w:val="0"/>
              <w:spacing w:line="360" w:lineRule="auto"/>
              <w:ind w:firstLine="440" w:firstLineChars="200"/>
              <w:jc w:val="left"/>
              <w:rPr>
                <w:rFonts w:cs="宋体"/>
                <w:bCs/>
                <w:color w:val="auto"/>
                <w:spacing w:val="-10"/>
                <w:sz w:val="24"/>
                <w:szCs w:val="21"/>
              </w:rPr>
            </w:pPr>
            <w:r>
              <w:rPr>
                <w:rFonts w:cs="宋体"/>
                <w:bCs/>
                <w:color w:val="auto"/>
                <w:spacing w:val="-10"/>
                <w:sz w:val="24"/>
                <w:szCs w:val="21"/>
              </w:rPr>
              <w:t>经过风险分析和评价得出结论：本项目事故风险水平较低，在进一步采取安全防范措施和事故应急预案后，基本满足国家有关环境保护和安全法规、标准的要求。项目对</w:t>
            </w:r>
            <w:r>
              <w:rPr>
                <w:rFonts w:hint="eastAsia" w:cs="宋体"/>
                <w:bCs/>
                <w:color w:val="auto"/>
                <w:spacing w:val="-10"/>
                <w:sz w:val="24"/>
                <w:szCs w:val="21"/>
                <w:lang w:val="en-US" w:eastAsia="zh-CN"/>
              </w:rPr>
              <w:t>项目区外</w:t>
            </w:r>
            <w:r>
              <w:rPr>
                <w:rFonts w:cs="宋体"/>
                <w:bCs/>
                <w:color w:val="auto"/>
                <w:spacing w:val="-10"/>
                <w:sz w:val="24"/>
                <w:szCs w:val="21"/>
              </w:rPr>
              <w:t>环境的风险影响处于可以接受的范围内，但企业仍需要提高风险管理水平和强化风险防范措施。 因此，只要严格遵守各项安全操作规程和制度，加强安全管理，本项目完工后，其生产是安全可靠的。</w:t>
            </w:r>
          </w:p>
          <w:p>
            <w:pPr>
              <w:pStyle w:val="2"/>
              <w:ind w:left="0" w:leftChars="0" w:firstLine="0" w:firstLineChars="0"/>
              <w:rPr>
                <w:rFonts w:ascii="宋体" w:hAnsi="宋体" w:cs="宋体"/>
                <w:bCs/>
                <w:color w:val="auto"/>
                <w:spacing w:val="-10"/>
                <w:sz w:val="24"/>
              </w:rPr>
            </w:pPr>
          </w:p>
          <w:p>
            <w:pPr>
              <w:pStyle w:val="2"/>
              <w:ind w:left="0" w:leftChars="0" w:firstLine="0" w:firstLineChars="0"/>
              <w:rPr>
                <w:rFonts w:ascii="宋体" w:hAnsi="宋体" w:cs="宋体"/>
                <w:bCs/>
                <w:color w:val="auto"/>
                <w:spacing w:val="-10"/>
                <w:sz w:val="24"/>
              </w:rPr>
            </w:pPr>
          </w:p>
          <w:p>
            <w:pPr>
              <w:pStyle w:val="2"/>
              <w:ind w:left="0" w:leftChars="0" w:firstLine="0" w:firstLineChars="0"/>
              <w:rPr>
                <w:rFonts w:ascii="宋体" w:hAnsi="宋体" w:cs="宋体"/>
                <w:bCs/>
                <w:color w:val="auto"/>
                <w:spacing w:val="-10"/>
                <w:sz w:val="24"/>
              </w:rPr>
            </w:pPr>
          </w:p>
          <w:p>
            <w:pPr>
              <w:pStyle w:val="2"/>
              <w:ind w:left="0" w:leftChars="0" w:firstLine="0" w:firstLineChars="0"/>
              <w:rPr>
                <w:rFonts w:ascii="宋体" w:hAnsi="宋体" w:cs="宋体"/>
                <w:bCs/>
                <w:color w:val="auto"/>
                <w:spacing w:val="-10"/>
                <w:sz w:val="24"/>
              </w:rPr>
            </w:pPr>
          </w:p>
          <w:p>
            <w:pPr>
              <w:pStyle w:val="2"/>
              <w:ind w:left="0" w:leftChars="0" w:firstLine="0" w:firstLineChars="0"/>
              <w:rPr>
                <w:rFonts w:ascii="宋体" w:hAnsi="宋体" w:cs="宋体"/>
                <w:bCs/>
                <w:color w:val="auto"/>
                <w:spacing w:val="-10"/>
                <w:sz w:val="24"/>
              </w:rPr>
            </w:pPr>
          </w:p>
          <w:p>
            <w:pPr>
              <w:pStyle w:val="2"/>
              <w:ind w:left="0" w:leftChars="0" w:firstLine="0" w:firstLineChars="0"/>
              <w:rPr>
                <w:rFonts w:ascii="宋体" w:hAnsi="宋体" w:cs="宋体"/>
                <w:bCs/>
                <w:color w:val="auto"/>
                <w:spacing w:val="-10"/>
                <w:sz w:val="24"/>
              </w:rPr>
            </w:pPr>
          </w:p>
          <w:p>
            <w:pPr>
              <w:pStyle w:val="2"/>
              <w:ind w:left="0" w:leftChars="0" w:firstLine="0" w:firstLineChars="0"/>
              <w:rPr>
                <w:rFonts w:ascii="宋体" w:hAnsi="宋体" w:cs="宋体"/>
                <w:bCs/>
                <w:color w:val="auto"/>
                <w:spacing w:val="-10"/>
                <w:sz w:val="24"/>
              </w:rPr>
            </w:pPr>
          </w:p>
          <w:p>
            <w:pPr>
              <w:pStyle w:val="2"/>
              <w:ind w:left="0" w:leftChars="0" w:firstLine="0" w:firstLineChars="0"/>
              <w:rPr>
                <w:rFonts w:ascii="宋体" w:hAnsi="宋体" w:cs="宋体"/>
                <w:bCs/>
                <w:color w:val="auto"/>
                <w:spacing w:val="-10"/>
                <w:sz w:val="24"/>
              </w:rPr>
            </w:pPr>
          </w:p>
          <w:p>
            <w:pPr>
              <w:pStyle w:val="2"/>
              <w:ind w:left="0" w:leftChars="0" w:firstLine="0" w:firstLineChars="0"/>
              <w:rPr>
                <w:rFonts w:ascii="宋体" w:hAnsi="宋体" w:cs="宋体"/>
                <w:bCs/>
                <w:color w:val="auto"/>
                <w:spacing w:val="-10"/>
                <w:sz w:val="24"/>
              </w:rPr>
            </w:pPr>
          </w:p>
          <w:p>
            <w:pPr>
              <w:pStyle w:val="2"/>
              <w:ind w:left="0" w:leftChars="0" w:firstLine="0" w:firstLineChars="0"/>
              <w:rPr>
                <w:rFonts w:ascii="宋体" w:hAnsi="宋体" w:cs="宋体"/>
                <w:bCs/>
                <w:color w:val="auto"/>
                <w:spacing w:val="-10"/>
                <w:sz w:val="24"/>
              </w:rPr>
            </w:pPr>
          </w:p>
          <w:p>
            <w:pPr>
              <w:pStyle w:val="2"/>
              <w:ind w:left="0" w:leftChars="0" w:firstLine="0" w:firstLineChars="0"/>
              <w:rPr>
                <w:rFonts w:ascii="宋体" w:hAnsi="宋体" w:cs="宋体"/>
                <w:bCs/>
                <w:color w:val="auto"/>
                <w:spacing w:val="-10"/>
                <w:sz w:val="24"/>
              </w:rPr>
            </w:pPr>
          </w:p>
          <w:p>
            <w:pPr>
              <w:pStyle w:val="2"/>
              <w:ind w:left="0" w:leftChars="0" w:firstLine="0" w:firstLineChars="0"/>
              <w:rPr>
                <w:rFonts w:ascii="宋体" w:hAnsi="宋体" w:cs="宋体"/>
                <w:bCs/>
                <w:color w:val="auto"/>
                <w:spacing w:val="-10"/>
                <w:sz w:val="24"/>
              </w:rPr>
            </w:pPr>
          </w:p>
          <w:p>
            <w:pPr>
              <w:pStyle w:val="2"/>
              <w:ind w:left="0" w:leftChars="0" w:firstLine="0" w:firstLineChars="0"/>
              <w:rPr>
                <w:rFonts w:ascii="宋体" w:hAnsi="宋体" w:cs="宋体"/>
                <w:bCs/>
                <w:color w:val="auto"/>
                <w:spacing w:val="-10"/>
                <w:sz w:val="24"/>
              </w:rPr>
            </w:pPr>
          </w:p>
          <w:p>
            <w:pPr>
              <w:pStyle w:val="2"/>
              <w:ind w:left="0" w:leftChars="0" w:firstLine="0" w:firstLineChars="0"/>
              <w:rPr>
                <w:rFonts w:ascii="宋体" w:hAnsi="宋体" w:cs="宋体"/>
                <w:bCs/>
                <w:color w:val="auto"/>
                <w:spacing w:val="-10"/>
                <w:sz w:val="24"/>
              </w:rPr>
            </w:pPr>
          </w:p>
          <w:p>
            <w:pPr>
              <w:pStyle w:val="2"/>
              <w:rPr>
                <w:rFonts w:ascii="宋体" w:hAnsi="宋体" w:cs="宋体"/>
                <w:bCs/>
                <w:color w:val="auto"/>
                <w:spacing w:val="-10"/>
                <w:sz w:val="24"/>
              </w:rPr>
            </w:pPr>
          </w:p>
        </w:tc>
      </w:tr>
    </w:tbl>
    <w:p>
      <w:pPr>
        <w:adjustRightInd w:val="0"/>
        <w:snapToGrid w:val="0"/>
        <w:spacing w:line="360" w:lineRule="auto"/>
        <w:rPr>
          <w:rFonts w:ascii="宋体" w:cs="宋体"/>
          <w:b/>
          <w:color w:val="auto"/>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pPr>
        <w:pStyle w:val="19"/>
        <w:jc w:val="center"/>
        <w:outlineLvl w:val="0"/>
        <w:rPr>
          <w:rFonts w:hint="default" w:ascii="黑体" w:hAnsi="黑体" w:eastAsia="黑体"/>
          <w:snapToGrid w:val="0"/>
          <w:color w:val="auto"/>
          <w:sz w:val="30"/>
          <w:szCs w:val="30"/>
          <w:lang w:val="en-US" w:eastAsia="zh-CN"/>
        </w:rPr>
      </w:pPr>
      <w:bookmarkStart w:id="19" w:name="_Toc17804"/>
      <w:bookmarkStart w:id="20" w:name="_Toc15561"/>
      <w:r>
        <w:rPr>
          <w:rFonts w:hint="eastAsia" w:ascii="黑体" w:hAnsi="黑体" w:eastAsia="黑体"/>
          <w:snapToGrid w:val="0"/>
          <w:color w:val="auto"/>
          <w:sz w:val="30"/>
          <w:szCs w:val="30"/>
        </w:rPr>
        <w:t>五、</w:t>
      </w:r>
      <w:r>
        <w:rPr>
          <w:rFonts w:hint="eastAsia" w:ascii="黑体" w:hAnsi="黑体" w:eastAsia="黑体"/>
          <w:snapToGrid w:val="0"/>
          <w:color w:val="auto"/>
          <w:sz w:val="30"/>
          <w:szCs w:val="30"/>
          <w:lang w:val="en-US" w:eastAsia="zh-CN"/>
        </w:rPr>
        <w:t>主要生态环境保护措施</w:t>
      </w:r>
      <w:bookmarkEnd w:id="19"/>
    </w:p>
    <w:tbl>
      <w:tblPr>
        <w:tblStyle w:val="22"/>
        <w:tblW w:w="508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42"/>
        <w:gridCol w:w="829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59" w:hRule="atLeast"/>
          <w:jc w:val="center"/>
        </w:trPr>
        <w:tc>
          <w:tcPr>
            <w:tcW w:w="476" w:type="pct"/>
            <w:noWrap w:val="0"/>
            <w:tcMar>
              <w:left w:w="28" w:type="dxa"/>
              <w:right w:w="28" w:type="dxa"/>
            </w:tcMar>
            <w:vAlign w:val="center"/>
          </w:tcPr>
          <w:p>
            <w:pPr>
              <w:adjustRightInd w:val="0"/>
              <w:snapToGrid w:val="0"/>
              <w:jc w:val="center"/>
              <w:rPr>
                <w:rFonts w:hint="default" w:ascii="Times New Roman" w:hAnsi="Times New Roman" w:cs="Times New Roman"/>
                <w:color w:val="auto"/>
                <w:sz w:val="24"/>
                <w:szCs w:val="24"/>
              </w:rPr>
            </w:pPr>
            <w:r>
              <w:rPr>
                <w:rFonts w:hint="default" w:ascii="宋体" w:hAnsi="宋体" w:eastAsia="宋体" w:cs="宋体"/>
                <w:bCs/>
                <w:color w:val="auto"/>
                <w:sz w:val="24"/>
                <w:szCs w:val="24"/>
              </w:rPr>
              <w:t>施工期生态环境保护措施</w:t>
            </w:r>
          </w:p>
        </w:tc>
        <w:tc>
          <w:tcPr>
            <w:tcW w:w="4523" w:type="pct"/>
            <w:noWrap w:val="0"/>
            <w:vAlign w:val="top"/>
          </w:tcPr>
          <w:p>
            <w:pPr>
              <w:keepNext w:val="0"/>
              <w:keepLines w:val="0"/>
              <w:pageBreakBefore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cs="Times New Roman"/>
                <w:b w:val="0"/>
                <w:bCs w:val="0"/>
                <w:color w:val="auto"/>
                <w:sz w:val="24"/>
                <w:szCs w:val="24"/>
                <w:lang w:val="en-US" w:eastAsia="zh-CN"/>
              </w:rPr>
              <w:t>项目施工期</w:t>
            </w:r>
            <w:r>
              <w:rPr>
                <w:rFonts w:hint="eastAsia" w:cs="Times New Roman"/>
                <w:b w:val="0"/>
                <w:bCs w:val="0"/>
                <w:color w:val="auto"/>
                <w:sz w:val="24"/>
                <w:szCs w:val="24"/>
                <w:lang w:val="en-US" w:eastAsia="zh-CN"/>
              </w:rPr>
              <w:t>已结束，本次仅对其进行回顾性分析，</w:t>
            </w:r>
            <w:r>
              <w:rPr>
                <w:rFonts w:hint="eastAsia" w:ascii="Times New Roman" w:hAnsi="Times New Roman" w:cs="Times New Roman"/>
                <w:b w:val="0"/>
                <w:bCs w:val="0"/>
                <w:color w:val="auto"/>
                <w:sz w:val="24"/>
                <w:szCs w:val="24"/>
                <w:lang w:val="en-US" w:eastAsia="zh-CN"/>
              </w:rPr>
              <w:t>生态保护措施</w:t>
            </w:r>
            <w:r>
              <w:rPr>
                <w:rFonts w:hint="default" w:ascii="Times New Roman" w:hAnsi="Times New Roman" w:cs="Times New Roman"/>
                <w:b w:val="0"/>
                <w:bCs w:val="0"/>
                <w:color w:val="auto"/>
                <w:sz w:val="24"/>
                <w:szCs w:val="24"/>
                <w:lang w:val="en-US" w:eastAsia="zh-CN"/>
              </w:rPr>
              <w:t>详见</w:t>
            </w:r>
            <w:r>
              <w:rPr>
                <w:rFonts w:hint="eastAsia" w:ascii="Times New Roman" w:hAnsi="Times New Roman" w:cs="Times New Roman"/>
                <w:b w:val="0"/>
                <w:bCs w:val="0"/>
                <w:color w:val="auto"/>
                <w:sz w:val="24"/>
                <w:szCs w:val="24"/>
                <w:lang w:val="en-US" w:eastAsia="zh-CN"/>
              </w:rPr>
              <w:t>生态</w:t>
            </w:r>
            <w:r>
              <w:rPr>
                <w:rFonts w:hint="default" w:ascii="Times New Roman" w:hAnsi="Times New Roman" w:cs="Times New Roman"/>
                <w:b w:val="0"/>
                <w:bCs w:val="0"/>
                <w:color w:val="auto"/>
                <w:sz w:val="24"/>
                <w:szCs w:val="24"/>
                <w:lang w:val="en-US" w:eastAsia="zh-CN"/>
              </w:rPr>
              <w:t>环境影响</w:t>
            </w:r>
            <w:r>
              <w:rPr>
                <w:rFonts w:hint="eastAsia" w:ascii="Times New Roman" w:hAnsi="Times New Roman" w:cs="Times New Roman"/>
                <w:b w:val="0"/>
                <w:bCs w:val="0"/>
                <w:color w:val="auto"/>
                <w:sz w:val="24"/>
                <w:szCs w:val="24"/>
                <w:lang w:val="en-US" w:eastAsia="zh-CN"/>
              </w:rPr>
              <w:t>专项报告</w:t>
            </w:r>
            <w:r>
              <w:rPr>
                <w:rFonts w:hint="default" w:ascii="Times New Roman" w:hAnsi="Times New Roman" w:eastAsia="宋体" w:cs="Times New Roman"/>
                <w:b w:val="0"/>
                <w:bCs w:val="0"/>
                <w:color w:val="auto"/>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7" w:hRule="atLeast"/>
          <w:jc w:val="center"/>
        </w:trPr>
        <w:tc>
          <w:tcPr>
            <w:tcW w:w="476" w:type="pct"/>
            <w:noWrap w:val="0"/>
            <w:tcMar>
              <w:left w:w="28" w:type="dxa"/>
              <w:right w:w="28" w:type="dxa"/>
            </w:tcMar>
            <w:vAlign w:val="center"/>
          </w:tcPr>
          <w:p>
            <w:pPr>
              <w:pStyle w:val="72"/>
              <w:bidi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运营期生态环境保护措施</w:t>
            </w:r>
          </w:p>
        </w:tc>
        <w:tc>
          <w:tcPr>
            <w:tcW w:w="4523" w:type="pct"/>
            <w:noWrap w:val="0"/>
            <w:vAlign w:val="top"/>
          </w:tcPr>
          <w:p>
            <w:pPr>
              <w:pageBreakBefore w:val="0"/>
              <w:kinsoku/>
              <w:overflowPunct/>
              <w:bidi w:val="0"/>
              <w:spacing w:line="360" w:lineRule="auto"/>
              <w:jc w:val="left"/>
              <w:textAlignment w:val="auto"/>
              <w:rPr>
                <w:rFonts w:hint="default" w:ascii="Times New Roman" w:hAnsi="Times New Roman" w:cs="Times New Roman"/>
                <w:b/>
                <w:bCs/>
                <w:color w:val="auto"/>
                <w:sz w:val="24"/>
                <w:szCs w:val="24"/>
                <w:lang w:val="en-US" w:eastAsia="zh-CN"/>
              </w:rPr>
            </w:pPr>
            <w:r>
              <w:rPr>
                <w:rFonts w:hint="eastAsia" w:cs="Times New Roman"/>
                <w:b/>
                <w:bCs/>
                <w:color w:val="auto"/>
                <w:sz w:val="24"/>
                <w:szCs w:val="24"/>
                <w:lang w:val="en-US" w:eastAsia="zh-CN"/>
              </w:rPr>
              <w:t>1</w:t>
            </w:r>
            <w:r>
              <w:rPr>
                <w:rFonts w:hint="default" w:ascii="Times New Roman" w:hAnsi="Times New Roman" w:cs="Times New Roman"/>
                <w:b/>
                <w:bCs/>
                <w:color w:val="auto"/>
                <w:sz w:val="24"/>
                <w:szCs w:val="24"/>
                <w:lang w:val="en-US" w:eastAsia="zh-CN"/>
              </w:rPr>
              <w:t>、生态环境保护措施</w:t>
            </w:r>
          </w:p>
          <w:p>
            <w:pPr>
              <w:pageBreakBefore w:val="0"/>
              <w:kinsoku/>
              <w:overflowPunct/>
              <w:bidi w:val="0"/>
              <w:spacing w:line="360" w:lineRule="auto"/>
              <w:ind w:firstLine="480" w:firstLineChars="200"/>
              <w:jc w:val="left"/>
              <w:textAlignment w:val="auto"/>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项目运营期生态保护措施</w:t>
            </w:r>
            <w:r>
              <w:rPr>
                <w:rFonts w:hint="default" w:ascii="Times New Roman" w:hAnsi="Times New Roman" w:cs="Times New Roman"/>
                <w:b w:val="0"/>
                <w:bCs w:val="0"/>
                <w:color w:val="auto"/>
                <w:sz w:val="24"/>
                <w:szCs w:val="24"/>
                <w:lang w:val="en-US" w:eastAsia="zh-CN"/>
              </w:rPr>
              <w:t>详见</w:t>
            </w:r>
            <w:r>
              <w:rPr>
                <w:rFonts w:hint="eastAsia" w:ascii="Times New Roman" w:hAnsi="Times New Roman" w:cs="Times New Roman"/>
                <w:b w:val="0"/>
                <w:bCs w:val="0"/>
                <w:color w:val="auto"/>
                <w:sz w:val="24"/>
                <w:szCs w:val="24"/>
                <w:lang w:val="en-US" w:eastAsia="zh-CN"/>
              </w:rPr>
              <w:t>生态</w:t>
            </w:r>
            <w:r>
              <w:rPr>
                <w:rFonts w:hint="default" w:ascii="Times New Roman" w:hAnsi="Times New Roman" w:cs="Times New Roman"/>
                <w:b w:val="0"/>
                <w:bCs w:val="0"/>
                <w:color w:val="auto"/>
                <w:sz w:val="24"/>
                <w:szCs w:val="24"/>
                <w:lang w:val="en-US" w:eastAsia="zh-CN"/>
              </w:rPr>
              <w:t>环境影响</w:t>
            </w:r>
            <w:r>
              <w:rPr>
                <w:rFonts w:hint="eastAsia" w:ascii="Times New Roman" w:hAnsi="Times New Roman" w:cs="Times New Roman"/>
                <w:b w:val="0"/>
                <w:bCs w:val="0"/>
                <w:color w:val="auto"/>
                <w:sz w:val="24"/>
                <w:szCs w:val="24"/>
                <w:lang w:val="en-US" w:eastAsia="zh-CN"/>
              </w:rPr>
              <w:t>专项报告</w:t>
            </w:r>
            <w:r>
              <w:rPr>
                <w:rFonts w:hint="default" w:ascii="Times New Roman" w:hAnsi="Times New Roman" w:eastAsia="宋体" w:cs="Times New Roman"/>
                <w:b w:val="0"/>
                <w:bCs w:val="0"/>
                <w:color w:val="auto"/>
                <w:sz w:val="24"/>
                <w:szCs w:val="24"/>
                <w:lang w:val="en-US" w:eastAsia="zh-CN"/>
              </w:rPr>
              <w:t>。</w:t>
            </w:r>
          </w:p>
          <w:p>
            <w:pPr>
              <w:adjustRightInd w:val="0"/>
              <w:snapToGrid w:val="0"/>
              <w:spacing w:line="360" w:lineRule="auto"/>
              <w:jc w:val="left"/>
              <w:rPr>
                <w:rFonts w:hint="default" w:eastAsia="宋体" w:cs="宋体"/>
                <w:b/>
                <w:bCs w:val="0"/>
                <w:color w:val="auto"/>
                <w:sz w:val="24"/>
                <w:szCs w:val="21"/>
                <w:lang w:val="en-US" w:eastAsia="zh-CN"/>
              </w:rPr>
            </w:pPr>
            <w:r>
              <w:rPr>
                <w:rFonts w:hint="eastAsia" w:eastAsia="宋体" w:cs="宋体"/>
                <w:b/>
                <w:bCs w:val="0"/>
                <w:color w:val="auto"/>
                <w:sz w:val="24"/>
                <w:szCs w:val="21"/>
                <w:lang w:val="en-US" w:eastAsia="zh-CN"/>
              </w:rPr>
              <w:t>2、废气环境保护措施</w:t>
            </w:r>
          </w:p>
          <w:p>
            <w:pPr>
              <w:spacing w:line="360" w:lineRule="auto"/>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①油烟</w:t>
            </w:r>
          </w:p>
          <w:p>
            <w:pPr>
              <w:adjustRightInd w:val="0"/>
              <w:snapToGrid w:val="0"/>
              <w:spacing w:line="360" w:lineRule="auto"/>
              <w:ind w:firstLine="440" w:firstLineChars="200"/>
              <w:jc w:val="left"/>
              <w:rPr>
                <w:rFonts w:hint="default" w:ascii="Times New Roman" w:hAnsi="Times New Roman" w:eastAsia="宋体" w:cs="宋体"/>
                <w:bCs/>
                <w:color w:val="auto"/>
                <w:spacing w:val="-10"/>
                <w:sz w:val="24"/>
                <w:szCs w:val="21"/>
                <w:lang w:val="en-US" w:eastAsia="zh-CN"/>
              </w:rPr>
            </w:pPr>
            <w:r>
              <w:rPr>
                <w:rFonts w:hint="eastAsia" w:ascii="Times New Roman" w:hAnsi="Times New Roman" w:eastAsia="宋体" w:cs="宋体"/>
                <w:bCs/>
                <w:color w:val="auto"/>
                <w:spacing w:val="-10"/>
                <w:sz w:val="24"/>
                <w:szCs w:val="21"/>
                <w:lang w:eastAsia="zh-CN"/>
              </w:rPr>
              <w:t>于</w:t>
            </w:r>
            <w:r>
              <w:rPr>
                <w:rFonts w:hint="eastAsia" w:ascii="Times New Roman" w:hAnsi="Times New Roman" w:eastAsia="宋体" w:cs="宋体"/>
                <w:bCs/>
                <w:color w:val="auto"/>
                <w:spacing w:val="-10"/>
                <w:sz w:val="24"/>
                <w:szCs w:val="21"/>
                <w:lang w:val="en-US" w:eastAsia="zh-CN"/>
              </w:rPr>
              <w:t>家庭用房</w:t>
            </w:r>
            <w:r>
              <w:rPr>
                <w:rFonts w:hint="eastAsia" w:ascii="Times New Roman" w:hAnsi="Times New Roman" w:eastAsia="宋体" w:cs="宋体"/>
                <w:bCs/>
                <w:color w:val="auto"/>
                <w:spacing w:val="-10"/>
                <w:sz w:val="24"/>
                <w:szCs w:val="21"/>
                <w:lang w:eastAsia="zh-CN"/>
              </w:rPr>
              <w:t>内厨房油烟产生量较小，</w:t>
            </w:r>
            <w:r>
              <w:rPr>
                <w:rFonts w:hint="eastAsia" w:ascii="Times New Roman" w:hAnsi="Times New Roman" w:eastAsia="宋体" w:cs="宋体"/>
                <w:bCs/>
                <w:color w:val="auto"/>
                <w:spacing w:val="-10"/>
                <w:sz w:val="24"/>
                <w:szCs w:val="21"/>
                <w:lang w:val="en-US" w:eastAsia="zh-CN"/>
              </w:rPr>
              <w:t>且用户均会安装符合要求的油烟净化器，少量油烟经净化器处理后</w:t>
            </w:r>
            <w:r>
              <w:rPr>
                <w:rFonts w:hint="default" w:ascii="Times New Roman" w:hAnsi="Times New Roman" w:eastAsia="宋体" w:cs="宋体"/>
                <w:bCs/>
                <w:color w:val="auto"/>
                <w:spacing w:val="-10"/>
                <w:sz w:val="24"/>
                <w:szCs w:val="21"/>
              </w:rPr>
              <w:t>可以达到《饮食业油烟排放标准</w:t>
            </w:r>
            <w:r>
              <w:rPr>
                <w:rFonts w:hint="default" w:ascii="Times New Roman" w:hAnsi="Times New Roman" w:eastAsia="宋体" w:cs="宋体"/>
                <w:bCs/>
                <w:color w:val="auto"/>
                <w:spacing w:val="-10"/>
                <w:sz w:val="24"/>
                <w:szCs w:val="21"/>
                <w:lang w:val="en-US" w:eastAsia="zh-CN"/>
              </w:rPr>
              <w:t>（试行）》（GB18483-2001）要求</w:t>
            </w:r>
            <w:r>
              <w:rPr>
                <w:rFonts w:hint="eastAsia" w:ascii="Times New Roman" w:hAnsi="Times New Roman" w:eastAsia="宋体" w:cs="宋体"/>
                <w:bCs/>
                <w:color w:val="auto"/>
                <w:spacing w:val="-10"/>
                <w:sz w:val="24"/>
                <w:szCs w:val="21"/>
                <w:lang w:val="en-US" w:eastAsia="zh-CN"/>
              </w:rPr>
              <w:t>。</w:t>
            </w:r>
          </w:p>
          <w:p>
            <w:pPr>
              <w:spacing w:line="360" w:lineRule="auto"/>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②汽车尾气</w:t>
            </w:r>
          </w:p>
          <w:p>
            <w:pPr>
              <w:spacing w:line="360" w:lineRule="auto"/>
              <w:ind w:firstLine="480" w:firstLineChars="200"/>
              <w:jc w:val="left"/>
              <w:rPr>
                <w:rFonts w:hint="eastAsia" w:eastAsia="宋体"/>
                <w:color w:val="auto"/>
                <w:sz w:val="24"/>
                <w:lang w:eastAsia="zh-CN"/>
              </w:rPr>
            </w:pPr>
            <w:r>
              <w:rPr>
                <w:rFonts w:hint="eastAsia"/>
                <w:color w:val="auto"/>
                <w:sz w:val="24"/>
                <w:lang w:val="en-US" w:eastAsia="zh-CN"/>
              </w:rPr>
              <w:t>项目周边空气流通性较好，同时项目安置区内</w:t>
            </w:r>
            <w:r>
              <w:rPr>
                <w:rFonts w:hint="eastAsia"/>
                <w:color w:val="auto"/>
                <w:sz w:val="24"/>
              </w:rPr>
              <w:t>加强绿化，种植一些对</w:t>
            </w:r>
            <w:r>
              <w:rPr>
                <w:rFonts w:hAnsi="宋体"/>
                <w:color w:val="auto"/>
                <w:sz w:val="24"/>
              </w:rPr>
              <w:t>有害气体吸收能力较强的树木</w:t>
            </w:r>
            <w:r>
              <w:rPr>
                <w:rFonts w:hint="eastAsia" w:hAnsi="宋体"/>
                <w:color w:val="auto"/>
                <w:sz w:val="24"/>
              </w:rPr>
              <w:t>，可进一步减小尾气产生量</w:t>
            </w:r>
            <w:r>
              <w:rPr>
                <w:rFonts w:hint="eastAsia" w:hAnsi="宋体"/>
                <w:color w:val="auto"/>
                <w:sz w:val="24"/>
                <w:lang w:eastAsia="zh-CN"/>
              </w:rPr>
              <w:t>。</w:t>
            </w:r>
          </w:p>
          <w:p>
            <w:pPr>
              <w:spacing w:line="360" w:lineRule="auto"/>
              <w:ind w:firstLine="480" w:firstLineChars="200"/>
              <w:jc w:val="left"/>
              <w:rPr>
                <w:rFonts w:hint="default" w:ascii="Times New Roman" w:hAnsi="宋体" w:eastAsia="宋体" w:cs="Times New Roman"/>
                <w:color w:val="auto"/>
                <w:sz w:val="24"/>
              </w:rPr>
            </w:pPr>
            <w:r>
              <w:rPr>
                <w:rFonts w:hint="default" w:ascii="Times New Roman" w:hAnsi="宋体" w:eastAsia="宋体" w:cs="Times New Roman"/>
                <w:color w:val="auto"/>
                <w:sz w:val="24"/>
              </w:rPr>
              <w:t>③恶臭</w:t>
            </w:r>
          </w:p>
          <w:p>
            <w:pPr>
              <w:spacing w:line="360" w:lineRule="auto"/>
              <w:ind w:firstLine="480" w:firstLineChars="200"/>
              <w:jc w:val="left"/>
              <w:rPr>
                <w:rFonts w:hint="default" w:ascii="Times New Roman" w:hAnsi="宋体" w:eastAsia="宋体" w:cs="Times New Roman"/>
                <w:color w:val="auto"/>
                <w:sz w:val="24"/>
              </w:rPr>
            </w:pPr>
            <w:r>
              <w:rPr>
                <w:rFonts w:hint="eastAsia" w:ascii="Times New Roman" w:hAnsi="宋体" w:eastAsia="宋体" w:cs="Times New Roman"/>
                <w:color w:val="auto"/>
                <w:sz w:val="24"/>
              </w:rPr>
              <w:t>由于</w:t>
            </w:r>
            <w:r>
              <w:rPr>
                <w:rFonts w:hint="eastAsia" w:ascii="Times New Roman" w:hAnsi="宋体" w:eastAsia="宋体" w:cs="Times New Roman"/>
                <w:color w:val="auto"/>
                <w:sz w:val="24"/>
                <w:lang w:val="en-US" w:eastAsia="zh-CN"/>
              </w:rPr>
              <w:t>安置区内垃圾桶体量较小且分布</w:t>
            </w:r>
            <w:r>
              <w:rPr>
                <w:rFonts w:hint="eastAsia" w:ascii="Times New Roman" w:hAnsi="宋体" w:eastAsia="宋体" w:cs="Times New Roman"/>
                <w:color w:val="auto"/>
                <w:sz w:val="24"/>
                <w:lang w:eastAsia="zh-CN"/>
              </w:rPr>
              <w:t>相对分散，</w:t>
            </w:r>
            <w:r>
              <w:rPr>
                <w:rFonts w:hint="eastAsia" w:ascii="Times New Roman" w:hAnsi="宋体" w:eastAsia="宋体" w:cs="Times New Roman"/>
                <w:color w:val="auto"/>
                <w:sz w:val="24"/>
                <w:lang w:val="en-US" w:eastAsia="zh-CN"/>
              </w:rPr>
              <w:t>安置区内物业人员及时清理清运</w:t>
            </w:r>
            <w:r>
              <w:rPr>
                <w:rFonts w:hint="eastAsia" w:ascii="Times New Roman" w:hAnsi="宋体" w:eastAsia="宋体" w:cs="Times New Roman"/>
                <w:color w:val="auto"/>
                <w:sz w:val="24"/>
              </w:rPr>
              <w:t>，本项目</w:t>
            </w:r>
            <w:r>
              <w:rPr>
                <w:rFonts w:hint="eastAsia" w:ascii="Times New Roman" w:hAnsi="宋体" w:eastAsia="宋体" w:cs="Times New Roman"/>
                <w:color w:val="auto"/>
                <w:sz w:val="24"/>
                <w:lang w:val="en-US" w:eastAsia="zh-CN"/>
              </w:rPr>
              <w:t>恶臭</w:t>
            </w:r>
            <w:r>
              <w:rPr>
                <w:rFonts w:hint="eastAsia" w:ascii="Times New Roman" w:hAnsi="宋体" w:eastAsia="宋体" w:cs="Times New Roman"/>
                <w:color w:val="auto"/>
                <w:sz w:val="24"/>
              </w:rPr>
              <w:t>污染物浓度较低</w:t>
            </w:r>
            <w:r>
              <w:rPr>
                <w:rFonts w:hint="eastAsia" w:ascii="Times New Roman" w:hAnsi="宋体" w:eastAsia="宋体" w:cs="Times New Roman"/>
                <w:color w:val="auto"/>
                <w:sz w:val="24"/>
                <w:lang w:eastAsia="zh-CN"/>
              </w:rPr>
              <w:t>，</w:t>
            </w:r>
            <w:r>
              <w:rPr>
                <w:rFonts w:hint="eastAsia" w:ascii="Times New Roman" w:hAnsi="Times New Roman" w:eastAsia="宋体" w:cs="宋体"/>
                <w:bCs/>
                <w:color w:val="auto"/>
                <w:spacing w:val="-10"/>
                <w:sz w:val="24"/>
                <w:szCs w:val="21"/>
                <w:lang w:val="en-US" w:eastAsia="zh-CN"/>
              </w:rPr>
              <w:t>经周边大气环境稀释后对周边环境影响较小</w:t>
            </w:r>
            <w:r>
              <w:rPr>
                <w:rFonts w:hint="eastAsia" w:ascii="Times New Roman" w:hAnsi="宋体" w:eastAsia="宋体" w:cs="Times New Roman"/>
                <w:color w:val="auto"/>
                <w:sz w:val="24"/>
              </w:rPr>
              <w:t>。</w:t>
            </w:r>
          </w:p>
          <w:p>
            <w:pPr>
              <w:numPr>
                <w:ilvl w:val="0"/>
                <w:numId w:val="0"/>
              </w:numPr>
              <w:adjustRightInd w:val="0"/>
              <w:snapToGrid w:val="0"/>
              <w:spacing w:line="360" w:lineRule="auto"/>
              <w:jc w:val="left"/>
              <w:rPr>
                <w:rFonts w:cs="宋体"/>
                <w:b/>
                <w:color w:val="auto"/>
                <w:spacing w:val="-10"/>
                <w:sz w:val="24"/>
                <w:szCs w:val="21"/>
              </w:rPr>
            </w:pPr>
            <w:r>
              <w:rPr>
                <w:rFonts w:hint="eastAsia" w:cs="宋体"/>
                <w:b/>
                <w:color w:val="auto"/>
                <w:spacing w:val="-10"/>
                <w:sz w:val="24"/>
                <w:szCs w:val="21"/>
                <w:lang w:val="en-US" w:eastAsia="zh-CN"/>
              </w:rPr>
              <w:t>3、</w:t>
            </w:r>
            <w:r>
              <w:rPr>
                <w:rFonts w:hint="eastAsia" w:cs="宋体"/>
                <w:b/>
                <w:color w:val="auto"/>
                <w:spacing w:val="-10"/>
                <w:sz w:val="24"/>
                <w:szCs w:val="21"/>
              </w:rPr>
              <w:t>废水环境影响分析</w:t>
            </w:r>
          </w:p>
          <w:p>
            <w:pPr>
              <w:pStyle w:val="49"/>
              <w:spacing w:line="360" w:lineRule="auto"/>
              <w:ind w:firstLine="482" w:firstLineChars="200"/>
              <w:jc w:val="left"/>
              <w:rPr>
                <w:rFonts w:hint="eastAsia" w:ascii="Times New Roman" w:hAnsi="Times New Roman" w:eastAsia="宋体" w:cs="宋体"/>
                <w:b/>
                <w:bCs/>
                <w:color w:val="auto"/>
                <w:sz w:val="24"/>
                <w:szCs w:val="21"/>
                <w:lang w:val="en-US" w:eastAsia="zh-CN"/>
              </w:rPr>
            </w:pPr>
            <w:r>
              <w:rPr>
                <w:rFonts w:hint="eastAsia" w:ascii="Times New Roman" w:hAnsi="Times New Roman" w:eastAsia="宋体" w:cs="宋体"/>
                <w:b/>
                <w:bCs/>
                <w:color w:val="auto"/>
                <w:sz w:val="24"/>
                <w:szCs w:val="21"/>
                <w:lang w:val="en-US" w:eastAsia="zh-CN"/>
              </w:rPr>
              <w:t>3.1废水污染防治措施</w:t>
            </w:r>
          </w:p>
          <w:p>
            <w:pPr>
              <w:adjustRightInd w:val="0"/>
              <w:snapToGrid w:val="0"/>
              <w:spacing w:line="360" w:lineRule="auto"/>
              <w:ind w:firstLine="468" w:firstLineChars="200"/>
              <w:jc w:val="left"/>
              <w:rPr>
                <w:rFonts w:hint="eastAsia" w:ascii="Times New Roman" w:hAnsi="Times New Roman" w:eastAsia="宋体" w:cs="Times New Roman"/>
                <w:color w:val="auto"/>
              </w:rPr>
            </w:pPr>
            <w:r>
              <w:rPr>
                <w:rFonts w:hint="eastAsia"/>
                <w:color w:val="auto"/>
                <w:spacing w:val="-3"/>
                <w:sz w:val="24"/>
                <w:szCs w:val="24"/>
              </w:rPr>
              <w:t>本项目生活污水经化粪池处理后</w:t>
            </w:r>
            <w:r>
              <w:rPr>
                <w:rFonts w:hint="eastAsia"/>
                <w:color w:val="auto"/>
                <w:spacing w:val="-3"/>
                <w:sz w:val="24"/>
                <w:szCs w:val="24"/>
                <w:lang w:val="en-US" w:eastAsia="zh-CN"/>
              </w:rPr>
              <w:t>达到</w:t>
            </w:r>
            <w:r>
              <w:rPr>
                <w:color w:val="auto"/>
                <w:sz w:val="24"/>
                <w:lang w:val="en-US" w:eastAsia="zh-CN"/>
              </w:rPr>
              <w:t>华容县团洲乡</w:t>
            </w:r>
            <w:r>
              <w:rPr>
                <w:rFonts w:hint="eastAsia"/>
                <w:color w:val="auto"/>
                <w:sz w:val="24"/>
                <w:lang w:val="en-US" w:eastAsia="zh-CN"/>
              </w:rPr>
              <w:t>团洲新村</w:t>
            </w:r>
            <w:r>
              <w:rPr>
                <w:color w:val="auto"/>
                <w:sz w:val="24"/>
                <w:lang w:val="en-US" w:eastAsia="zh-CN"/>
              </w:rPr>
              <w:t>污水处理厂</w:t>
            </w:r>
            <w:r>
              <w:rPr>
                <w:rFonts w:hint="eastAsia"/>
                <w:color w:val="auto"/>
                <w:sz w:val="24"/>
                <w:lang w:val="en-US" w:eastAsia="zh-CN"/>
              </w:rPr>
              <w:t>进水水质标准后</w:t>
            </w:r>
            <w:r>
              <w:rPr>
                <w:rFonts w:hint="eastAsia"/>
                <w:color w:val="auto"/>
                <w:sz w:val="24"/>
              </w:rPr>
              <w:t>经</w:t>
            </w:r>
            <w:r>
              <w:rPr>
                <w:rFonts w:hint="eastAsia"/>
                <w:color w:val="auto"/>
                <w:sz w:val="24"/>
                <w:lang w:val="en-US" w:eastAsia="zh-CN"/>
              </w:rPr>
              <w:t>市政</w:t>
            </w:r>
            <w:r>
              <w:rPr>
                <w:rFonts w:hint="eastAsia"/>
                <w:color w:val="auto"/>
                <w:sz w:val="24"/>
              </w:rPr>
              <w:t>污水管网收集后</w:t>
            </w:r>
            <w:r>
              <w:rPr>
                <w:rFonts w:hint="eastAsia"/>
                <w:color w:val="auto"/>
                <w:sz w:val="24"/>
                <w:lang w:val="en-US" w:eastAsia="zh-CN"/>
              </w:rPr>
              <w:t>排入华</w:t>
            </w:r>
            <w:r>
              <w:rPr>
                <w:color w:val="auto"/>
                <w:sz w:val="24"/>
                <w:lang w:val="en-US" w:eastAsia="zh-CN"/>
              </w:rPr>
              <w:t>容县团洲乡污水处理厂</w:t>
            </w:r>
            <w:r>
              <w:rPr>
                <w:rFonts w:hint="eastAsia"/>
                <w:color w:val="auto"/>
                <w:sz w:val="24"/>
              </w:rPr>
              <w:t>进行深度处理</w:t>
            </w:r>
            <w:r>
              <w:rPr>
                <w:rFonts w:hint="eastAsia"/>
                <w:color w:val="auto"/>
                <w:sz w:val="24"/>
                <w:lang w:eastAsia="zh-CN"/>
              </w:rPr>
              <w:t>，</w:t>
            </w:r>
            <w:r>
              <w:rPr>
                <w:rFonts w:hint="eastAsia"/>
                <w:color w:val="auto"/>
                <w:sz w:val="24"/>
                <w:lang w:val="en-US" w:eastAsia="zh-CN"/>
              </w:rPr>
              <w:t>经处理</w:t>
            </w:r>
            <w:r>
              <w:rPr>
                <w:rFonts w:hint="eastAsia"/>
                <w:color w:val="auto"/>
                <w:sz w:val="24"/>
              </w:rPr>
              <w:t>排水水质达《城镇污水处理厂污染物排放标准》（GB</w:t>
            </w:r>
            <w:r>
              <w:rPr>
                <w:rFonts w:hint="eastAsia"/>
                <w:color w:val="auto"/>
                <w:sz w:val="24"/>
                <w:lang w:val="en-US" w:eastAsia="zh-CN"/>
              </w:rPr>
              <w:t xml:space="preserve"> </w:t>
            </w:r>
            <w:r>
              <w:rPr>
                <w:rFonts w:hint="eastAsia"/>
                <w:color w:val="auto"/>
                <w:sz w:val="24"/>
              </w:rPr>
              <w:t>18918-2002）</w:t>
            </w:r>
            <w:r>
              <w:rPr>
                <w:rFonts w:hint="eastAsia" w:eastAsia="宋体"/>
                <w:color w:val="auto"/>
                <w:sz w:val="24"/>
              </w:rPr>
              <w:t>一级A标准后</w:t>
            </w:r>
            <w:r>
              <w:rPr>
                <w:rFonts w:hint="eastAsia" w:ascii="Times New Roman" w:hAnsi="Times New Roman" w:eastAsia="宋体" w:cs="宋体"/>
                <w:bCs/>
                <w:i w:val="0"/>
                <w:iCs w:val="0"/>
                <w:color w:val="auto"/>
                <w:sz w:val="24"/>
                <w:szCs w:val="21"/>
                <w:u w:val="none"/>
                <w:lang w:val="en-US" w:eastAsia="zh-CN"/>
              </w:rPr>
              <w:t>回用。</w:t>
            </w:r>
          </w:p>
          <w:p>
            <w:pPr>
              <w:pStyle w:val="53"/>
              <w:adjustRightInd w:val="0"/>
              <w:snapToGrid w:val="0"/>
              <w:spacing w:line="360" w:lineRule="auto"/>
              <w:ind w:firstLine="482"/>
              <w:jc w:val="left"/>
              <w:rPr>
                <w:rFonts w:hint="eastAsia"/>
                <w:b/>
                <w:bCs/>
                <w:color w:val="auto"/>
                <w:sz w:val="24"/>
                <w:highlight w:val="none"/>
              </w:rPr>
            </w:pPr>
            <w:r>
              <w:rPr>
                <w:rFonts w:hint="eastAsia"/>
                <w:b/>
                <w:bCs/>
                <w:color w:val="auto"/>
                <w:sz w:val="24"/>
                <w:highlight w:val="none"/>
                <w:lang w:val="en-US" w:eastAsia="zh-CN"/>
              </w:rPr>
              <w:t>3.2</w:t>
            </w:r>
            <w:r>
              <w:rPr>
                <w:rFonts w:hint="eastAsia"/>
                <w:b/>
                <w:bCs/>
                <w:color w:val="auto"/>
                <w:sz w:val="24"/>
                <w:highlight w:val="none"/>
              </w:rPr>
              <w:t>废水处理设施可行性分析</w:t>
            </w:r>
          </w:p>
          <w:p>
            <w:pPr>
              <w:adjustRightInd w:val="0"/>
              <w:snapToGrid w:val="0"/>
              <w:spacing w:line="360" w:lineRule="auto"/>
              <w:ind w:firstLine="480" w:firstLineChars="200"/>
              <w:jc w:val="left"/>
              <w:rPr>
                <w:rFonts w:hint="eastAsia"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生活污水经化粪池处理后可达华容县团洲乡团洲新村污水处理厂进水水质标准，之后进入市政污水管网，由华容县团洲乡团洲新村污水处理厂处理达标后回用，项目废水污染物对环境影响较小。</w:t>
            </w:r>
          </w:p>
          <w:p>
            <w:pPr>
              <w:adjustRightInd w:val="0"/>
              <w:snapToGrid w:val="0"/>
              <w:spacing w:line="360" w:lineRule="auto"/>
              <w:ind w:firstLine="480" w:firstLineChars="200"/>
              <w:jc w:val="left"/>
              <w:rPr>
                <w:rFonts w:hint="eastAsia"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团洲乡团洲新村污水处理厂位于团洲乡的东南部，南电排渠的西侧，设计日处理能力为</w:t>
            </w:r>
            <w:r>
              <w:rPr>
                <w:rFonts w:hint="eastAsia" w:cs="宋体"/>
                <w:bCs/>
                <w:i w:val="0"/>
                <w:iCs w:val="0"/>
                <w:color w:val="auto"/>
                <w:sz w:val="24"/>
                <w:szCs w:val="21"/>
                <w:u w:val="none"/>
                <w:lang w:val="en-US" w:eastAsia="zh-CN"/>
              </w:rPr>
              <w:t>3</w:t>
            </w:r>
            <w:r>
              <w:rPr>
                <w:rFonts w:hint="eastAsia" w:ascii="Times New Roman" w:hAnsi="Times New Roman" w:eastAsia="宋体" w:cs="宋体"/>
                <w:bCs/>
                <w:i w:val="0"/>
                <w:iCs w:val="0"/>
                <w:color w:val="auto"/>
                <w:sz w:val="24"/>
                <w:szCs w:val="21"/>
                <w:u w:val="none"/>
                <w:lang w:val="en-US" w:eastAsia="zh-CN"/>
              </w:rPr>
              <w:t>00吨/天，该厂拟采用“预处理+生化处理（A²/O工艺）+深度处理（砂滤、消毒）”的工艺流程，确保出水水质达到《城镇污水处理厂污染物排放标准》中的一级A类排放标准。同时配备污水回用系统，污水经处理后回用于厂区绿化灌溉或道路冲洗，提高了水资源利用率。</w:t>
            </w:r>
          </w:p>
          <w:p>
            <w:pPr>
              <w:adjustRightInd w:val="0"/>
              <w:snapToGrid w:val="0"/>
              <w:spacing w:line="360" w:lineRule="auto"/>
              <w:ind w:firstLine="480" w:firstLineChars="200"/>
              <w:jc w:val="left"/>
              <w:rPr>
                <w:rFonts w:hint="eastAsia"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该污水处理厂为配套华容县团洲垸灾后重建安置房建设项目</w:t>
            </w:r>
            <w:r>
              <w:rPr>
                <w:rFonts w:hint="eastAsia" w:cs="宋体"/>
                <w:bCs/>
                <w:i w:val="0"/>
                <w:iCs w:val="0"/>
                <w:color w:val="auto"/>
                <w:sz w:val="24"/>
                <w:szCs w:val="21"/>
                <w:u w:val="none"/>
                <w:lang w:val="en-US" w:eastAsia="zh-CN"/>
              </w:rPr>
              <w:t>而建设，</w:t>
            </w:r>
            <w:r>
              <w:rPr>
                <w:rFonts w:hint="eastAsia" w:ascii="Times New Roman" w:hAnsi="Times New Roman" w:eastAsia="宋体" w:cs="宋体"/>
                <w:bCs/>
                <w:i w:val="0"/>
                <w:iCs w:val="0"/>
                <w:color w:val="auto"/>
                <w:sz w:val="24"/>
                <w:szCs w:val="21"/>
                <w:u w:val="none"/>
                <w:lang w:val="en-US" w:eastAsia="zh-CN"/>
              </w:rPr>
              <w:t>本项目所在地属于该污水处理厂的纳污范围，且区域内污水管网已经铺设完成，</w:t>
            </w:r>
            <w:r>
              <w:rPr>
                <w:rFonts w:hint="eastAsia" w:cs="宋体"/>
                <w:bCs/>
                <w:i w:val="0"/>
                <w:iCs w:val="0"/>
                <w:color w:val="auto"/>
                <w:sz w:val="24"/>
                <w:szCs w:val="21"/>
                <w:u w:val="none"/>
                <w:lang w:val="en-US" w:eastAsia="zh-CN"/>
              </w:rPr>
              <w:t>污水处理厂预计可于今年下半年建成运行，与本项目交房日期同步，</w:t>
            </w:r>
            <w:r>
              <w:rPr>
                <w:rFonts w:hint="eastAsia" w:ascii="Times New Roman" w:hAnsi="Times New Roman" w:eastAsia="宋体" w:cs="宋体"/>
                <w:bCs/>
                <w:i w:val="0"/>
                <w:iCs w:val="0"/>
                <w:color w:val="auto"/>
                <w:sz w:val="24"/>
                <w:szCs w:val="21"/>
                <w:u w:val="none"/>
                <w:lang w:val="en-US" w:eastAsia="zh-CN"/>
              </w:rPr>
              <w:t>因此项目废水可接入该污水处理厂</w:t>
            </w:r>
            <w:r>
              <w:rPr>
                <w:rFonts w:hint="eastAsia" w:cs="宋体"/>
                <w:bCs/>
                <w:i w:val="0"/>
                <w:iCs w:val="0"/>
                <w:color w:val="auto"/>
                <w:sz w:val="24"/>
                <w:szCs w:val="21"/>
                <w:u w:val="none"/>
                <w:lang w:val="en-US" w:eastAsia="zh-CN"/>
              </w:rPr>
              <w:t>；污水处理厂日处理3</w:t>
            </w:r>
            <w:r>
              <w:rPr>
                <w:rFonts w:hint="eastAsia" w:ascii="Times New Roman" w:hAnsi="Times New Roman" w:eastAsia="宋体" w:cs="宋体"/>
                <w:bCs/>
                <w:i w:val="0"/>
                <w:iCs w:val="0"/>
                <w:color w:val="auto"/>
                <w:sz w:val="24"/>
                <w:szCs w:val="21"/>
                <w:u w:val="none"/>
                <w:lang w:val="en-US" w:eastAsia="zh-CN"/>
              </w:rPr>
              <w:t>00吨/天</w:t>
            </w:r>
            <w:r>
              <w:rPr>
                <w:rFonts w:hint="eastAsia" w:cs="宋体"/>
                <w:bCs/>
                <w:i w:val="0"/>
                <w:iCs w:val="0"/>
                <w:color w:val="auto"/>
                <w:sz w:val="24"/>
                <w:szCs w:val="21"/>
                <w:u w:val="none"/>
                <w:lang w:val="en-US" w:eastAsia="zh-CN"/>
              </w:rPr>
              <w:t>，本项目日污水量仅为80</w:t>
            </w:r>
            <w:r>
              <w:rPr>
                <w:rFonts w:hint="eastAsia" w:ascii="Times New Roman" w:hAnsi="Times New Roman" w:eastAsia="宋体" w:cs="宋体"/>
                <w:bCs/>
                <w:i w:val="0"/>
                <w:iCs w:val="0"/>
                <w:color w:val="auto"/>
                <w:sz w:val="24"/>
                <w:szCs w:val="21"/>
                <w:u w:val="none"/>
                <w:lang w:val="en-US" w:eastAsia="zh-CN"/>
              </w:rPr>
              <w:t>吨/天</w:t>
            </w:r>
            <w:r>
              <w:rPr>
                <w:rFonts w:hint="eastAsia" w:cs="宋体"/>
                <w:bCs/>
                <w:i w:val="0"/>
                <w:iCs w:val="0"/>
                <w:color w:val="auto"/>
                <w:sz w:val="24"/>
                <w:szCs w:val="21"/>
                <w:u w:val="none"/>
                <w:lang w:val="en-US" w:eastAsia="zh-CN"/>
              </w:rPr>
              <w:t>，该污水处理厂可有效接纳本项目污水</w:t>
            </w:r>
            <w:r>
              <w:rPr>
                <w:rFonts w:hint="eastAsia" w:ascii="Times New Roman" w:hAnsi="Times New Roman" w:eastAsia="宋体" w:cs="宋体"/>
                <w:bCs/>
                <w:i w:val="0"/>
                <w:iCs w:val="0"/>
                <w:color w:val="auto"/>
                <w:sz w:val="24"/>
                <w:szCs w:val="21"/>
                <w:u w:val="none"/>
                <w:lang w:val="en-US" w:eastAsia="zh-CN"/>
              </w:rPr>
              <w:t>。因此，本项目废水纳入该污水处理厂处理是可行的。</w:t>
            </w:r>
          </w:p>
          <w:p>
            <w:pPr>
              <w:adjustRightInd w:val="0"/>
              <w:snapToGrid w:val="0"/>
              <w:spacing w:line="360" w:lineRule="auto"/>
              <w:ind w:firstLine="480" w:firstLineChars="200"/>
              <w:jc w:val="left"/>
              <w:rPr>
                <w:rFonts w:hint="eastAsia"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综上所述，本项目废水处理措施是可行的。</w:t>
            </w:r>
          </w:p>
          <w:p>
            <w:pPr>
              <w:numPr>
                <w:ilvl w:val="0"/>
                <w:numId w:val="0"/>
              </w:numPr>
              <w:adjustRightInd w:val="0"/>
              <w:snapToGrid w:val="0"/>
              <w:spacing w:line="360" w:lineRule="auto"/>
              <w:jc w:val="left"/>
              <w:rPr>
                <w:rFonts w:hint="default" w:eastAsia="宋体" w:cs="宋体"/>
                <w:b/>
                <w:color w:val="auto"/>
                <w:spacing w:val="-10"/>
                <w:sz w:val="24"/>
                <w:szCs w:val="21"/>
                <w:lang w:val="en-US" w:eastAsia="zh-CN"/>
              </w:rPr>
            </w:pPr>
            <w:r>
              <w:rPr>
                <w:rFonts w:hint="eastAsia" w:cs="宋体"/>
                <w:b/>
                <w:color w:val="auto"/>
                <w:spacing w:val="-10"/>
                <w:sz w:val="24"/>
                <w:szCs w:val="21"/>
                <w:lang w:val="en-US" w:eastAsia="zh-CN"/>
              </w:rPr>
              <w:t>4、</w:t>
            </w:r>
            <w:r>
              <w:rPr>
                <w:rFonts w:hint="eastAsia" w:cs="宋体"/>
                <w:b/>
                <w:color w:val="auto"/>
                <w:spacing w:val="-10"/>
                <w:sz w:val="24"/>
                <w:szCs w:val="21"/>
              </w:rPr>
              <w:t>声环境</w:t>
            </w:r>
            <w:r>
              <w:rPr>
                <w:rFonts w:hint="eastAsia" w:cs="宋体"/>
                <w:b/>
                <w:color w:val="auto"/>
                <w:spacing w:val="-10"/>
                <w:sz w:val="24"/>
                <w:szCs w:val="21"/>
                <w:lang w:val="en-US" w:eastAsia="zh-CN"/>
              </w:rPr>
              <w:t>保护措施</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default" w:ascii="Times New Roman" w:hAnsi="Times New Roman" w:eastAsia="宋体" w:cs="宋体"/>
                <w:bCs/>
                <w:i w:val="0"/>
                <w:iCs w:val="0"/>
                <w:color w:val="auto"/>
                <w:sz w:val="24"/>
                <w:szCs w:val="21"/>
                <w:u w:val="none"/>
                <w:lang w:val="en-US" w:eastAsia="zh-CN"/>
              </w:rPr>
              <w:t>（</w:t>
            </w:r>
            <w:r>
              <w:rPr>
                <w:rFonts w:hint="eastAsia" w:ascii="Times New Roman" w:hAnsi="Times New Roman" w:eastAsia="宋体" w:cs="宋体"/>
                <w:bCs/>
                <w:i w:val="0"/>
                <w:iCs w:val="0"/>
                <w:color w:val="auto"/>
                <w:sz w:val="24"/>
                <w:szCs w:val="21"/>
                <w:u w:val="none"/>
                <w:lang w:val="en-US" w:eastAsia="zh-CN"/>
              </w:rPr>
              <w:t>1</w:t>
            </w:r>
            <w:r>
              <w:rPr>
                <w:rFonts w:hint="default" w:ascii="Times New Roman" w:hAnsi="Times New Roman" w:eastAsia="宋体" w:cs="宋体"/>
                <w:bCs/>
                <w:i w:val="0"/>
                <w:iCs w:val="0"/>
                <w:color w:val="auto"/>
                <w:sz w:val="24"/>
                <w:szCs w:val="21"/>
                <w:u w:val="none"/>
                <w:lang w:val="en-US" w:eastAsia="zh-CN"/>
              </w:rPr>
              <w:t>）地面设备噪声</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变配电室位于场地西南角，采用吸声、基础减震等措施，通过建筑物隔声后，对外界影响较小，不会影响到校区的正常运行。少量</w:t>
            </w:r>
            <w:r>
              <w:rPr>
                <w:rFonts w:hint="default" w:ascii="Times New Roman" w:hAnsi="Times New Roman" w:eastAsia="宋体" w:cs="宋体"/>
                <w:bCs/>
                <w:i w:val="0"/>
                <w:iCs w:val="0"/>
                <w:color w:val="auto"/>
                <w:sz w:val="24"/>
                <w:szCs w:val="21"/>
                <w:u w:val="none"/>
                <w:lang w:val="en-US" w:eastAsia="zh-CN"/>
              </w:rPr>
              <w:t>空调</w:t>
            </w:r>
            <w:r>
              <w:rPr>
                <w:rFonts w:hint="eastAsia" w:ascii="Times New Roman" w:hAnsi="Times New Roman" w:eastAsia="宋体" w:cs="宋体"/>
                <w:bCs/>
                <w:i w:val="0"/>
                <w:iCs w:val="0"/>
                <w:color w:val="auto"/>
                <w:sz w:val="24"/>
                <w:szCs w:val="21"/>
                <w:u w:val="none"/>
                <w:lang w:val="en-US" w:eastAsia="zh-CN"/>
              </w:rPr>
              <w:t>外机</w:t>
            </w:r>
            <w:r>
              <w:rPr>
                <w:rFonts w:hint="default" w:ascii="Times New Roman" w:hAnsi="Times New Roman" w:eastAsia="宋体" w:cs="宋体"/>
                <w:bCs/>
                <w:i w:val="0"/>
                <w:iCs w:val="0"/>
                <w:color w:val="auto"/>
                <w:sz w:val="24"/>
                <w:szCs w:val="21"/>
                <w:u w:val="none"/>
                <w:lang w:val="en-US" w:eastAsia="zh-CN"/>
              </w:rPr>
              <w:t>选用低噪声型号，并按设计位置布置，基础设减振垫；同时加强设备的日常检修和维护。</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本项目电梯机组安装于每栋楼房顶楼位置，设置于密闭房间内。经墙壁隔声后噪声可大大降低。</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default" w:ascii="Times New Roman" w:hAnsi="Times New Roman" w:eastAsia="宋体" w:cs="宋体"/>
                <w:bCs/>
                <w:i w:val="0"/>
                <w:iCs w:val="0"/>
                <w:color w:val="auto"/>
                <w:sz w:val="24"/>
                <w:szCs w:val="21"/>
                <w:u w:val="none"/>
                <w:lang w:val="en-US" w:eastAsia="zh-CN"/>
              </w:rPr>
              <w:t>（</w:t>
            </w:r>
            <w:r>
              <w:rPr>
                <w:rFonts w:hint="eastAsia" w:ascii="Times New Roman" w:hAnsi="Times New Roman" w:eastAsia="宋体" w:cs="宋体"/>
                <w:bCs/>
                <w:i w:val="0"/>
                <w:iCs w:val="0"/>
                <w:color w:val="auto"/>
                <w:sz w:val="24"/>
                <w:szCs w:val="21"/>
                <w:u w:val="none"/>
                <w:lang w:val="en-US" w:eastAsia="zh-CN"/>
              </w:rPr>
              <w:t>2</w:t>
            </w:r>
            <w:r>
              <w:rPr>
                <w:rFonts w:hint="default" w:ascii="Times New Roman" w:hAnsi="Times New Roman" w:eastAsia="宋体" w:cs="宋体"/>
                <w:bCs/>
                <w:i w:val="0"/>
                <w:iCs w:val="0"/>
                <w:color w:val="auto"/>
                <w:sz w:val="24"/>
                <w:szCs w:val="21"/>
                <w:u w:val="none"/>
                <w:lang w:val="en-US" w:eastAsia="zh-CN"/>
              </w:rPr>
              <w:t>）人群活动噪声</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①车辆</w:t>
            </w:r>
            <w:r>
              <w:rPr>
                <w:rFonts w:hint="default" w:ascii="Times New Roman" w:hAnsi="Times New Roman" w:eastAsia="宋体" w:cs="宋体"/>
                <w:bCs/>
                <w:i w:val="0"/>
                <w:iCs w:val="0"/>
                <w:color w:val="auto"/>
                <w:sz w:val="24"/>
                <w:szCs w:val="21"/>
                <w:u w:val="none"/>
                <w:lang w:val="en-US" w:eastAsia="zh-CN"/>
              </w:rPr>
              <w:t>出入口设置禁鸣和限速标志，严格控制车辆出入时的车速</w:t>
            </w:r>
            <w:r>
              <w:rPr>
                <w:rFonts w:hint="eastAsia" w:ascii="Times New Roman" w:hAnsi="Times New Roman" w:eastAsia="宋体" w:cs="宋体"/>
                <w:bCs/>
                <w:i w:val="0"/>
                <w:iCs w:val="0"/>
                <w:color w:val="auto"/>
                <w:sz w:val="24"/>
                <w:szCs w:val="21"/>
                <w:u w:val="none"/>
                <w:lang w:val="en-US" w:eastAsia="zh-CN"/>
              </w:rPr>
              <w:t>以及数量，合理安排行车路线</w:t>
            </w:r>
            <w:r>
              <w:rPr>
                <w:rFonts w:hint="default" w:ascii="Times New Roman" w:hAnsi="Times New Roman" w:eastAsia="宋体" w:cs="宋体"/>
                <w:bCs/>
                <w:i w:val="0"/>
                <w:iCs w:val="0"/>
                <w:color w:val="auto"/>
                <w:sz w:val="24"/>
                <w:szCs w:val="21"/>
                <w:u w:val="none"/>
                <w:lang w:val="en-US" w:eastAsia="zh-CN"/>
              </w:rPr>
              <w:t>。</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②</w:t>
            </w:r>
            <w:r>
              <w:rPr>
                <w:rFonts w:hint="default" w:ascii="Times New Roman" w:hAnsi="Times New Roman" w:eastAsia="宋体" w:cs="宋体"/>
                <w:bCs/>
                <w:i w:val="0"/>
                <w:iCs w:val="0"/>
                <w:color w:val="auto"/>
                <w:sz w:val="24"/>
                <w:szCs w:val="21"/>
                <w:u w:val="none"/>
                <w:lang w:val="en-US" w:eastAsia="zh-CN"/>
              </w:rPr>
              <w:t>并应注意合理布局</w:t>
            </w:r>
            <w:r>
              <w:rPr>
                <w:rFonts w:hint="eastAsia" w:ascii="Times New Roman" w:hAnsi="Times New Roman" w:eastAsia="宋体" w:cs="宋体"/>
                <w:bCs/>
                <w:i w:val="0"/>
                <w:iCs w:val="0"/>
                <w:color w:val="auto"/>
                <w:sz w:val="24"/>
                <w:szCs w:val="21"/>
                <w:u w:val="none"/>
                <w:lang w:val="en-US" w:eastAsia="zh-CN"/>
              </w:rPr>
              <w:t>，将主出入口以及大型休闲场地布置在离周边居民较远的南部位置</w:t>
            </w:r>
            <w:r>
              <w:rPr>
                <w:rFonts w:hint="default" w:ascii="Times New Roman" w:hAnsi="Times New Roman" w:eastAsia="宋体" w:cs="宋体"/>
                <w:bCs/>
                <w:i w:val="0"/>
                <w:iCs w:val="0"/>
                <w:color w:val="auto"/>
                <w:sz w:val="24"/>
                <w:szCs w:val="21"/>
                <w:u w:val="none"/>
                <w:lang w:val="en-US" w:eastAsia="zh-CN"/>
              </w:rPr>
              <w:t>。</w:t>
            </w:r>
          </w:p>
          <w:p>
            <w:pPr>
              <w:adjustRightInd w:val="0"/>
              <w:snapToGrid w:val="0"/>
              <w:spacing w:line="360" w:lineRule="auto"/>
              <w:ind w:firstLine="480" w:firstLineChars="200"/>
              <w:jc w:val="left"/>
              <w:rPr>
                <w:rFonts w:hint="default" w:ascii="Times New Roman" w:hAnsi="Times New Roman" w:eastAsia="宋体" w:cs="Times New Roman"/>
                <w:color w:val="auto"/>
                <w:sz w:val="24"/>
              </w:rPr>
            </w:pPr>
            <w:r>
              <w:rPr>
                <w:rFonts w:hint="eastAsia" w:ascii="Times New Roman" w:hAnsi="Times New Roman" w:eastAsia="宋体" w:cs="宋体"/>
                <w:bCs/>
                <w:i w:val="0"/>
                <w:iCs w:val="0"/>
                <w:color w:val="auto"/>
                <w:sz w:val="24"/>
                <w:szCs w:val="21"/>
                <w:u w:val="none"/>
                <w:lang w:val="en-US" w:eastAsia="zh-CN"/>
              </w:rPr>
              <w:t>③</w:t>
            </w:r>
            <w:r>
              <w:rPr>
                <w:rFonts w:hint="default" w:ascii="Times New Roman" w:hAnsi="Times New Roman" w:eastAsia="宋体" w:cs="宋体"/>
                <w:bCs/>
                <w:i w:val="0"/>
                <w:iCs w:val="0"/>
                <w:color w:val="auto"/>
                <w:sz w:val="24"/>
                <w:szCs w:val="21"/>
                <w:u w:val="none"/>
                <w:lang w:val="en-US" w:eastAsia="zh-CN"/>
              </w:rPr>
              <w:t>应少用或不用高音喇叭，</w:t>
            </w:r>
            <w:r>
              <w:rPr>
                <w:rFonts w:hint="eastAsia" w:ascii="Times New Roman" w:hAnsi="Times New Roman" w:eastAsia="宋体" w:cs="宋体"/>
                <w:bCs/>
                <w:i w:val="0"/>
                <w:iCs w:val="0"/>
                <w:color w:val="auto"/>
                <w:sz w:val="24"/>
                <w:szCs w:val="21"/>
                <w:u w:val="none"/>
                <w:lang w:val="en-US" w:eastAsia="zh-CN"/>
              </w:rPr>
              <w:t>娱乐</w:t>
            </w:r>
            <w:r>
              <w:rPr>
                <w:rFonts w:hint="default" w:ascii="Times New Roman" w:hAnsi="Times New Roman" w:eastAsia="宋体" w:cs="宋体"/>
                <w:bCs/>
                <w:i w:val="0"/>
                <w:iCs w:val="0"/>
                <w:color w:val="auto"/>
                <w:sz w:val="24"/>
                <w:szCs w:val="21"/>
                <w:u w:val="none"/>
                <w:lang w:val="en-US" w:eastAsia="zh-CN"/>
              </w:rPr>
              <w:t>必需可采取多个低音喇叭布局</w:t>
            </w:r>
            <w:r>
              <w:rPr>
                <w:rFonts w:hint="default" w:ascii="Times New Roman" w:hAnsi="Times New Roman" w:eastAsia="宋体" w:cs="Times New Roman"/>
                <w:color w:val="auto"/>
                <w:sz w:val="24"/>
              </w:rPr>
              <w:t>。</w:t>
            </w:r>
          </w:p>
          <w:p>
            <w:pPr>
              <w:adjustRightInd w:val="0"/>
              <w:snapToGrid w:val="0"/>
              <w:jc w:val="center"/>
              <w:rPr>
                <w:rFonts w:hint="default" w:ascii="Times New Roman" w:hAnsi="Times New Roman" w:eastAsia="宋体" w:cs="Times New Roman"/>
                <w:b/>
                <w:color w:val="auto"/>
                <w:sz w:val="24"/>
                <w:szCs w:val="21"/>
                <w:lang w:val="en-US" w:eastAsia="zh-CN"/>
              </w:rPr>
            </w:pPr>
            <w:r>
              <w:rPr>
                <w:rFonts w:hint="default" w:ascii="Times New Roman" w:hAnsi="Times New Roman" w:eastAsia="宋体" w:cs="Times New Roman"/>
                <w:b/>
                <w:color w:val="auto"/>
                <w:sz w:val="24"/>
                <w:szCs w:val="21"/>
                <w:lang w:val="en-US" w:eastAsia="zh-CN"/>
              </w:rPr>
              <w:t>表</w:t>
            </w:r>
            <w:r>
              <w:rPr>
                <w:rFonts w:hint="eastAsia" w:ascii="Times New Roman" w:hAnsi="Times New Roman" w:eastAsia="宋体" w:cs="Times New Roman"/>
                <w:b/>
                <w:color w:val="auto"/>
                <w:sz w:val="24"/>
                <w:szCs w:val="21"/>
                <w:lang w:val="en-US" w:eastAsia="zh-CN"/>
              </w:rPr>
              <w:t>5-1</w:t>
            </w:r>
            <w:r>
              <w:rPr>
                <w:rFonts w:hint="default" w:ascii="Times New Roman" w:hAnsi="Times New Roman" w:eastAsia="宋体" w:cs="Times New Roman"/>
                <w:b/>
                <w:color w:val="auto"/>
                <w:sz w:val="24"/>
                <w:szCs w:val="21"/>
                <w:lang w:val="en-US" w:eastAsia="zh-CN"/>
              </w:rPr>
              <w:t xml:space="preserve">  </w:t>
            </w:r>
            <w:r>
              <w:rPr>
                <w:rFonts w:hint="eastAsia" w:ascii="Times New Roman" w:hAnsi="Times New Roman" w:eastAsia="宋体" w:cs="Times New Roman"/>
                <w:b/>
                <w:color w:val="auto"/>
                <w:sz w:val="24"/>
                <w:szCs w:val="21"/>
                <w:lang w:val="en-US" w:eastAsia="zh-CN"/>
              </w:rPr>
              <w:t>噪声防治措施一览表</w:t>
            </w:r>
          </w:p>
          <w:tbl>
            <w:tblPr>
              <w:tblStyle w:val="22"/>
              <w:tblW w:w="793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011"/>
              <w:gridCol w:w="1644"/>
              <w:gridCol w:w="2142"/>
              <w:gridCol w:w="21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11" w:type="dxa"/>
                  <w:tcBorders>
                    <w:tl2br w:val="nil"/>
                    <w:tr2bl w:val="nil"/>
                  </w:tcBorders>
                  <w:noWrap w:val="0"/>
                  <w:vAlign w:val="center"/>
                </w:tcPr>
                <w:p>
                  <w:pPr>
                    <w:jc w:val="center"/>
                    <w:rPr>
                      <w:rFonts w:hint="eastAsia" w:ascii="Times New Roman" w:hAnsi="Times New Roman" w:eastAsia="宋体" w:cs="Times New Roman"/>
                      <w:b/>
                      <w:bCs/>
                      <w:color w:val="auto"/>
                      <w:szCs w:val="21"/>
                      <w:lang w:eastAsia="zh-CN"/>
                    </w:rPr>
                  </w:pPr>
                  <w:r>
                    <w:rPr>
                      <w:rFonts w:hint="eastAsia" w:ascii="Times New Roman" w:hAnsi="Times New Roman" w:eastAsia="宋体" w:cs="Times New Roman"/>
                      <w:b/>
                      <w:bCs/>
                      <w:color w:val="auto"/>
                      <w:szCs w:val="21"/>
                      <w:lang w:eastAsia="zh-CN"/>
                    </w:rPr>
                    <w:t>噪声源名称</w:t>
                  </w:r>
                </w:p>
              </w:tc>
              <w:tc>
                <w:tcPr>
                  <w:tcW w:w="1644" w:type="dxa"/>
                  <w:tcBorders>
                    <w:tl2br w:val="nil"/>
                    <w:tr2bl w:val="nil"/>
                  </w:tcBorders>
                  <w:noWrap w:val="0"/>
                  <w:vAlign w:val="center"/>
                </w:tcPr>
                <w:p>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源强值</w:t>
                  </w:r>
                </w:p>
              </w:tc>
              <w:tc>
                <w:tcPr>
                  <w:tcW w:w="2142" w:type="dxa"/>
                  <w:tcBorders>
                    <w:tl2br w:val="nil"/>
                    <w:tr2bl w:val="nil"/>
                  </w:tcBorders>
                  <w:noWrap w:val="0"/>
                  <w:vAlign w:val="center"/>
                </w:tcPr>
                <w:p>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备注</w:t>
                  </w:r>
                </w:p>
              </w:tc>
              <w:tc>
                <w:tcPr>
                  <w:tcW w:w="2140" w:type="dxa"/>
                  <w:tcBorders>
                    <w:tl2br w:val="nil"/>
                    <w:tr2bl w:val="nil"/>
                  </w:tcBorders>
                  <w:noWrap w:val="0"/>
                  <w:vAlign w:val="center"/>
                </w:tcPr>
                <w:p>
                  <w:pPr>
                    <w:jc w:val="center"/>
                    <w:rPr>
                      <w:rFonts w:hint="eastAsia" w:ascii="Times New Roman" w:hAnsi="Times New Roman" w:eastAsia="宋体" w:cs="Times New Roman"/>
                      <w:b/>
                      <w:bCs/>
                      <w:color w:val="auto"/>
                      <w:szCs w:val="21"/>
                      <w:lang w:eastAsia="zh-CN"/>
                    </w:rPr>
                  </w:pPr>
                  <w:r>
                    <w:rPr>
                      <w:rFonts w:hint="eastAsia" w:ascii="Times New Roman" w:hAnsi="Times New Roman" w:eastAsia="宋体" w:cs="Times New Roman"/>
                      <w:b/>
                      <w:bCs/>
                      <w:color w:val="auto"/>
                      <w:szCs w:val="21"/>
                      <w:lang w:eastAsia="zh-CN"/>
                    </w:rPr>
                    <w:t>处理后噪声值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11" w:type="dxa"/>
                  <w:vMerge w:val="restart"/>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小型汽车行驶</w:t>
                  </w:r>
                </w:p>
              </w:tc>
              <w:tc>
                <w:tcPr>
                  <w:tcW w:w="1644"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怠速50～60</w:t>
                  </w:r>
                </w:p>
              </w:tc>
              <w:tc>
                <w:tcPr>
                  <w:tcW w:w="2142" w:type="dxa"/>
                  <w:vMerge w:val="restart"/>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color w:val="auto"/>
                      <w:szCs w:val="21"/>
                    </w:rPr>
                    <w:t>采取禁鸣喇叭、控制进入车辆数量、控制行车路线</w:t>
                  </w:r>
                </w:p>
              </w:tc>
              <w:tc>
                <w:tcPr>
                  <w:tcW w:w="2140" w:type="dxa"/>
                  <w:tcBorders>
                    <w:tl2br w:val="nil"/>
                    <w:tr2bl w:val="nil"/>
                  </w:tcBorders>
                  <w:noWrap w:val="0"/>
                  <w:vAlign w:val="center"/>
                </w:tcPr>
                <w:p>
                  <w:pPr>
                    <w:spacing w:line="240" w:lineRule="atLeast"/>
                    <w:jc w:val="center"/>
                    <w:rPr>
                      <w:rFonts w:hint="eastAsia" w:ascii="Times New Roman" w:hAnsi="Times New Roman" w:eastAsia="等线" w:cs="Times New Roman"/>
                      <w:color w:val="auto"/>
                      <w:szCs w:val="21"/>
                      <w:lang w:val="en-US" w:eastAsia="zh-CN"/>
                    </w:rPr>
                  </w:pPr>
                  <w:r>
                    <w:rPr>
                      <w:rFonts w:hint="default" w:ascii="Times New Roman" w:hAnsi="Times New Roman" w:cs="Times New Roman"/>
                      <w:color w:val="auto"/>
                      <w:szCs w:val="21"/>
                    </w:rPr>
                    <w:t>＜</w:t>
                  </w:r>
                  <w:r>
                    <w:rPr>
                      <w:rFonts w:hint="eastAsia" w:ascii="Times New Roman" w:hAnsi="Times New Roman" w:cs="Times New Roman"/>
                      <w:color w:val="auto"/>
                      <w:szCs w:val="21"/>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2011"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1644"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正常60～70</w:t>
                  </w:r>
                </w:p>
              </w:tc>
              <w:tc>
                <w:tcPr>
                  <w:tcW w:w="2142"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2140" w:type="dxa"/>
                  <w:tcBorders>
                    <w:tl2br w:val="nil"/>
                    <w:tr2bl w:val="nil"/>
                  </w:tcBorders>
                  <w:noWrap w:val="0"/>
                  <w:vAlign w:val="center"/>
                </w:tcPr>
                <w:p>
                  <w:pPr>
                    <w:spacing w:line="240" w:lineRule="atLeast"/>
                    <w:jc w:val="center"/>
                    <w:rPr>
                      <w:rFonts w:hint="eastAsia" w:ascii="Times New Roman" w:hAnsi="Times New Roman" w:eastAsia="等线" w:cs="Times New Roman"/>
                      <w:color w:val="auto"/>
                      <w:szCs w:val="21"/>
                      <w:lang w:val="en-US" w:eastAsia="zh-CN"/>
                    </w:rPr>
                  </w:pPr>
                  <w:r>
                    <w:rPr>
                      <w:rFonts w:hint="default" w:ascii="Times New Roman" w:hAnsi="Times New Roman" w:cs="Times New Roman"/>
                      <w:color w:val="auto"/>
                      <w:szCs w:val="21"/>
                    </w:rPr>
                    <w:t>＜</w:t>
                  </w:r>
                  <w:r>
                    <w:rPr>
                      <w:rFonts w:hint="eastAsia" w:ascii="Times New Roman" w:hAnsi="Times New Roman" w:cs="Times New Roman"/>
                      <w:color w:val="auto"/>
                      <w:szCs w:val="21"/>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11"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1644"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highlight w:val="none"/>
                    </w:rPr>
                    <w:t>鸣笛</w:t>
                  </w:r>
                  <w:r>
                    <w:rPr>
                      <w:rFonts w:hint="default" w:ascii="Times New Roman" w:hAnsi="Times New Roman" w:eastAsia="宋体" w:cs="Times New Roman"/>
                      <w:color w:val="auto"/>
                      <w:szCs w:val="21"/>
                    </w:rPr>
                    <w:t>70～75</w:t>
                  </w:r>
                </w:p>
              </w:tc>
              <w:tc>
                <w:tcPr>
                  <w:tcW w:w="2142"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2140" w:type="dxa"/>
                  <w:tcBorders>
                    <w:tl2br w:val="nil"/>
                    <w:tr2bl w:val="nil"/>
                  </w:tcBorders>
                  <w:noWrap w:val="0"/>
                  <w:vAlign w:val="center"/>
                </w:tcPr>
                <w:p>
                  <w:pPr>
                    <w:spacing w:line="240" w:lineRule="atLeast"/>
                    <w:jc w:val="center"/>
                    <w:rPr>
                      <w:rFonts w:hint="eastAsia" w:ascii="Times New Roman" w:hAnsi="Times New Roman" w:eastAsia="等线" w:cs="Times New Roman"/>
                      <w:color w:val="auto"/>
                      <w:szCs w:val="21"/>
                      <w:lang w:val="en-US" w:eastAsia="zh-CN"/>
                    </w:rPr>
                  </w:pPr>
                  <w:r>
                    <w:rPr>
                      <w:rFonts w:hint="default" w:ascii="Times New Roman" w:hAnsi="Times New Roman" w:cs="Times New Roman"/>
                      <w:color w:val="auto"/>
                      <w:szCs w:val="21"/>
                    </w:rPr>
                    <w:t>＜</w:t>
                  </w:r>
                  <w:r>
                    <w:rPr>
                      <w:rFonts w:hint="eastAsia" w:ascii="Times New Roman" w:hAnsi="Times New Roman" w:cs="Times New Roman"/>
                      <w:color w:val="auto"/>
                      <w:szCs w:val="21"/>
                      <w:lang w:val="en-US" w:eastAsia="zh-CN"/>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11"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配电房</w:t>
                  </w:r>
                </w:p>
              </w:tc>
              <w:tc>
                <w:tcPr>
                  <w:tcW w:w="1644"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70～80</w:t>
                  </w:r>
                </w:p>
              </w:tc>
              <w:tc>
                <w:tcPr>
                  <w:tcW w:w="2142" w:type="dxa"/>
                  <w:vMerge w:val="restart"/>
                  <w:tcBorders>
                    <w:tl2br w:val="nil"/>
                    <w:tr2bl w:val="nil"/>
                  </w:tcBorders>
                  <w:noWrap w:val="0"/>
                  <w:vAlign w:val="center"/>
                </w:tcPr>
                <w:p>
                  <w:pPr>
                    <w:spacing w:line="240" w:lineRule="atLeast"/>
                    <w:jc w:val="center"/>
                    <w:rPr>
                      <w:rFonts w:hint="eastAsia" w:ascii="Times New Roman" w:hAnsi="Times New Roman" w:eastAsia="等线" w:cs="Times New Roman"/>
                      <w:color w:val="auto"/>
                      <w:szCs w:val="21"/>
                      <w:lang w:eastAsia="zh-CN"/>
                    </w:rPr>
                  </w:pPr>
                  <w:r>
                    <w:rPr>
                      <w:rFonts w:hint="default" w:ascii="Times New Roman" w:hAnsi="Times New Roman" w:cs="Times New Roman"/>
                      <w:color w:val="auto"/>
                      <w:szCs w:val="21"/>
                    </w:rPr>
                    <w:t>隔声、减振、消声措施，选用低噪声设备</w:t>
                  </w:r>
                  <w:r>
                    <w:rPr>
                      <w:rFonts w:hint="eastAsia" w:ascii="Times New Roman" w:hAnsi="Times New Roman" w:cs="Times New Roman"/>
                      <w:color w:val="auto"/>
                      <w:szCs w:val="21"/>
                      <w:lang w:eastAsia="zh-CN"/>
                    </w:rPr>
                    <w:t>、尽量室内安放</w:t>
                  </w:r>
                </w:p>
              </w:tc>
              <w:tc>
                <w:tcPr>
                  <w:tcW w:w="2140" w:type="dxa"/>
                  <w:tcBorders>
                    <w:tl2br w:val="nil"/>
                    <w:tr2bl w:val="nil"/>
                  </w:tcBorders>
                  <w:noWrap w:val="0"/>
                  <w:vAlign w:val="center"/>
                </w:tcPr>
                <w:p>
                  <w:pPr>
                    <w:spacing w:line="240" w:lineRule="atLeast"/>
                    <w:jc w:val="center"/>
                    <w:rPr>
                      <w:rFonts w:hint="eastAsia" w:ascii="Times New Roman" w:hAnsi="Times New Roman" w:eastAsia="等线" w:cs="Times New Roman"/>
                      <w:color w:val="auto"/>
                      <w:szCs w:val="21"/>
                      <w:lang w:val="en-US" w:eastAsia="zh-CN"/>
                    </w:rPr>
                  </w:pPr>
                  <w:r>
                    <w:rPr>
                      <w:rFonts w:hint="default" w:ascii="Times New Roman" w:hAnsi="Times New Roman" w:cs="Times New Roman"/>
                      <w:color w:val="auto"/>
                      <w:szCs w:val="21"/>
                    </w:rPr>
                    <w:t>＜</w:t>
                  </w:r>
                  <w:r>
                    <w:rPr>
                      <w:rFonts w:hint="eastAsia" w:ascii="Times New Roman" w:hAnsi="Times New Roman" w:cs="Times New Roman"/>
                      <w:color w:val="auto"/>
                      <w:szCs w:val="21"/>
                      <w:lang w:val="en-US" w:eastAsia="zh-CN"/>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11"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电梯机组</w:t>
                  </w:r>
                </w:p>
              </w:tc>
              <w:tc>
                <w:tcPr>
                  <w:tcW w:w="1644"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75～80</w:t>
                  </w:r>
                </w:p>
              </w:tc>
              <w:tc>
                <w:tcPr>
                  <w:tcW w:w="2142"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2140"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color w:val="auto"/>
                      <w:szCs w:val="21"/>
                    </w:rP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2011"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社会噪声</w:t>
                  </w:r>
                </w:p>
              </w:tc>
              <w:tc>
                <w:tcPr>
                  <w:tcW w:w="1644"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85~97</w:t>
                  </w:r>
                </w:p>
              </w:tc>
              <w:tc>
                <w:tcPr>
                  <w:tcW w:w="2142"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2140"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rPr>
                  </w:pPr>
                  <w:r>
                    <w:rPr>
                      <w:rFonts w:hint="default" w:ascii="Times New Roman" w:hAnsi="Times New Roman" w:cs="Times New Roman"/>
                      <w:color w:val="auto"/>
                      <w:szCs w:val="21"/>
                    </w:rPr>
                    <w:t>＜60</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360" w:lineRule="auto"/>
              <w:jc w:val="left"/>
              <w:textAlignment w:val="auto"/>
              <w:rPr>
                <w:rFonts w:cs="宋体"/>
                <w:b/>
                <w:color w:val="auto"/>
                <w:spacing w:val="-10"/>
                <w:sz w:val="24"/>
                <w:szCs w:val="21"/>
              </w:rPr>
            </w:pPr>
            <w:r>
              <w:rPr>
                <w:rFonts w:hint="eastAsia" w:cs="宋体"/>
                <w:b/>
                <w:color w:val="auto"/>
                <w:spacing w:val="-10"/>
                <w:sz w:val="24"/>
                <w:szCs w:val="21"/>
                <w:lang w:val="en-US" w:eastAsia="zh-CN"/>
              </w:rPr>
              <w:t>5、</w:t>
            </w:r>
            <w:r>
              <w:rPr>
                <w:rFonts w:hint="eastAsia" w:cs="宋体"/>
                <w:b/>
                <w:color w:val="auto"/>
                <w:spacing w:val="-10"/>
                <w:sz w:val="24"/>
                <w:szCs w:val="21"/>
              </w:rPr>
              <w:t>固体废弃物环境影响分析</w:t>
            </w:r>
          </w:p>
          <w:p>
            <w:pPr>
              <w:pStyle w:val="19"/>
              <w:widowControl w:val="0"/>
              <w:adjustRightInd w:val="0"/>
              <w:snapToGrid w:val="0"/>
              <w:spacing w:before="0" w:beforeAutospacing="0" w:after="0" w:afterAutospacing="0" w:line="360" w:lineRule="auto"/>
              <w:ind w:firstLine="480" w:firstLineChars="200"/>
              <w:jc w:val="left"/>
              <w:rPr>
                <w:rFonts w:hint="default" w:ascii="Times New Roman" w:hAnsi="Times New Roman" w:eastAsia="宋体" w:cs="Times New Roman"/>
                <w:color w:val="auto"/>
              </w:rPr>
            </w:pPr>
            <w:r>
              <w:rPr>
                <w:rFonts w:hint="default" w:ascii="Times New Roman" w:hAnsi="Times New Roman" w:eastAsia="宋体" w:cs="Times New Roman"/>
                <w:color w:val="auto"/>
              </w:rPr>
              <w:t>生活垃圾由校内垃圾桶收集，由校内环卫人员送至垃圾站压缩处理，</w:t>
            </w:r>
            <w:r>
              <w:rPr>
                <w:rFonts w:hint="eastAsia" w:ascii="Times New Roman" w:hAnsi="Times New Roman" w:eastAsia="宋体" w:cs="Times New Roman"/>
                <w:color w:val="auto"/>
                <w:lang w:eastAsia="zh-CN"/>
              </w:rPr>
              <w:t>之后</w:t>
            </w:r>
            <w:r>
              <w:rPr>
                <w:rFonts w:hint="default" w:ascii="Times New Roman" w:hAnsi="Times New Roman" w:eastAsia="宋体" w:cs="Times New Roman"/>
                <w:color w:val="auto"/>
              </w:rPr>
              <w:t>由环卫部门统一收集外运处理。</w:t>
            </w:r>
          </w:p>
          <w:p>
            <w:pPr>
              <w:numPr>
                <w:ilvl w:val="0"/>
                <w:numId w:val="0"/>
              </w:numPr>
              <w:adjustRightInd w:val="0"/>
              <w:snapToGrid w:val="0"/>
              <w:spacing w:line="360" w:lineRule="auto"/>
              <w:jc w:val="left"/>
              <w:rPr>
                <w:rFonts w:cs="宋体"/>
                <w:b/>
                <w:color w:val="auto"/>
                <w:spacing w:val="-10"/>
                <w:sz w:val="24"/>
                <w:szCs w:val="21"/>
              </w:rPr>
            </w:pPr>
            <w:r>
              <w:rPr>
                <w:rFonts w:hint="eastAsia" w:cs="宋体"/>
                <w:b/>
                <w:color w:val="auto"/>
                <w:spacing w:val="-10"/>
                <w:sz w:val="24"/>
                <w:szCs w:val="21"/>
                <w:lang w:val="en-US" w:eastAsia="zh-CN"/>
              </w:rPr>
              <w:t>6、</w:t>
            </w:r>
            <w:r>
              <w:rPr>
                <w:rFonts w:hint="eastAsia" w:cs="宋体"/>
                <w:b/>
                <w:color w:val="auto"/>
                <w:spacing w:val="-10"/>
                <w:sz w:val="24"/>
                <w:szCs w:val="21"/>
              </w:rPr>
              <w:t>环境风险</w:t>
            </w:r>
          </w:p>
          <w:p>
            <w:pPr>
              <w:pStyle w:val="53"/>
              <w:adjustRightInd w:val="0"/>
              <w:snapToGrid w:val="0"/>
              <w:spacing w:line="360" w:lineRule="auto"/>
              <w:ind w:firstLine="482"/>
              <w:jc w:val="left"/>
              <w:rPr>
                <w:rFonts w:hint="eastAsia"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val="en-US" w:eastAsia="zh-CN"/>
              </w:rPr>
              <w:t>6.1</w:t>
            </w:r>
            <w:r>
              <w:rPr>
                <w:rFonts w:hint="eastAsia" w:ascii="Times New Roman" w:hAnsi="Times New Roman" w:eastAsia="宋体" w:cs="Times New Roman"/>
                <w:b/>
                <w:bCs/>
                <w:color w:val="auto"/>
                <w:sz w:val="24"/>
                <w:highlight w:val="none"/>
              </w:rPr>
              <w:t>环境风险防范措施</w:t>
            </w:r>
          </w:p>
          <w:p>
            <w:pPr>
              <w:adjustRightInd w:val="0"/>
              <w:snapToGrid w:val="0"/>
              <w:spacing w:line="360" w:lineRule="auto"/>
              <w:ind w:firstLine="480" w:firstLineChars="200"/>
              <w:jc w:val="left"/>
              <w:rPr>
                <w:bCs/>
                <w:color w:val="auto"/>
                <w:sz w:val="24"/>
                <w:szCs w:val="21"/>
                <w:u w:val="none"/>
              </w:rPr>
            </w:pPr>
            <w:r>
              <w:rPr>
                <w:rFonts w:hint="eastAsia"/>
                <w:bCs/>
                <w:color w:val="auto"/>
                <w:sz w:val="24"/>
                <w:szCs w:val="21"/>
                <w:u w:val="none"/>
                <w:lang w:val="en-US" w:eastAsia="zh-CN"/>
              </w:rPr>
              <w:t>为尽量避免火灾事故对周围环境的影响，需要采取一定的防范措施：</w:t>
            </w:r>
          </w:p>
          <w:p>
            <w:pPr>
              <w:adjustRightInd w:val="0"/>
              <w:snapToGrid w:val="0"/>
              <w:spacing w:line="360" w:lineRule="auto"/>
              <w:ind w:firstLine="480" w:firstLineChars="200"/>
              <w:jc w:val="left"/>
              <w:rPr>
                <w:bCs/>
                <w:color w:val="auto"/>
                <w:sz w:val="24"/>
                <w:szCs w:val="21"/>
                <w:u w:val="none"/>
              </w:rPr>
            </w:pPr>
            <w:r>
              <w:rPr>
                <w:rFonts w:hint="eastAsia"/>
                <w:bCs/>
                <w:color w:val="auto"/>
                <w:sz w:val="24"/>
                <w:szCs w:val="21"/>
                <w:u w:val="none"/>
                <w:lang w:val="en-US" w:eastAsia="zh-CN"/>
              </w:rPr>
              <w:t>①严格按照初步设计进行施工，厨房设置燃气泄漏保护装置。</w:t>
            </w:r>
          </w:p>
          <w:p>
            <w:pPr>
              <w:numPr>
                <w:ilvl w:val="0"/>
                <w:numId w:val="0"/>
              </w:numPr>
              <w:adjustRightInd w:val="0"/>
              <w:snapToGrid w:val="0"/>
              <w:spacing w:line="360" w:lineRule="auto"/>
              <w:ind w:leftChars="200"/>
              <w:jc w:val="left"/>
              <w:rPr>
                <w:rFonts w:cs="宋体"/>
                <w:bCs/>
                <w:color w:val="auto"/>
                <w:spacing w:val="-10"/>
                <w:sz w:val="24"/>
                <w:szCs w:val="21"/>
              </w:rPr>
            </w:pPr>
            <w:r>
              <w:rPr>
                <w:rFonts w:hint="eastAsia"/>
                <w:bCs/>
                <w:color w:val="auto"/>
                <w:sz w:val="24"/>
                <w:szCs w:val="21"/>
                <w:u w:val="none"/>
                <w:lang w:val="en-US" w:eastAsia="zh-CN"/>
              </w:rPr>
              <w:t>②物业公司配合燃气单位定期对小区内天然气管道进行检修</w:t>
            </w:r>
          </w:p>
          <w:p>
            <w:pPr>
              <w:pStyle w:val="53"/>
              <w:adjustRightInd w:val="0"/>
              <w:snapToGrid w:val="0"/>
              <w:spacing w:line="360" w:lineRule="auto"/>
              <w:ind w:firstLine="482"/>
              <w:jc w:val="left"/>
              <w:rPr>
                <w:rFonts w:hint="eastAsia"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lang w:val="en-US" w:eastAsia="zh-CN"/>
              </w:rPr>
              <w:t>6.2</w:t>
            </w:r>
            <w:r>
              <w:rPr>
                <w:rFonts w:hint="eastAsia" w:ascii="Times New Roman" w:hAnsi="Times New Roman" w:eastAsia="宋体" w:cs="Times New Roman"/>
                <w:b/>
                <w:bCs/>
                <w:color w:val="auto"/>
                <w:sz w:val="24"/>
                <w:highlight w:val="none"/>
              </w:rPr>
              <w:t>环境风险应急措施</w:t>
            </w:r>
          </w:p>
          <w:p>
            <w:pPr>
              <w:adjustRightInd w:val="0"/>
              <w:snapToGrid w:val="0"/>
              <w:spacing w:line="360" w:lineRule="auto"/>
              <w:ind w:firstLine="440" w:firstLineChars="200"/>
              <w:jc w:val="left"/>
              <w:rPr>
                <w:rFonts w:cs="宋体"/>
                <w:bCs/>
                <w:color w:val="auto"/>
                <w:spacing w:val="-10"/>
                <w:sz w:val="24"/>
                <w:szCs w:val="21"/>
              </w:rPr>
            </w:pPr>
            <w:r>
              <w:rPr>
                <w:rFonts w:cs="宋体"/>
                <w:bCs/>
                <w:color w:val="auto"/>
                <w:spacing w:val="-10"/>
                <w:sz w:val="24"/>
                <w:szCs w:val="21"/>
              </w:rPr>
              <w:t>①若发生火灾，应立即使用干粉灭火器进行灭火，关闭总电源，同时视火势情况进行报警求助。</w:t>
            </w:r>
          </w:p>
          <w:p>
            <w:pPr>
              <w:adjustRightInd w:val="0"/>
              <w:snapToGrid w:val="0"/>
              <w:spacing w:line="360" w:lineRule="auto"/>
              <w:ind w:firstLine="440" w:firstLineChars="200"/>
              <w:jc w:val="left"/>
              <w:rPr>
                <w:rFonts w:cs="宋体"/>
                <w:bCs/>
                <w:color w:val="auto"/>
                <w:spacing w:val="-10"/>
                <w:sz w:val="24"/>
                <w:szCs w:val="21"/>
              </w:rPr>
            </w:pPr>
            <w:r>
              <w:rPr>
                <w:rFonts w:cs="宋体"/>
                <w:bCs/>
                <w:color w:val="auto"/>
                <w:spacing w:val="-10"/>
                <w:sz w:val="24"/>
                <w:szCs w:val="21"/>
              </w:rPr>
              <w:t>②若产生事故废水，需对事故废水进行收集，待事故后经水质检测合格后才可排放；受污染的土壤和废吸附材料及检测不达标的事故废水需交由有资质单位进行处置。</w:t>
            </w:r>
          </w:p>
          <w:p>
            <w:pPr>
              <w:pageBreakBefore w:val="0"/>
              <w:kinsoku/>
              <w:overflowPunct/>
              <w:bidi w:val="0"/>
              <w:spacing w:line="360" w:lineRule="auto"/>
              <w:jc w:val="both"/>
              <w:textAlignment w:val="auto"/>
              <w:rPr>
                <w:rFonts w:hint="default" w:ascii="Times New Roman" w:hAnsi="Times New Roman" w:cs="Times New Roman"/>
                <w:color w:val="auto"/>
                <w:sz w:val="24"/>
                <w:szCs w:val="24"/>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6" w:type="pct"/>
            <w:noWrap w:val="0"/>
            <w:vAlign w:val="center"/>
          </w:tcPr>
          <w:p>
            <w:pPr>
              <w:pStyle w:val="72"/>
              <w:bidi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其他</w:t>
            </w:r>
          </w:p>
        </w:tc>
        <w:tc>
          <w:tcPr>
            <w:tcW w:w="4523" w:type="pct"/>
            <w:noWrap w:val="0"/>
            <w:vAlign w:val="top"/>
          </w:tcPr>
          <w:p>
            <w:pPr>
              <w:pageBreakBefore w:val="0"/>
              <w:kinsoku/>
              <w:overflowPunct/>
              <w:bidi w:val="0"/>
              <w:spacing w:line="360" w:lineRule="auto"/>
              <w:jc w:val="center"/>
              <w:textAlignment w:val="auto"/>
              <w:rPr>
                <w:rFonts w:hint="default" w:ascii="Times New Roman" w:hAnsi="Times New Roman" w:eastAsia="宋体" w:cs="Times New Roman"/>
                <w:bCs/>
                <w:color w:val="auto"/>
                <w:spacing w:val="10"/>
                <w:sz w:val="24"/>
                <w:szCs w:val="24"/>
                <w:lang w:val="en-US" w:eastAsia="zh-CN"/>
              </w:rPr>
            </w:pPr>
            <w:r>
              <w:rPr>
                <w:rFonts w:hint="eastAsia" w:eastAsia="宋体" w:cs="Times New Roman"/>
                <w:bCs/>
                <w:color w:val="auto"/>
                <w:spacing w:val="10"/>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6" w:type="pct"/>
            <w:noWrap w:val="0"/>
            <w:vAlign w:val="center"/>
          </w:tcPr>
          <w:p>
            <w:pPr>
              <w:pStyle w:val="72"/>
              <w:bidi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环保投资</w:t>
            </w:r>
          </w:p>
        </w:tc>
        <w:tc>
          <w:tcPr>
            <w:tcW w:w="4523" w:type="pct"/>
            <w:noWrap w:val="0"/>
            <w:vAlign w:val="top"/>
          </w:tcPr>
          <w:p>
            <w:pPr>
              <w:pStyle w:val="49"/>
              <w:spacing w:line="360" w:lineRule="auto"/>
              <w:jc w:val="left"/>
              <w:rPr>
                <w:rFonts w:cs="宋体"/>
                <w:color w:val="auto"/>
                <w:sz w:val="24"/>
                <w:szCs w:val="21"/>
              </w:rPr>
            </w:pPr>
            <w:r>
              <w:rPr>
                <w:rFonts w:hint="eastAsia" w:cs="宋体"/>
                <w:b/>
                <w:bCs/>
                <w:color w:val="auto"/>
                <w:sz w:val="24"/>
                <w:szCs w:val="21"/>
                <w:lang w:val="en-US" w:eastAsia="zh-CN"/>
              </w:rPr>
              <w:t>1、</w:t>
            </w:r>
            <w:r>
              <w:rPr>
                <w:rFonts w:cs="宋体"/>
                <w:b/>
                <w:bCs/>
                <w:color w:val="auto"/>
                <w:sz w:val="24"/>
                <w:szCs w:val="21"/>
              </w:rPr>
              <w:t>环保投资估算</w:t>
            </w:r>
          </w:p>
          <w:p>
            <w:pPr>
              <w:pStyle w:val="49"/>
              <w:spacing w:line="360" w:lineRule="auto"/>
              <w:ind w:firstLine="480" w:firstLineChars="200"/>
              <w:jc w:val="left"/>
              <w:rPr>
                <w:rFonts w:cs="宋体"/>
                <w:color w:val="auto"/>
                <w:sz w:val="24"/>
                <w:szCs w:val="21"/>
              </w:rPr>
            </w:pPr>
            <w:r>
              <w:rPr>
                <w:rFonts w:hint="eastAsia" w:cs="宋体"/>
                <w:color w:val="auto"/>
                <w:sz w:val="24"/>
                <w:szCs w:val="21"/>
              </w:rPr>
              <w:t>项目总投资为万</w:t>
            </w:r>
            <w:r>
              <w:rPr>
                <w:rFonts w:hint="eastAsia" w:cs="宋体"/>
                <w:color w:val="auto"/>
                <w:sz w:val="24"/>
                <w:szCs w:val="21"/>
                <w:lang w:val="en-US" w:eastAsia="zh-CN"/>
              </w:rPr>
              <w:t>19995</w:t>
            </w:r>
            <w:r>
              <w:rPr>
                <w:rFonts w:hint="eastAsia" w:cs="宋体"/>
                <w:color w:val="auto"/>
                <w:sz w:val="24"/>
                <w:szCs w:val="21"/>
              </w:rPr>
              <w:t>元，环保投资为</w:t>
            </w:r>
            <w:r>
              <w:rPr>
                <w:rFonts w:hint="eastAsia" w:cs="宋体"/>
                <w:color w:val="auto"/>
                <w:sz w:val="24"/>
                <w:szCs w:val="21"/>
                <w:lang w:val="en-US" w:eastAsia="zh-CN"/>
              </w:rPr>
              <w:t>158</w:t>
            </w:r>
            <w:r>
              <w:rPr>
                <w:rFonts w:hint="eastAsia" w:cs="宋体"/>
                <w:color w:val="auto"/>
                <w:sz w:val="24"/>
                <w:szCs w:val="21"/>
              </w:rPr>
              <w:t>万元，占投资总额</w:t>
            </w:r>
            <w:r>
              <w:rPr>
                <w:rFonts w:hint="eastAsia" w:cs="宋体"/>
                <w:color w:val="auto"/>
                <w:sz w:val="24"/>
                <w:szCs w:val="21"/>
                <w:lang w:val="en-US" w:eastAsia="zh-CN"/>
              </w:rPr>
              <w:t>0.79</w:t>
            </w:r>
            <w:r>
              <w:rPr>
                <w:rFonts w:hint="eastAsia" w:cs="宋体"/>
                <w:color w:val="auto"/>
                <w:sz w:val="24"/>
                <w:szCs w:val="21"/>
              </w:rPr>
              <w:t>%，项目环保投资详见表</w:t>
            </w:r>
            <w:r>
              <w:rPr>
                <w:rFonts w:hint="eastAsia" w:cs="宋体"/>
                <w:color w:val="auto"/>
                <w:sz w:val="24"/>
                <w:szCs w:val="21"/>
                <w:lang w:val="en-US" w:eastAsia="zh-CN"/>
              </w:rPr>
              <w:t>5-2</w:t>
            </w:r>
            <w:r>
              <w:rPr>
                <w:rFonts w:hint="eastAsia" w:cs="宋体"/>
                <w:color w:val="auto"/>
                <w:sz w:val="24"/>
                <w:szCs w:val="21"/>
              </w:rPr>
              <w:t>。</w:t>
            </w:r>
          </w:p>
          <w:p>
            <w:pPr>
              <w:pStyle w:val="49"/>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cs="宋体"/>
                <w:b/>
                <w:bCs/>
                <w:color w:val="auto"/>
                <w:sz w:val="24"/>
                <w:szCs w:val="21"/>
              </w:rPr>
            </w:pPr>
            <w:r>
              <w:rPr>
                <w:rFonts w:hint="eastAsia" w:cs="宋体"/>
                <w:b/>
                <w:bCs/>
                <w:color w:val="auto"/>
                <w:sz w:val="24"/>
                <w:szCs w:val="21"/>
              </w:rPr>
              <w:t>表</w:t>
            </w:r>
            <w:r>
              <w:rPr>
                <w:rFonts w:hint="eastAsia" w:cs="宋体"/>
                <w:b/>
                <w:bCs/>
                <w:color w:val="auto"/>
                <w:sz w:val="24"/>
                <w:szCs w:val="21"/>
                <w:lang w:val="en-US" w:eastAsia="zh-CN"/>
              </w:rPr>
              <w:t>5-2</w:t>
            </w:r>
            <w:r>
              <w:rPr>
                <w:rFonts w:hint="eastAsia" w:cs="宋体"/>
                <w:b/>
                <w:bCs/>
                <w:color w:val="auto"/>
                <w:sz w:val="24"/>
                <w:szCs w:val="21"/>
              </w:rPr>
              <w:t xml:space="preserve"> 环保投资一览表</w:t>
            </w:r>
          </w:p>
          <w:tbl>
            <w:tblPr>
              <w:tblStyle w:val="22"/>
              <w:tblW w:w="805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14"/>
              <w:gridCol w:w="791"/>
              <w:gridCol w:w="2279"/>
              <w:gridCol w:w="2849"/>
              <w:gridCol w:w="11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14" w:type="dxa"/>
                  <w:tcBorders>
                    <w:tl2br w:val="nil"/>
                    <w:tr2bl w:val="nil"/>
                  </w:tcBorders>
                  <w:noWrap w:val="0"/>
                  <w:vAlign w:val="center"/>
                </w:tcPr>
                <w:p>
                  <w:pPr>
                    <w:snapToGrid w:val="0"/>
                    <w:jc w:val="center"/>
                    <w:rPr>
                      <w:rFonts w:hint="default" w:ascii="Times New Roman" w:hAnsi="Times New Roman" w:eastAsia="宋体" w:cs="Times New Roman"/>
                      <w:b/>
                      <w:bCs w:val="0"/>
                      <w:color w:val="auto"/>
                      <w:szCs w:val="21"/>
                    </w:rPr>
                  </w:pPr>
                  <w:r>
                    <w:rPr>
                      <w:rFonts w:hint="default" w:ascii="Times New Roman" w:hAnsi="Times New Roman" w:eastAsia="宋体" w:cs="Times New Roman"/>
                      <w:b/>
                      <w:bCs w:val="0"/>
                      <w:color w:val="auto"/>
                      <w:szCs w:val="21"/>
                    </w:rPr>
                    <w:t>工程阶段</w:t>
                  </w:r>
                </w:p>
              </w:tc>
              <w:tc>
                <w:tcPr>
                  <w:tcW w:w="791" w:type="dxa"/>
                  <w:tcBorders>
                    <w:tl2br w:val="nil"/>
                    <w:tr2bl w:val="nil"/>
                  </w:tcBorders>
                  <w:noWrap w:val="0"/>
                  <w:vAlign w:val="center"/>
                </w:tcPr>
                <w:p>
                  <w:pPr>
                    <w:snapToGrid w:val="0"/>
                    <w:jc w:val="center"/>
                    <w:rPr>
                      <w:rFonts w:hint="default" w:ascii="Times New Roman" w:hAnsi="Times New Roman" w:eastAsia="宋体" w:cs="Times New Roman"/>
                      <w:b/>
                      <w:bCs w:val="0"/>
                      <w:color w:val="auto"/>
                      <w:szCs w:val="21"/>
                    </w:rPr>
                  </w:pPr>
                  <w:r>
                    <w:rPr>
                      <w:rFonts w:hint="default" w:ascii="Times New Roman" w:hAnsi="Times New Roman" w:eastAsia="宋体" w:cs="Times New Roman"/>
                      <w:b/>
                      <w:bCs w:val="0"/>
                      <w:color w:val="auto"/>
                      <w:szCs w:val="21"/>
                    </w:rPr>
                    <w:t>类型</w:t>
                  </w:r>
                </w:p>
              </w:tc>
              <w:tc>
                <w:tcPr>
                  <w:tcW w:w="2279" w:type="dxa"/>
                  <w:tcBorders>
                    <w:tl2br w:val="nil"/>
                    <w:tr2bl w:val="nil"/>
                  </w:tcBorders>
                  <w:noWrap w:val="0"/>
                  <w:vAlign w:val="center"/>
                </w:tcPr>
                <w:p>
                  <w:pPr>
                    <w:snapToGrid w:val="0"/>
                    <w:jc w:val="center"/>
                    <w:rPr>
                      <w:rFonts w:hint="default" w:ascii="Times New Roman" w:hAnsi="Times New Roman" w:eastAsia="宋体" w:cs="Times New Roman"/>
                      <w:b/>
                      <w:bCs w:val="0"/>
                      <w:color w:val="auto"/>
                      <w:szCs w:val="21"/>
                    </w:rPr>
                  </w:pPr>
                  <w:r>
                    <w:rPr>
                      <w:rFonts w:hint="default" w:ascii="Times New Roman" w:hAnsi="Times New Roman" w:eastAsia="宋体" w:cs="Times New Roman"/>
                      <w:b/>
                      <w:bCs w:val="0"/>
                      <w:color w:val="auto"/>
                      <w:szCs w:val="21"/>
                    </w:rPr>
                    <w:t>污染源</w:t>
                  </w:r>
                </w:p>
              </w:tc>
              <w:tc>
                <w:tcPr>
                  <w:tcW w:w="2849" w:type="dxa"/>
                  <w:tcBorders>
                    <w:tl2br w:val="nil"/>
                    <w:tr2bl w:val="nil"/>
                  </w:tcBorders>
                  <w:noWrap w:val="0"/>
                  <w:vAlign w:val="center"/>
                </w:tcPr>
                <w:p>
                  <w:pPr>
                    <w:snapToGrid w:val="0"/>
                    <w:jc w:val="center"/>
                    <w:rPr>
                      <w:rFonts w:hint="default" w:ascii="Times New Roman" w:hAnsi="Times New Roman" w:eastAsia="宋体" w:cs="Times New Roman"/>
                      <w:b/>
                      <w:bCs w:val="0"/>
                      <w:color w:val="auto"/>
                      <w:szCs w:val="21"/>
                    </w:rPr>
                  </w:pPr>
                  <w:r>
                    <w:rPr>
                      <w:rFonts w:hint="default" w:ascii="Times New Roman" w:hAnsi="Times New Roman" w:eastAsia="宋体" w:cs="Times New Roman"/>
                      <w:b/>
                      <w:bCs w:val="0"/>
                      <w:color w:val="auto"/>
                      <w:szCs w:val="21"/>
                    </w:rPr>
                    <w:t>污染处理设施</w:t>
                  </w:r>
                </w:p>
              </w:tc>
              <w:tc>
                <w:tcPr>
                  <w:tcW w:w="1117" w:type="dxa"/>
                  <w:tcBorders>
                    <w:tl2br w:val="nil"/>
                    <w:tr2bl w:val="nil"/>
                  </w:tcBorders>
                  <w:noWrap w:val="0"/>
                  <w:vAlign w:val="center"/>
                </w:tcPr>
                <w:p>
                  <w:pPr>
                    <w:snapToGrid w:val="0"/>
                    <w:jc w:val="center"/>
                    <w:rPr>
                      <w:rFonts w:hint="default" w:ascii="Times New Roman" w:hAnsi="Times New Roman" w:eastAsia="宋体" w:cs="Times New Roman"/>
                      <w:b/>
                      <w:bCs w:val="0"/>
                      <w:color w:val="auto"/>
                      <w:szCs w:val="21"/>
                    </w:rPr>
                  </w:pPr>
                  <w:r>
                    <w:rPr>
                      <w:rFonts w:hint="default" w:ascii="Times New Roman" w:hAnsi="Times New Roman" w:eastAsia="宋体" w:cs="Times New Roman"/>
                      <w:b/>
                      <w:bCs w:val="0"/>
                      <w:color w:val="auto"/>
                      <w:szCs w:val="21"/>
                    </w:rPr>
                    <w:t>环保投资(万元)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14" w:type="dxa"/>
                  <w:vMerge w:val="restar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运营期</w:t>
                  </w:r>
                </w:p>
              </w:tc>
              <w:tc>
                <w:tcPr>
                  <w:tcW w:w="791" w:type="dxa"/>
                  <w:vMerge w:val="restar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废气</w:t>
                  </w:r>
                </w:p>
              </w:tc>
              <w:tc>
                <w:tcPr>
                  <w:tcW w:w="2279"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u w:val="none"/>
                    </w:rPr>
                  </w:pPr>
                  <w:r>
                    <w:rPr>
                      <w:rFonts w:hint="default" w:ascii="Times New Roman" w:hAnsi="Times New Roman" w:eastAsia="宋体" w:cs="Times New Roman"/>
                      <w:color w:val="auto"/>
                      <w:szCs w:val="21"/>
                      <w:u w:val="none"/>
                    </w:rPr>
                    <w:t>停车场废气</w:t>
                  </w:r>
                </w:p>
              </w:tc>
              <w:tc>
                <w:tcPr>
                  <w:tcW w:w="2849" w:type="dxa"/>
                  <w:tcBorders>
                    <w:tl2br w:val="nil"/>
                    <w:tr2bl w:val="nil"/>
                  </w:tcBorders>
                  <w:noWrap w:val="0"/>
                  <w:vAlign w:val="center"/>
                </w:tcPr>
                <w:p>
                  <w:pPr>
                    <w:pStyle w:val="70"/>
                    <w:jc w:val="center"/>
                    <w:rPr>
                      <w:rFonts w:hint="default" w:ascii="Times New Roman" w:hAnsi="Times New Roman" w:eastAsia="宋体" w:cs="Times New Roman"/>
                      <w:color w:val="auto"/>
                      <w:szCs w:val="21"/>
                      <w:u w:val="none"/>
                    </w:rPr>
                  </w:pPr>
                  <w:r>
                    <w:rPr>
                      <w:rFonts w:hint="default" w:ascii="Times New Roman" w:hAnsi="Times New Roman" w:eastAsia="宋体" w:cs="Times New Roman"/>
                      <w:color w:val="auto"/>
                      <w:kern w:val="0"/>
                      <w:u w:val="none"/>
                    </w:rPr>
                    <w:t>加强绿化建设</w:t>
                  </w:r>
                </w:p>
              </w:tc>
              <w:tc>
                <w:tcPr>
                  <w:tcW w:w="1117"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u w:val="none"/>
                    </w:rPr>
                  </w:pPr>
                  <w:r>
                    <w:rPr>
                      <w:rFonts w:hint="eastAsia" w:cs="Times New Roman"/>
                      <w:color w:val="auto"/>
                      <w:szCs w:val="21"/>
                      <w:u w:val="none"/>
                      <w:lang w:val="en-US" w:eastAsia="zh-CN"/>
                    </w:rPr>
                    <w:t>8</w:t>
                  </w:r>
                  <w:r>
                    <w:rPr>
                      <w:rFonts w:hint="default" w:ascii="Times New Roman" w:hAnsi="Times New Roman" w:eastAsia="宋体" w:cs="Times New Roman"/>
                      <w:color w:val="auto"/>
                      <w:szCs w:val="21"/>
                      <w:u w:val="none"/>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14" w:type="dxa"/>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p>
              </w:tc>
              <w:tc>
                <w:tcPr>
                  <w:tcW w:w="791" w:type="dxa"/>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p>
              </w:tc>
              <w:tc>
                <w:tcPr>
                  <w:tcW w:w="2279" w:type="dxa"/>
                  <w:tcBorders>
                    <w:tl2br w:val="nil"/>
                    <w:tr2bl w:val="nil"/>
                  </w:tcBorders>
                  <w:shd w:val="clear" w:color="auto" w:fill="auto"/>
                  <w:noWrap w:val="0"/>
                  <w:vAlign w:val="center"/>
                </w:tcPr>
                <w:p>
                  <w:pPr>
                    <w:adjustRightInd w:val="0"/>
                    <w:snapToGrid w:val="0"/>
                    <w:jc w:val="center"/>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cs="Times New Roman"/>
                      <w:color w:val="auto"/>
                      <w:kern w:val="2"/>
                      <w:sz w:val="21"/>
                      <w:szCs w:val="21"/>
                      <w:u w:val="none"/>
                      <w:lang w:val="en-US" w:eastAsia="zh-CN" w:bidi="ar-SA"/>
                    </w:rPr>
                    <w:t>油烟废气</w:t>
                  </w:r>
                </w:p>
              </w:tc>
              <w:tc>
                <w:tcPr>
                  <w:tcW w:w="2849" w:type="dxa"/>
                  <w:tcBorders>
                    <w:tl2br w:val="nil"/>
                    <w:tr2bl w:val="nil"/>
                  </w:tcBorders>
                  <w:shd w:val="clear" w:color="auto" w:fill="auto"/>
                  <w:noWrap w:val="0"/>
                  <w:vAlign w:val="center"/>
                </w:tcPr>
                <w:p>
                  <w:pPr>
                    <w:adjustRightInd w:val="0"/>
                    <w:snapToGrid w:val="0"/>
                    <w:jc w:val="center"/>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cs="Times New Roman"/>
                      <w:color w:val="auto"/>
                      <w:kern w:val="2"/>
                      <w:sz w:val="21"/>
                      <w:szCs w:val="21"/>
                      <w:u w:val="none"/>
                      <w:lang w:val="en-US" w:eastAsia="zh-CN" w:bidi="ar-SA"/>
                    </w:rPr>
                    <w:t>居民自装油烟净化器</w:t>
                  </w:r>
                </w:p>
              </w:tc>
              <w:tc>
                <w:tcPr>
                  <w:tcW w:w="1117" w:type="dxa"/>
                  <w:tcBorders>
                    <w:tl2br w:val="nil"/>
                    <w:tr2bl w:val="nil"/>
                  </w:tcBorders>
                  <w:noWrap w:val="0"/>
                  <w:vAlign w:val="center"/>
                </w:tcPr>
                <w:p>
                  <w:pPr>
                    <w:adjustRightInd w:val="0"/>
                    <w:snapToGrid w:val="0"/>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14" w:type="dxa"/>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p>
              </w:tc>
              <w:tc>
                <w:tcPr>
                  <w:tcW w:w="791" w:type="dxa"/>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p>
              </w:tc>
              <w:tc>
                <w:tcPr>
                  <w:tcW w:w="2279"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垃圾桶恶臭</w:t>
                  </w:r>
                </w:p>
              </w:tc>
              <w:tc>
                <w:tcPr>
                  <w:tcW w:w="2849"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及时清理清运</w:t>
                  </w:r>
                </w:p>
              </w:tc>
              <w:tc>
                <w:tcPr>
                  <w:tcW w:w="1117" w:type="dxa"/>
                  <w:tcBorders>
                    <w:tl2br w:val="nil"/>
                    <w:tr2bl w:val="nil"/>
                  </w:tcBorders>
                  <w:noWrap w:val="0"/>
                  <w:vAlign w:val="center"/>
                </w:tcPr>
                <w:p>
                  <w:pPr>
                    <w:adjustRightInd w:val="0"/>
                    <w:snapToGrid w:val="0"/>
                    <w:jc w:val="center"/>
                    <w:rPr>
                      <w:rFonts w:hint="eastAsia" w:ascii="Times New Roman" w:hAnsi="Times New Roman" w:eastAsia="宋体" w:cs="Times New Roman"/>
                      <w:color w:val="auto"/>
                      <w:szCs w:val="21"/>
                      <w:u w:val="none"/>
                      <w:lang w:val="en-US" w:eastAsia="zh-CN"/>
                    </w:rPr>
                  </w:pPr>
                  <w:r>
                    <w:rPr>
                      <w:rFonts w:hint="eastAsia" w:cs="Times New Roman"/>
                      <w:color w:val="auto"/>
                      <w:szCs w:val="21"/>
                      <w:u w:val="none"/>
                      <w:lang w:val="en-US" w:eastAsia="zh-CN"/>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14" w:type="dxa"/>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p>
              </w:tc>
              <w:tc>
                <w:tcPr>
                  <w:tcW w:w="79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废水</w:t>
                  </w:r>
                </w:p>
              </w:tc>
              <w:tc>
                <w:tcPr>
                  <w:tcW w:w="2279" w:type="dxa"/>
                  <w:tcBorders>
                    <w:tl2br w:val="nil"/>
                    <w:tr2bl w:val="nil"/>
                  </w:tcBorders>
                  <w:noWrap w:val="0"/>
                  <w:vAlign w:val="center"/>
                </w:tcPr>
                <w:p>
                  <w:pPr>
                    <w:adjustRightInd w:val="0"/>
                    <w:snapToGrid w:val="0"/>
                    <w:jc w:val="center"/>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eastAsia="zh-CN"/>
                    </w:rPr>
                    <w:t>生活废水</w:t>
                  </w:r>
                </w:p>
              </w:tc>
              <w:tc>
                <w:tcPr>
                  <w:tcW w:w="2849"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化粪池</w:t>
                  </w:r>
                </w:p>
              </w:tc>
              <w:tc>
                <w:tcPr>
                  <w:tcW w:w="1117"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14" w:type="dxa"/>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p>
              </w:tc>
              <w:tc>
                <w:tcPr>
                  <w:tcW w:w="79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噪声</w:t>
                  </w:r>
                </w:p>
              </w:tc>
              <w:tc>
                <w:tcPr>
                  <w:tcW w:w="2279"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设备噪声</w:t>
                  </w:r>
                </w:p>
              </w:tc>
              <w:tc>
                <w:tcPr>
                  <w:tcW w:w="2849"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选用低噪声设备、减震、隔声措施、独立</w:t>
                  </w:r>
                  <w:r>
                    <w:rPr>
                      <w:rFonts w:hint="eastAsia" w:ascii="Times New Roman" w:hAnsi="Times New Roman" w:eastAsia="宋体" w:cs="Times New Roman"/>
                      <w:color w:val="auto"/>
                      <w:szCs w:val="21"/>
                      <w:lang w:val="en-US" w:eastAsia="zh-CN"/>
                    </w:rPr>
                    <w:t>密闭房间</w:t>
                  </w:r>
                  <w:r>
                    <w:rPr>
                      <w:rFonts w:hint="default" w:ascii="Times New Roman" w:hAnsi="Times New Roman" w:eastAsia="宋体" w:cs="Times New Roman"/>
                      <w:color w:val="auto"/>
                      <w:szCs w:val="21"/>
                    </w:rPr>
                    <w:t>等，</w:t>
                  </w:r>
                  <w:r>
                    <w:rPr>
                      <w:rFonts w:hint="eastAsia" w:ascii="Times New Roman" w:hAnsi="Times New Roman" w:eastAsia="宋体" w:cs="Times New Roman"/>
                      <w:color w:val="auto"/>
                      <w:szCs w:val="21"/>
                      <w:lang w:eastAsia="zh-CN"/>
                    </w:rPr>
                    <w:t>加强管理</w:t>
                  </w:r>
                  <w:r>
                    <w:rPr>
                      <w:rFonts w:hint="default" w:ascii="Times New Roman" w:hAnsi="Times New Roman" w:eastAsia="宋体" w:cs="Times New Roman"/>
                      <w:color w:val="auto"/>
                      <w:szCs w:val="21"/>
                    </w:rPr>
                    <w:t>等</w:t>
                  </w:r>
                </w:p>
              </w:tc>
              <w:tc>
                <w:tcPr>
                  <w:tcW w:w="1117"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3</w:t>
                  </w:r>
                  <w:r>
                    <w:rPr>
                      <w:rFonts w:hint="default" w:ascii="Times New Roman" w:hAnsi="Times New Roman" w:eastAsia="宋体" w:cs="Times New Roman"/>
                      <w:color w:val="auto"/>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741" w:hRule="atLeast"/>
                <w:jc w:val="center"/>
              </w:trPr>
              <w:tc>
                <w:tcPr>
                  <w:tcW w:w="1014" w:type="dxa"/>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p>
              </w:tc>
              <w:tc>
                <w:tcPr>
                  <w:tcW w:w="79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固废</w:t>
                  </w:r>
                </w:p>
              </w:tc>
              <w:tc>
                <w:tcPr>
                  <w:tcW w:w="2279"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生活垃圾</w:t>
                  </w:r>
                </w:p>
              </w:tc>
              <w:tc>
                <w:tcPr>
                  <w:tcW w:w="2849"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垃圾桶</w:t>
                  </w:r>
                  <w:r>
                    <w:rPr>
                      <w:rFonts w:hint="eastAsia" w:ascii="Times New Roman" w:hAnsi="Times New Roman" w:eastAsia="宋体" w:cs="Times New Roman"/>
                      <w:color w:val="auto"/>
                      <w:szCs w:val="21"/>
                      <w:lang w:val="en-US" w:eastAsia="zh-CN"/>
                    </w:rPr>
                    <w:t>+</w:t>
                  </w:r>
                  <w:r>
                    <w:rPr>
                      <w:rFonts w:hint="eastAsia" w:ascii="Times New Roman" w:hAnsi="Times New Roman" w:eastAsia="宋体" w:cs="Times New Roman"/>
                      <w:color w:val="auto"/>
                      <w:szCs w:val="21"/>
                      <w:lang w:eastAsia="zh-CN"/>
                    </w:rPr>
                    <w:t>垃圾站</w:t>
                  </w:r>
                  <w:r>
                    <w:rPr>
                      <w:rFonts w:hint="default" w:ascii="Times New Roman" w:hAnsi="Times New Roman" w:eastAsia="宋体" w:cs="Times New Roman"/>
                      <w:color w:val="auto"/>
                      <w:szCs w:val="21"/>
                    </w:rPr>
                    <w:t>收集</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环卫部门清运</w:t>
                  </w:r>
                </w:p>
              </w:tc>
              <w:tc>
                <w:tcPr>
                  <w:tcW w:w="1117"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14" w:type="dxa"/>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p>
              </w:tc>
              <w:tc>
                <w:tcPr>
                  <w:tcW w:w="5919" w:type="dxa"/>
                  <w:gridSpan w:val="3"/>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合计</w:t>
                  </w:r>
                </w:p>
              </w:tc>
              <w:tc>
                <w:tcPr>
                  <w:tcW w:w="1117"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w:t>
                  </w:r>
                  <w:r>
                    <w:rPr>
                      <w:rFonts w:hint="eastAsia" w:cs="Times New Roman"/>
                      <w:color w:val="auto"/>
                      <w:szCs w:val="21"/>
                      <w:lang w:val="en-US" w:eastAsia="zh-CN"/>
                    </w:rPr>
                    <w:t>58</w:t>
                  </w:r>
                </w:p>
              </w:tc>
            </w:tr>
          </w:tbl>
          <w:p>
            <w:pPr>
              <w:pStyle w:val="49"/>
              <w:keepNext w:val="0"/>
              <w:keepLines w:val="0"/>
              <w:pageBreakBefore w:val="0"/>
              <w:widowControl w:val="0"/>
              <w:kinsoku/>
              <w:wordWrap/>
              <w:overflowPunct/>
              <w:topLinePunct w:val="0"/>
              <w:autoSpaceDE/>
              <w:autoSpaceDN/>
              <w:bidi w:val="0"/>
              <w:adjustRightInd/>
              <w:snapToGrid/>
              <w:spacing w:before="157" w:beforeLines="50" w:line="360" w:lineRule="auto"/>
              <w:jc w:val="left"/>
              <w:textAlignment w:val="auto"/>
              <w:rPr>
                <w:rFonts w:cs="宋体"/>
                <w:b/>
                <w:bCs/>
                <w:color w:val="auto"/>
                <w:sz w:val="24"/>
                <w:szCs w:val="21"/>
              </w:rPr>
            </w:pPr>
            <w:r>
              <w:rPr>
                <w:rFonts w:hint="eastAsia" w:cs="宋体"/>
                <w:b/>
                <w:bCs/>
                <w:color w:val="auto"/>
                <w:sz w:val="24"/>
                <w:szCs w:val="21"/>
                <w:lang w:val="en-US" w:eastAsia="zh-CN"/>
              </w:rPr>
              <w:t>2、</w:t>
            </w:r>
            <w:r>
              <w:rPr>
                <w:rFonts w:hint="eastAsia" w:cs="宋体"/>
                <w:b/>
                <w:bCs/>
                <w:color w:val="auto"/>
                <w:sz w:val="24"/>
                <w:szCs w:val="21"/>
              </w:rPr>
              <w:t>竣工环境保护验收</w:t>
            </w:r>
          </w:p>
          <w:p>
            <w:pPr>
              <w:pStyle w:val="49"/>
              <w:spacing w:line="360" w:lineRule="auto"/>
              <w:ind w:firstLine="480" w:firstLineChars="200"/>
              <w:jc w:val="left"/>
              <w:rPr>
                <w:rFonts w:cs="宋体"/>
                <w:color w:val="auto"/>
                <w:sz w:val="24"/>
                <w:szCs w:val="21"/>
              </w:rPr>
            </w:pPr>
            <w:r>
              <w:rPr>
                <w:rFonts w:cs="宋体"/>
                <w:color w:val="auto"/>
                <w:sz w:val="24"/>
                <w:szCs w:val="21"/>
              </w:rPr>
              <w:t>建设项目需要配套建设的环境保护设施，必须与主体工程同时设计、同时施工、同步投产使用。建设单位应按照环境保护行政主管部门规定的标准和程序，对配套建设的环境保护设施进行验收，编制验收报告。除按照国家规定需要保密的情形外，建设单位应当依法向社会公开验收报告。建设项目配套建设的环境保护设施经验收合格，方可投入生产或者使用；未经验收或者验收不合格的，不得投入生产或者使用。</w:t>
            </w:r>
          </w:p>
          <w:p>
            <w:pPr>
              <w:pStyle w:val="49"/>
              <w:spacing w:line="360" w:lineRule="auto"/>
              <w:ind w:firstLine="480" w:firstLineChars="200"/>
              <w:jc w:val="left"/>
              <w:rPr>
                <w:rFonts w:cs="宋体"/>
                <w:color w:val="auto"/>
                <w:sz w:val="24"/>
                <w:szCs w:val="21"/>
              </w:rPr>
            </w:pPr>
            <w:r>
              <w:rPr>
                <w:rFonts w:hint="eastAsia" w:cs="宋体"/>
                <w:color w:val="auto"/>
                <w:sz w:val="24"/>
                <w:szCs w:val="21"/>
              </w:rPr>
              <w:t>项目所涉及的主要环保措施验收项目见下表：</w:t>
            </w:r>
          </w:p>
          <w:p>
            <w:pPr>
              <w:pStyle w:val="49"/>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cs="宋体"/>
                <w:b/>
                <w:bCs/>
                <w:color w:val="auto"/>
                <w:sz w:val="24"/>
                <w:szCs w:val="21"/>
                <w:lang w:val="zh-CN"/>
              </w:rPr>
            </w:pPr>
            <w:r>
              <w:rPr>
                <w:rFonts w:hint="eastAsia" w:cs="宋体"/>
                <w:b/>
                <w:bCs/>
                <w:color w:val="auto"/>
                <w:sz w:val="24"/>
                <w:szCs w:val="21"/>
                <w:lang w:val="zh-CN"/>
              </w:rPr>
              <w:t>表</w:t>
            </w:r>
            <w:r>
              <w:rPr>
                <w:rFonts w:hint="eastAsia" w:cs="宋体"/>
                <w:b/>
                <w:bCs/>
                <w:color w:val="auto"/>
                <w:sz w:val="24"/>
                <w:szCs w:val="21"/>
                <w:lang w:val="en-US" w:eastAsia="zh-CN"/>
              </w:rPr>
              <w:t>5-3</w:t>
            </w:r>
            <w:r>
              <w:rPr>
                <w:rFonts w:hint="eastAsia" w:cs="宋体"/>
                <w:b/>
                <w:bCs/>
                <w:color w:val="auto"/>
                <w:sz w:val="24"/>
                <w:szCs w:val="21"/>
                <w:lang w:val="zh-CN"/>
              </w:rPr>
              <w:t xml:space="preserve"> </w:t>
            </w:r>
            <w:r>
              <w:rPr>
                <w:rFonts w:hint="eastAsia" w:cs="宋体"/>
                <w:b/>
                <w:bCs/>
                <w:color w:val="auto"/>
                <w:sz w:val="24"/>
                <w:szCs w:val="21"/>
              </w:rPr>
              <w:t>项目竣工</w:t>
            </w:r>
            <w:r>
              <w:rPr>
                <w:rFonts w:hint="eastAsia" w:cs="宋体"/>
                <w:b/>
                <w:bCs/>
                <w:color w:val="auto"/>
                <w:sz w:val="24"/>
                <w:szCs w:val="21"/>
                <w:lang w:val="zh-CN"/>
              </w:rPr>
              <w:t>环境保护验收一览表</w:t>
            </w:r>
          </w:p>
          <w:tbl>
            <w:tblPr>
              <w:tblStyle w:val="22"/>
              <w:tblW w:w="791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31"/>
              <w:gridCol w:w="1407"/>
              <w:gridCol w:w="1443"/>
              <w:gridCol w:w="2513"/>
              <w:gridCol w:w="212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blHeader/>
              </w:trPr>
              <w:tc>
                <w:tcPr>
                  <w:tcW w:w="431" w:type="dxa"/>
                  <w:tcBorders>
                    <w:tl2br w:val="nil"/>
                    <w:tr2bl w:val="nil"/>
                  </w:tcBorders>
                  <w:shd w:val="clear" w:color="auto" w:fill="auto"/>
                  <w:vAlign w:val="center"/>
                </w:tcPr>
                <w:p>
                  <w:pPr>
                    <w:adjustRightInd w:val="0"/>
                    <w:snapToGrid w:val="0"/>
                    <w:jc w:val="center"/>
                    <w:rPr>
                      <w:b/>
                      <w:bCs/>
                      <w:snapToGrid w:val="0"/>
                      <w:color w:val="auto"/>
                      <w:sz w:val="21"/>
                      <w:szCs w:val="21"/>
                    </w:rPr>
                  </w:pPr>
                  <w:r>
                    <w:rPr>
                      <w:rFonts w:hint="eastAsia"/>
                      <w:b/>
                      <w:bCs/>
                      <w:snapToGrid w:val="0"/>
                      <w:color w:val="auto"/>
                      <w:sz w:val="21"/>
                      <w:szCs w:val="21"/>
                    </w:rPr>
                    <w:t>项目</w:t>
                  </w:r>
                </w:p>
              </w:tc>
              <w:tc>
                <w:tcPr>
                  <w:tcW w:w="1407" w:type="dxa"/>
                  <w:tcBorders>
                    <w:tl2br w:val="nil"/>
                    <w:tr2bl w:val="nil"/>
                  </w:tcBorders>
                  <w:shd w:val="clear" w:color="auto" w:fill="auto"/>
                  <w:vAlign w:val="center"/>
                </w:tcPr>
                <w:p>
                  <w:pPr>
                    <w:jc w:val="center"/>
                    <w:rPr>
                      <w:b/>
                      <w:bCs/>
                      <w:color w:val="auto"/>
                      <w:sz w:val="21"/>
                      <w:szCs w:val="21"/>
                    </w:rPr>
                  </w:pPr>
                  <w:r>
                    <w:rPr>
                      <w:rFonts w:hint="eastAsia"/>
                      <w:b/>
                      <w:color w:val="auto"/>
                      <w:sz w:val="21"/>
                      <w:szCs w:val="21"/>
                    </w:rPr>
                    <w:t>排放源</w:t>
                  </w:r>
                </w:p>
              </w:tc>
              <w:tc>
                <w:tcPr>
                  <w:tcW w:w="1443" w:type="dxa"/>
                  <w:tcBorders>
                    <w:tl2br w:val="nil"/>
                    <w:tr2bl w:val="nil"/>
                  </w:tcBorders>
                  <w:shd w:val="clear" w:color="auto" w:fill="auto"/>
                  <w:vAlign w:val="center"/>
                </w:tcPr>
                <w:p>
                  <w:pPr>
                    <w:jc w:val="center"/>
                    <w:rPr>
                      <w:b/>
                      <w:bCs/>
                      <w:color w:val="auto"/>
                      <w:sz w:val="21"/>
                      <w:szCs w:val="21"/>
                    </w:rPr>
                  </w:pPr>
                  <w:r>
                    <w:rPr>
                      <w:rFonts w:hint="eastAsia"/>
                      <w:b/>
                      <w:color w:val="auto"/>
                      <w:sz w:val="21"/>
                      <w:szCs w:val="21"/>
                    </w:rPr>
                    <w:t>污染物名称</w:t>
                  </w:r>
                </w:p>
              </w:tc>
              <w:tc>
                <w:tcPr>
                  <w:tcW w:w="2513" w:type="dxa"/>
                  <w:tcBorders>
                    <w:tl2br w:val="nil"/>
                    <w:tr2bl w:val="nil"/>
                  </w:tcBorders>
                  <w:shd w:val="clear" w:color="auto" w:fill="auto"/>
                  <w:vAlign w:val="center"/>
                </w:tcPr>
                <w:p>
                  <w:pPr>
                    <w:adjustRightInd w:val="0"/>
                    <w:snapToGrid w:val="0"/>
                    <w:jc w:val="center"/>
                    <w:rPr>
                      <w:b/>
                      <w:bCs/>
                      <w:snapToGrid w:val="0"/>
                      <w:color w:val="auto"/>
                      <w:sz w:val="21"/>
                      <w:szCs w:val="21"/>
                    </w:rPr>
                  </w:pPr>
                  <w:r>
                    <w:rPr>
                      <w:rFonts w:hint="eastAsia"/>
                      <w:b/>
                      <w:bCs/>
                      <w:snapToGrid w:val="0"/>
                      <w:color w:val="auto"/>
                      <w:sz w:val="21"/>
                      <w:szCs w:val="21"/>
                    </w:rPr>
                    <w:t>环保措施</w:t>
                  </w:r>
                </w:p>
              </w:tc>
              <w:tc>
                <w:tcPr>
                  <w:tcW w:w="2122" w:type="dxa"/>
                  <w:tcBorders>
                    <w:tl2br w:val="nil"/>
                    <w:tr2bl w:val="nil"/>
                  </w:tcBorders>
                  <w:shd w:val="clear" w:color="auto" w:fill="auto"/>
                  <w:vAlign w:val="center"/>
                </w:tcPr>
                <w:p>
                  <w:pPr>
                    <w:adjustRightInd w:val="0"/>
                    <w:snapToGrid w:val="0"/>
                    <w:jc w:val="center"/>
                    <w:rPr>
                      <w:b/>
                      <w:bCs/>
                      <w:snapToGrid w:val="0"/>
                      <w:color w:val="auto"/>
                      <w:sz w:val="21"/>
                      <w:szCs w:val="21"/>
                    </w:rPr>
                  </w:pPr>
                  <w:r>
                    <w:rPr>
                      <w:rFonts w:hint="eastAsia"/>
                      <w:b/>
                      <w:bCs/>
                      <w:snapToGrid w:val="0"/>
                      <w:color w:val="auto"/>
                      <w:sz w:val="21"/>
                      <w:szCs w:val="21"/>
                    </w:rPr>
                    <w:t>验收标准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431" w:type="dxa"/>
                  <w:tcBorders>
                    <w:tl2br w:val="nil"/>
                    <w:tr2bl w:val="nil"/>
                  </w:tcBorders>
                  <w:vAlign w:val="center"/>
                </w:tcPr>
                <w:p>
                  <w:pPr>
                    <w:adjustRightInd w:val="0"/>
                    <w:snapToGrid w:val="0"/>
                    <w:jc w:val="center"/>
                    <w:rPr>
                      <w:snapToGrid w:val="0"/>
                      <w:color w:val="auto"/>
                      <w:sz w:val="21"/>
                      <w:szCs w:val="21"/>
                    </w:rPr>
                  </w:pPr>
                  <w:r>
                    <w:rPr>
                      <w:rFonts w:hint="eastAsia"/>
                      <w:snapToGrid w:val="0"/>
                      <w:color w:val="auto"/>
                      <w:sz w:val="21"/>
                      <w:szCs w:val="21"/>
                    </w:rPr>
                    <w:t>废气</w:t>
                  </w:r>
                </w:p>
              </w:tc>
              <w:tc>
                <w:tcPr>
                  <w:tcW w:w="1407" w:type="dxa"/>
                  <w:tcBorders>
                    <w:tl2br w:val="nil"/>
                    <w:tr2bl w:val="nil"/>
                  </w:tcBorders>
                  <w:vAlign w:val="center"/>
                </w:tcPr>
                <w:p>
                  <w:pPr>
                    <w:adjustRightInd w:val="0"/>
                    <w:snapToGrid w:val="0"/>
                    <w:jc w:val="center"/>
                    <w:rPr>
                      <w:color w:val="auto"/>
                      <w:sz w:val="21"/>
                      <w:szCs w:val="21"/>
                      <w:lang w:bidi="ar"/>
                    </w:rPr>
                  </w:pPr>
                  <w:r>
                    <w:rPr>
                      <w:rFonts w:hint="eastAsia"/>
                      <w:color w:val="auto"/>
                      <w:sz w:val="21"/>
                      <w:szCs w:val="21"/>
                    </w:rPr>
                    <w:t>无组织废气</w:t>
                  </w:r>
                </w:p>
              </w:tc>
              <w:tc>
                <w:tcPr>
                  <w:tcW w:w="1443" w:type="dxa"/>
                  <w:tcBorders>
                    <w:tl2br w:val="nil"/>
                    <w:tr2bl w:val="nil"/>
                  </w:tcBorders>
                  <w:vAlign w:val="center"/>
                </w:tcPr>
                <w:p>
                  <w:pPr>
                    <w:adjustRightInd w:val="0"/>
                    <w:snapToGrid w:val="0"/>
                    <w:jc w:val="center"/>
                    <w:rPr>
                      <w:rFonts w:hint="eastAsia" w:eastAsia="宋体"/>
                      <w:color w:val="auto"/>
                      <w:sz w:val="21"/>
                      <w:szCs w:val="21"/>
                      <w:lang w:eastAsia="zh-CN" w:bidi="ar"/>
                    </w:rPr>
                  </w:pPr>
                  <w:r>
                    <w:rPr>
                      <w:rFonts w:hint="eastAsia"/>
                      <w:color w:val="auto"/>
                      <w:sz w:val="21"/>
                      <w:szCs w:val="21"/>
                      <w:lang w:val="en-US" w:eastAsia="zh-CN" w:bidi="ar"/>
                    </w:rPr>
                    <w:t>/</w:t>
                  </w:r>
                </w:p>
              </w:tc>
              <w:tc>
                <w:tcPr>
                  <w:tcW w:w="2513" w:type="dxa"/>
                  <w:tcBorders>
                    <w:tl2br w:val="nil"/>
                    <w:tr2bl w:val="nil"/>
                  </w:tcBorders>
                  <w:vAlign w:val="center"/>
                </w:tcPr>
                <w:p>
                  <w:pPr>
                    <w:pStyle w:val="54"/>
                    <w:spacing w:before="48" w:after="48"/>
                    <w:ind w:firstLine="420" w:firstLineChars="200"/>
                    <w:rPr>
                      <w:rFonts w:hint="default" w:eastAsia="宋体"/>
                      <w:color w:val="auto"/>
                      <w:szCs w:val="21"/>
                      <w:lang w:val="en-US" w:eastAsia="zh-CN"/>
                    </w:rPr>
                  </w:pPr>
                  <w:r>
                    <w:rPr>
                      <w:rFonts w:hint="eastAsia"/>
                      <w:color w:val="auto"/>
                      <w:szCs w:val="21"/>
                      <w:lang w:val="en-US" w:eastAsia="zh-CN"/>
                    </w:rPr>
                    <w:t>/</w:t>
                  </w:r>
                </w:p>
              </w:tc>
              <w:tc>
                <w:tcPr>
                  <w:tcW w:w="2122" w:type="dxa"/>
                  <w:tcBorders>
                    <w:tl2br w:val="nil"/>
                    <w:tr2bl w:val="nil"/>
                  </w:tcBorders>
                  <w:vAlign w:val="center"/>
                </w:tcPr>
                <w:p>
                  <w:pPr>
                    <w:adjustRightInd w:val="0"/>
                    <w:snapToGrid w:val="0"/>
                    <w:jc w:val="center"/>
                    <w:rPr>
                      <w:bCs/>
                      <w:color w:val="auto"/>
                      <w:sz w:val="21"/>
                      <w:szCs w:val="21"/>
                    </w:rPr>
                  </w:pPr>
                  <w:r>
                    <w:rPr>
                      <w:rFonts w:hint="eastAsia"/>
                      <w:color w:val="auto"/>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431" w:type="dxa"/>
                  <w:tcBorders>
                    <w:tl2br w:val="nil"/>
                    <w:tr2bl w:val="nil"/>
                  </w:tcBorders>
                  <w:vAlign w:val="center"/>
                </w:tcPr>
                <w:p>
                  <w:pPr>
                    <w:adjustRightInd w:val="0"/>
                    <w:snapToGrid w:val="0"/>
                    <w:jc w:val="center"/>
                    <w:rPr>
                      <w:snapToGrid w:val="0"/>
                      <w:color w:val="auto"/>
                      <w:sz w:val="21"/>
                      <w:szCs w:val="21"/>
                    </w:rPr>
                  </w:pPr>
                  <w:r>
                    <w:rPr>
                      <w:rFonts w:hint="eastAsia"/>
                      <w:snapToGrid w:val="0"/>
                      <w:color w:val="auto"/>
                      <w:sz w:val="21"/>
                      <w:szCs w:val="21"/>
                    </w:rPr>
                    <w:t>废水</w:t>
                  </w:r>
                </w:p>
              </w:tc>
              <w:tc>
                <w:tcPr>
                  <w:tcW w:w="1407" w:type="dxa"/>
                  <w:tcBorders>
                    <w:tl2br w:val="nil"/>
                    <w:tr2bl w:val="nil"/>
                  </w:tcBorders>
                  <w:vAlign w:val="center"/>
                </w:tcPr>
                <w:p>
                  <w:pPr>
                    <w:jc w:val="center"/>
                    <w:rPr>
                      <w:rFonts w:hint="default" w:eastAsia="宋体"/>
                      <w:color w:val="auto"/>
                      <w:sz w:val="21"/>
                      <w:szCs w:val="21"/>
                      <w:lang w:val="en-US" w:eastAsia="zh-CN"/>
                    </w:rPr>
                  </w:pPr>
                  <w:r>
                    <w:rPr>
                      <w:rFonts w:hint="eastAsia"/>
                      <w:color w:val="auto"/>
                      <w:sz w:val="21"/>
                      <w:szCs w:val="21"/>
                      <w:lang w:val="en-US" w:eastAsia="zh-CN"/>
                    </w:rPr>
                    <w:t>生活污水</w:t>
                  </w:r>
                </w:p>
              </w:tc>
              <w:tc>
                <w:tcPr>
                  <w:tcW w:w="1443" w:type="dxa"/>
                  <w:tcBorders>
                    <w:tl2br w:val="nil"/>
                    <w:tr2bl w:val="nil"/>
                  </w:tcBorders>
                  <w:vAlign w:val="center"/>
                </w:tcPr>
                <w:p>
                  <w:pPr>
                    <w:jc w:val="center"/>
                    <w:rPr>
                      <w:rFonts w:hint="default" w:eastAsia="宋体"/>
                      <w:color w:val="auto"/>
                      <w:sz w:val="21"/>
                      <w:szCs w:val="21"/>
                      <w:lang w:val="en-US" w:eastAsia="zh-CN"/>
                    </w:rPr>
                  </w:pPr>
                  <w:r>
                    <w:rPr>
                      <w:rFonts w:hint="eastAsia"/>
                      <w:color w:val="auto"/>
                      <w:sz w:val="21"/>
                      <w:szCs w:val="21"/>
                    </w:rPr>
                    <w:t>pH、COD、BOD</w:t>
                  </w:r>
                  <w:r>
                    <w:rPr>
                      <w:color w:val="auto"/>
                      <w:sz w:val="21"/>
                      <w:szCs w:val="21"/>
                      <w:vertAlign w:val="subscript"/>
                    </w:rPr>
                    <w:t>5</w:t>
                  </w:r>
                  <w:r>
                    <w:rPr>
                      <w:rFonts w:hint="eastAsia"/>
                      <w:color w:val="auto"/>
                      <w:sz w:val="21"/>
                      <w:szCs w:val="21"/>
                    </w:rPr>
                    <w:t>、SS、NH</w:t>
                  </w:r>
                  <w:r>
                    <w:rPr>
                      <w:color w:val="auto"/>
                      <w:sz w:val="21"/>
                      <w:szCs w:val="21"/>
                      <w:vertAlign w:val="subscript"/>
                    </w:rPr>
                    <w:t>3</w:t>
                  </w:r>
                  <w:r>
                    <w:rPr>
                      <w:color w:val="auto"/>
                      <w:sz w:val="21"/>
                      <w:szCs w:val="21"/>
                    </w:rPr>
                    <w:t>-N</w:t>
                  </w:r>
                  <w:r>
                    <w:rPr>
                      <w:rFonts w:hint="eastAsia"/>
                      <w:color w:val="auto"/>
                      <w:sz w:val="21"/>
                      <w:szCs w:val="21"/>
                      <w:lang w:val="en-US" w:eastAsia="zh-CN"/>
                    </w:rPr>
                    <w:t>、TP</w:t>
                  </w:r>
                </w:p>
              </w:tc>
              <w:tc>
                <w:tcPr>
                  <w:tcW w:w="2513" w:type="dxa"/>
                  <w:tcBorders>
                    <w:tl2br w:val="nil"/>
                    <w:tr2bl w:val="nil"/>
                  </w:tcBorders>
                  <w:vAlign w:val="center"/>
                </w:tcPr>
                <w:p>
                  <w:pPr>
                    <w:adjustRightInd w:val="0"/>
                    <w:snapToGrid w:val="0"/>
                    <w:jc w:val="center"/>
                    <w:rPr>
                      <w:rFonts w:hint="default" w:ascii="Times New Roman" w:hAnsi="Times New Roman" w:cs="Times New Roman"/>
                      <w:snapToGrid w:val="0"/>
                      <w:color w:val="auto"/>
                      <w:sz w:val="21"/>
                      <w:szCs w:val="21"/>
                      <w:lang w:val="en-US"/>
                    </w:rPr>
                  </w:pPr>
                  <w:r>
                    <w:rPr>
                      <w:rFonts w:hint="eastAsia" w:ascii="Times New Roman" w:hAnsi="Times New Roman" w:cs="Times New Roman"/>
                      <w:snapToGrid w:val="0"/>
                      <w:color w:val="auto"/>
                      <w:sz w:val="21"/>
                      <w:szCs w:val="21"/>
                      <w:lang w:val="en-US" w:eastAsia="zh-CN"/>
                    </w:rPr>
                    <w:t>化粪池+市政污水管网</w:t>
                  </w:r>
                </w:p>
              </w:tc>
              <w:tc>
                <w:tcPr>
                  <w:tcW w:w="2122" w:type="dxa"/>
                  <w:tcBorders>
                    <w:tl2br w:val="nil"/>
                    <w:tr2bl w:val="nil"/>
                  </w:tcBorders>
                  <w:vAlign w:val="center"/>
                </w:tcPr>
                <w:p>
                  <w:pPr>
                    <w:adjustRightInd w:val="0"/>
                    <w:snapToGrid w:val="0"/>
                    <w:jc w:val="center"/>
                    <w:rPr>
                      <w:rFonts w:hint="default" w:ascii="Times New Roman" w:hAnsi="Times New Roman" w:cs="Times New Roman"/>
                      <w:snapToGrid w:val="0"/>
                      <w:color w:val="auto"/>
                      <w:sz w:val="21"/>
                      <w:szCs w:val="21"/>
                      <w:lang w:val="en-US"/>
                    </w:rPr>
                  </w:pPr>
                  <w:r>
                    <w:rPr>
                      <w:rFonts w:hint="eastAsia" w:ascii="Times New Roman" w:hAnsi="Times New Roman" w:cs="Times New Roman"/>
                      <w:snapToGrid w:val="0"/>
                      <w:color w:val="auto"/>
                      <w:sz w:val="21"/>
                      <w:szCs w:val="21"/>
                      <w:lang w:val="en-US" w:eastAsia="zh-CN"/>
                    </w:rPr>
                    <w:t>华容县团洲乡团洲新村污水处理厂进水水质标准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431" w:type="dxa"/>
                  <w:tcBorders>
                    <w:tl2br w:val="nil"/>
                    <w:tr2bl w:val="nil"/>
                  </w:tcBorders>
                  <w:vAlign w:val="center"/>
                </w:tcPr>
                <w:p>
                  <w:pPr>
                    <w:adjustRightInd w:val="0"/>
                    <w:snapToGrid w:val="0"/>
                    <w:jc w:val="center"/>
                    <w:rPr>
                      <w:snapToGrid w:val="0"/>
                      <w:color w:val="auto"/>
                      <w:sz w:val="21"/>
                      <w:szCs w:val="21"/>
                    </w:rPr>
                  </w:pPr>
                  <w:r>
                    <w:rPr>
                      <w:rFonts w:hint="eastAsia"/>
                      <w:snapToGrid w:val="0"/>
                      <w:color w:val="auto"/>
                      <w:sz w:val="21"/>
                      <w:szCs w:val="21"/>
                    </w:rPr>
                    <w:t>噪声</w:t>
                  </w:r>
                </w:p>
              </w:tc>
              <w:tc>
                <w:tcPr>
                  <w:tcW w:w="1407" w:type="dxa"/>
                  <w:tcBorders>
                    <w:tl2br w:val="nil"/>
                    <w:tr2bl w:val="nil"/>
                  </w:tcBorders>
                  <w:vAlign w:val="center"/>
                </w:tcPr>
                <w:p>
                  <w:pPr>
                    <w:adjustRightInd w:val="0"/>
                    <w:snapToGrid w:val="0"/>
                    <w:jc w:val="center"/>
                    <w:rPr>
                      <w:snapToGrid w:val="0"/>
                      <w:color w:val="auto"/>
                      <w:sz w:val="21"/>
                      <w:szCs w:val="21"/>
                    </w:rPr>
                  </w:pPr>
                  <w:r>
                    <w:rPr>
                      <w:rFonts w:hint="eastAsia"/>
                      <w:snapToGrid w:val="0"/>
                      <w:color w:val="auto"/>
                      <w:sz w:val="21"/>
                      <w:szCs w:val="21"/>
                    </w:rPr>
                    <w:t>机械设备</w:t>
                  </w:r>
                </w:p>
              </w:tc>
              <w:tc>
                <w:tcPr>
                  <w:tcW w:w="1443" w:type="dxa"/>
                  <w:tcBorders>
                    <w:tl2br w:val="nil"/>
                    <w:tr2bl w:val="nil"/>
                  </w:tcBorders>
                  <w:vAlign w:val="center"/>
                </w:tcPr>
                <w:p>
                  <w:pPr>
                    <w:adjustRightInd w:val="0"/>
                    <w:snapToGrid w:val="0"/>
                    <w:jc w:val="center"/>
                    <w:rPr>
                      <w:snapToGrid w:val="0"/>
                      <w:color w:val="auto"/>
                      <w:sz w:val="21"/>
                      <w:szCs w:val="21"/>
                    </w:rPr>
                  </w:pPr>
                  <w:r>
                    <w:rPr>
                      <w:rFonts w:hint="eastAsia"/>
                      <w:snapToGrid w:val="0"/>
                      <w:color w:val="auto"/>
                      <w:sz w:val="21"/>
                      <w:szCs w:val="21"/>
                    </w:rPr>
                    <w:t>设备噪声</w:t>
                  </w:r>
                </w:p>
              </w:tc>
              <w:tc>
                <w:tcPr>
                  <w:tcW w:w="2513" w:type="dxa"/>
                  <w:tcBorders>
                    <w:tl2br w:val="nil"/>
                    <w:tr2bl w:val="nil"/>
                  </w:tcBorders>
                  <w:vAlign w:val="center"/>
                </w:tcPr>
                <w:p>
                  <w:pPr>
                    <w:adjustRightInd w:val="0"/>
                    <w:snapToGrid w:val="0"/>
                    <w:jc w:val="center"/>
                    <w:rPr>
                      <w:snapToGrid w:val="0"/>
                      <w:color w:val="auto"/>
                      <w:sz w:val="21"/>
                      <w:szCs w:val="21"/>
                    </w:rPr>
                  </w:pPr>
                  <w:r>
                    <w:rPr>
                      <w:rFonts w:hint="eastAsia"/>
                      <w:snapToGrid w:val="0"/>
                      <w:color w:val="auto"/>
                      <w:sz w:val="21"/>
                      <w:szCs w:val="21"/>
                    </w:rPr>
                    <w:t>低噪声设备、基础减振、厂房隔声</w:t>
                  </w:r>
                </w:p>
              </w:tc>
              <w:tc>
                <w:tcPr>
                  <w:tcW w:w="2122" w:type="dxa"/>
                  <w:tcBorders>
                    <w:tl2br w:val="nil"/>
                    <w:tr2bl w:val="nil"/>
                  </w:tcBorders>
                  <w:vAlign w:val="center"/>
                </w:tcPr>
                <w:p>
                  <w:pPr>
                    <w:adjustRightInd w:val="0"/>
                    <w:snapToGrid w:val="0"/>
                    <w:jc w:val="center"/>
                    <w:rPr>
                      <w:snapToGrid w:val="0"/>
                      <w:color w:val="auto"/>
                      <w:sz w:val="21"/>
                      <w:szCs w:val="21"/>
                    </w:rPr>
                  </w:pPr>
                  <w:r>
                    <w:rPr>
                      <w:rFonts w:hint="eastAsia"/>
                      <w:snapToGrid w:val="0"/>
                      <w:color w:val="auto"/>
                      <w:sz w:val="21"/>
                      <w:szCs w:val="21"/>
                    </w:rPr>
                    <w:t>厂界噪声执行《工业企业厂界环境噪声排放标准》</w:t>
                  </w:r>
                  <w:r>
                    <w:rPr>
                      <w:snapToGrid w:val="0"/>
                      <w:color w:val="auto"/>
                      <w:sz w:val="21"/>
                      <w:szCs w:val="21"/>
                    </w:rPr>
                    <w:t xml:space="preserve"> </w:t>
                  </w:r>
                  <w:r>
                    <w:rPr>
                      <w:rFonts w:hint="eastAsia"/>
                      <w:snapToGrid w:val="0"/>
                      <w:color w:val="auto"/>
                      <w:sz w:val="21"/>
                      <w:szCs w:val="21"/>
                    </w:rPr>
                    <w:t>（GB12348</w:t>
                  </w:r>
                  <w:r>
                    <w:rPr>
                      <w:rFonts w:hint="eastAsia"/>
                      <w:snapToGrid w:val="0"/>
                      <w:color w:val="auto"/>
                      <w:sz w:val="21"/>
                      <w:szCs w:val="21"/>
                      <w:lang w:val="en-US" w:eastAsia="zh-CN"/>
                    </w:rPr>
                    <w:t xml:space="preserve"> </w:t>
                  </w:r>
                  <w:r>
                    <w:rPr>
                      <w:rFonts w:hint="eastAsia"/>
                      <w:snapToGrid w:val="0"/>
                      <w:color w:val="auto"/>
                      <w:sz w:val="21"/>
                      <w:szCs w:val="21"/>
                    </w:rPr>
                    <w:t>-2008）中</w:t>
                  </w:r>
                  <w:r>
                    <w:rPr>
                      <w:snapToGrid w:val="0"/>
                      <w:color w:val="auto"/>
                      <w:sz w:val="21"/>
                      <w:szCs w:val="21"/>
                    </w:rPr>
                    <w:t xml:space="preserve"> 2</w:t>
                  </w:r>
                  <w:r>
                    <w:rPr>
                      <w:rFonts w:hint="eastAsia"/>
                      <w:snapToGrid w:val="0"/>
                      <w:color w:val="auto"/>
                      <w:sz w:val="21"/>
                      <w:szCs w:val="21"/>
                    </w:rPr>
                    <w:t>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431" w:type="dxa"/>
                  <w:tcBorders>
                    <w:tl2br w:val="nil"/>
                    <w:tr2bl w:val="nil"/>
                  </w:tcBorders>
                  <w:vAlign w:val="center"/>
                </w:tcPr>
                <w:p>
                  <w:pPr>
                    <w:autoSpaceDE w:val="0"/>
                    <w:autoSpaceDN w:val="0"/>
                    <w:adjustRightInd w:val="0"/>
                    <w:snapToGrid w:val="0"/>
                    <w:jc w:val="center"/>
                    <w:rPr>
                      <w:bCs/>
                      <w:color w:val="auto"/>
                      <w:kern w:val="0"/>
                      <w:sz w:val="21"/>
                      <w:szCs w:val="21"/>
                    </w:rPr>
                  </w:pPr>
                  <w:r>
                    <w:rPr>
                      <w:rFonts w:hint="eastAsia"/>
                      <w:bCs/>
                      <w:color w:val="auto"/>
                      <w:kern w:val="0"/>
                      <w:sz w:val="21"/>
                      <w:szCs w:val="21"/>
                    </w:rPr>
                    <w:t>固废</w:t>
                  </w:r>
                </w:p>
              </w:tc>
              <w:tc>
                <w:tcPr>
                  <w:tcW w:w="1407" w:type="dxa"/>
                  <w:tcBorders>
                    <w:tl2br w:val="nil"/>
                    <w:tr2bl w:val="nil"/>
                  </w:tcBorders>
                  <w:vAlign w:val="center"/>
                </w:tcPr>
                <w:p>
                  <w:pPr>
                    <w:autoSpaceDE w:val="0"/>
                    <w:autoSpaceDN w:val="0"/>
                    <w:adjustRightInd w:val="0"/>
                    <w:snapToGrid w:val="0"/>
                    <w:jc w:val="center"/>
                    <w:rPr>
                      <w:rFonts w:hint="default" w:eastAsia="宋体"/>
                      <w:bCs/>
                      <w:color w:val="auto"/>
                      <w:kern w:val="0"/>
                      <w:sz w:val="21"/>
                      <w:szCs w:val="21"/>
                      <w:lang w:val="en-US" w:eastAsia="zh-CN"/>
                    </w:rPr>
                  </w:pPr>
                  <w:r>
                    <w:rPr>
                      <w:rFonts w:hint="eastAsia"/>
                      <w:bCs/>
                      <w:color w:val="auto"/>
                      <w:kern w:val="0"/>
                      <w:sz w:val="21"/>
                      <w:szCs w:val="21"/>
                      <w:lang w:val="en-US" w:eastAsia="zh-CN"/>
                    </w:rPr>
                    <w:t>生活垃圾</w:t>
                  </w:r>
                </w:p>
              </w:tc>
              <w:tc>
                <w:tcPr>
                  <w:tcW w:w="1443" w:type="dxa"/>
                  <w:tcBorders>
                    <w:tl2br w:val="nil"/>
                    <w:tr2bl w:val="nil"/>
                  </w:tcBorders>
                  <w:vAlign w:val="center"/>
                </w:tcPr>
                <w:p>
                  <w:pPr>
                    <w:adjustRightInd w:val="0"/>
                    <w:snapToGrid w:val="0"/>
                    <w:jc w:val="center"/>
                    <w:rPr>
                      <w:rFonts w:hint="default" w:eastAsia="宋体"/>
                      <w:snapToGrid w:val="0"/>
                      <w:color w:val="auto"/>
                      <w:sz w:val="21"/>
                      <w:szCs w:val="21"/>
                      <w:lang w:val="en-US" w:eastAsia="zh-CN"/>
                    </w:rPr>
                  </w:pPr>
                  <w:r>
                    <w:rPr>
                      <w:rFonts w:hint="eastAsia"/>
                      <w:snapToGrid w:val="0"/>
                      <w:color w:val="auto"/>
                      <w:sz w:val="21"/>
                      <w:szCs w:val="21"/>
                      <w:lang w:val="en-US" w:eastAsia="zh-CN"/>
                    </w:rPr>
                    <w:t>果皮、纸张等</w:t>
                  </w:r>
                </w:p>
              </w:tc>
              <w:tc>
                <w:tcPr>
                  <w:tcW w:w="2513" w:type="dxa"/>
                  <w:tcBorders>
                    <w:tl2br w:val="nil"/>
                    <w:tr2bl w:val="nil"/>
                  </w:tcBorders>
                  <w:vAlign w:val="center"/>
                </w:tcPr>
                <w:p>
                  <w:pPr>
                    <w:adjustRightInd w:val="0"/>
                    <w:snapToGrid w:val="0"/>
                    <w:jc w:val="center"/>
                    <w:rPr>
                      <w:snapToGrid w:val="0"/>
                      <w:color w:val="auto"/>
                      <w:sz w:val="21"/>
                      <w:szCs w:val="21"/>
                    </w:rPr>
                  </w:pPr>
                </w:p>
                <w:p>
                  <w:pPr>
                    <w:adjustRightInd w:val="0"/>
                    <w:snapToGrid w:val="0"/>
                    <w:jc w:val="center"/>
                    <w:rPr>
                      <w:rFonts w:hint="default"/>
                      <w:snapToGrid w:val="0"/>
                      <w:color w:val="auto"/>
                      <w:sz w:val="21"/>
                      <w:szCs w:val="21"/>
                      <w:lang w:val="en-US"/>
                    </w:rPr>
                  </w:pPr>
                  <w:r>
                    <w:rPr>
                      <w:rFonts w:hint="eastAsia"/>
                      <w:snapToGrid w:val="0"/>
                      <w:color w:val="auto"/>
                      <w:sz w:val="21"/>
                      <w:szCs w:val="21"/>
                      <w:lang w:val="en-US" w:eastAsia="zh-CN"/>
                    </w:rPr>
                    <w:t>分类收集垃圾桶+环卫及时清运</w:t>
                  </w:r>
                </w:p>
              </w:tc>
              <w:tc>
                <w:tcPr>
                  <w:tcW w:w="2122" w:type="dxa"/>
                  <w:tcBorders>
                    <w:tl2br w:val="nil"/>
                    <w:tr2bl w:val="nil"/>
                  </w:tcBorders>
                  <w:vAlign w:val="center"/>
                </w:tcPr>
                <w:p>
                  <w:pPr>
                    <w:adjustRightInd w:val="0"/>
                    <w:snapToGrid w:val="0"/>
                    <w:jc w:val="center"/>
                    <w:rPr>
                      <w:rFonts w:hint="eastAsia" w:eastAsia="宋体"/>
                      <w:snapToGrid w:val="0"/>
                      <w:color w:val="auto"/>
                      <w:sz w:val="21"/>
                      <w:szCs w:val="21"/>
                      <w:lang w:val="en-US" w:eastAsia="zh-CN"/>
                    </w:rPr>
                  </w:pPr>
                  <w:r>
                    <w:rPr>
                      <w:rFonts w:hint="eastAsia"/>
                      <w:snapToGrid w:val="0"/>
                      <w:color w:val="auto"/>
                      <w:sz w:val="21"/>
                      <w:szCs w:val="21"/>
                      <w:lang w:val="en-US" w:eastAsia="zh-CN"/>
                    </w:rPr>
                    <w:t>/</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520" w:firstLineChars="200"/>
              <w:textAlignment w:val="auto"/>
              <w:rPr>
                <w:rFonts w:hint="default" w:ascii="Times New Roman" w:hAnsi="Times New Roman" w:eastAsia="宋体" w:cs="Times New Roman"/>
                <w:bCs/>
                <w:color w:val="auto"/>
                <w:spacing w:val="10"/>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520" w:firstLineChars="200"/>
              <w:textAlignment w:val="auto"/>
              <w:rPr>
                <w:rFonts w:hint="default" w:ascii="Times New Roman" w:hAnsi="Times New Roman" w:eastAsia="宋体" w:cs="Times New Roman"/>
                <w:bCs/>
                <w:color w:val="auto"/>
                <w:spacing w:val="10"/>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520" w:firstLineChars="200"/>
              <w:textAlignment w:val="auto"/>
              <w:rPr>
                <w:rFonts w:hint="default" w:ascii="Times New Roman" w:hAnsi="Times New Roman" w:eastAsia="宋体" w:cs="Times New Roman"/>
                <w:bCs/>
                <w:color w:val="auto"/>
                <w:spacing w:val="10"/>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520" w:firstLineChars="200"/>
              <w:textAlignment w:val="auto"/>
              <w:rPr>
                <w:rFonts w:hint="default" w:ascii="Times New Roman" w:hAnsi="Times New Roman" w:eastAsia="宋体" w:cs="Times New Roman"/>
                <w:bCs/>
                <w:color w:val="auto"/>
                <w:spacing w:val="10"/>
                <w:sz w:val="24"/>
                <w:szCs w:val="24"/>
                <w:lang w:val="en-US" w:eastAsia="zh-CN"/>
              </w:rPr>
            </w:pPr>
          </w:p>
        </w:tc>
      </w:tr>
    </w:tbl>
    <w:p>
      <w:pPr>
        <w:rPr>
          <w:rFonts w:hint="eastAsia" w:ascii="黑体" w:hAnsi="黑体" w:eastAsia="黑体"/>
          <w:snapToGrid w:val="0"/>
          <w:color w:val="auto"/>
          <w:sz w:val="30"/>
          <w:szCs w:val="30"/>
        </w:rPr>
      </w:pPr>
    </w:p>
    <w:p>
      <w:pPr>
        <w:rPr>
          <w:rFonts w:hint="eastAsia" w:ascii="黑体" w:hAnsi="黑体" w:eastAsia="黑体"/>
          <w:snapToGrid w:val="0"/>
          <w:color w:val="auto"/>
          <w:sz w:val="30"/>
          <w:szCs w:val="30"/>
        </w:rPr>
      </w:pPr>
      <w:r>
        <w:rPr>
          <w:rFonts w:hint="eastAsia" w:ascii="黑体" w:hAnsi="黑体" w:eastAsia="黑体"/>
          <w:snapToGrid w:val="0"/>
          <w:color w:val="auto"/>
          <w:sz w:val="30"/>
          <w:szCs w:val="30"/>
        </w:rPr>
        <w:br w:type="page"/>
      </w:r>
    </w:p>
    <w:bookmarkEnd w:id="20"/>
    <w:p>
      <w:pPr>
        <w:keepNext w:val="0"/>
        <w:keepLines w:val="0"/>
        <w:pageBreakBefore w:val="0"/>
        <w:widowControl w:val="0"/>
        <w:numPr>
          <w:ilvl w:val="0"/>
          <w:numId w:val="5"/>
        </w:numPr>
        <w:kinsoku/>
        <w:wordWrap/>
        <w:overflowPunct/>
        <w:topLinePunct w:val="0"/>
        <w:autoSpaceDE/>
        <w:autoSpaceDN/>
        <w:bidi w:val="0"/>
        <w:adjustRightInd w:val="0"/>
        <w:snapToGrid w:val="0"/>
        <w:ind w:firstLine="0" w:firstLineChars="0"/>
        <w:jc w:val="center"/>
        <w:textAlignment w:val="auto"/>
        <w:outlineLvl w:val="0"/>
        <w:rPr>
          <w:rFonts w:hint="default" w:ascii="Times New Roman" w:hAnsi="Times New Roman" w:eastAsia="黑体" w:cs="Times New Roman"/>
          <w:snapToGrid w:val="0"/>
          <w:color w:val="auto"/>
          <w:sz w:val="30"/>
          <w:szCs w:val="30"/>
        </w:rPr>
      </w:pPr>
      <w:bookmarkStart w:id="21" w:name="_Toc10235"/>
      <w:bookmarkStart w:id="22" w:name="_Toc20635"/>
      <w:bookmarkStart w:id="23" w:name="_Toc32340"/>
      <w:bookmarkStart w:id="24" w:name="_Toc18335"/>
      <w:bookmarkStart w:id="25" w:name="_Toc16874"/>
      <w:bookmarkStart w:id="26" w:name="_Toc19557"/>
      <w:bookmarkStart w:id="27" w:name="_Toc11421"/>
      <w:bookmarkStart w:id="28" w:name="_Toc16573"/>
      <w:bookmarkStart w:id="29" w:name="_Toc12760"/>
      <w:r>
        <w:rPr>
          <w:rFonts w:hint="default" w:ascii="Times New Roman" w:hAnsi="Times New Roman" w:eastAsia="黑体" w:cs="Times New Roman"/>
          <w:snapToGrid w:val="0"/>
          <w:color w:val="auto"/>
          <w:sz w:val="30"/>
          <w:szCs w:val="30"/>
        </w:rPr>
        <w:t>生态环境保护措施监督检查清单</w:t>
      </w:r>
      <w:bookmarkEnd w:id="21"/>
      <w:bookmarkEnd w:id="22"/>
      <w:bookmarkEnd w:id="23"/>
      <w:bookmarkEnd w:id="24"/>
      <w:bookmarkEnd w:id="25"/>
      <w:bookmarkEnd w:id="26"/>
      <w:bookmarkEnd w:id="27"/>
      <w:bookmarkEnd w:id="28"/>
      <w:bookmarkEnd w:id="29"/>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outlineLvl w:val="0"/>
        <w:rPr>
          <w:rFonts w:hint="default" w:ascii="Times New Roman" w:hAnsi="Times New Roman" w:eastAsia="黑体" w:cs="Times New Roman"/>
          <w:snapToGrid w:val="0"/>
          <w:color w:val="auto"/>
          <w:sz w:val="30"/>
          <w:szCs w:val="30"/>
        </w:rPr>
      </w:pPr>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59"/>
        <w:gridCol w:w="2705"/>
        <w:gridCol w:w="1180"/>
        <w:gridCol w:w="2388"/>
        <w:gridCol w:w="1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59" w:type="dxa"/>
            <w:vMerge w:val="restart"/>
            <w:tcBorders>
              <w:tl2br w:val="single" w:color="auto" w:sz="4" w:space="0"/>
            </w:tcBorders>
            <w:noWrap w:val="0"/>
            <w:vAlign w:val="top"/>
          </w:tcPr>
          <w:p>
            <w:pPr>
              <w:pStyle w:val="73"/>
              <w:bidi w:val="0"/>
              <w:jc w:val="right"/>
              <w:rPr>
                <w:rFonts w:hint="default" w:ascii="Times New Roman" w:hAnsi="Times New Roman" w:cs="Times New Roman"/>
                <w:color w:val="auto"/>
                <w:sz w:val="21"/>
                <w:szCs w:val="21"/>
              </w:rPr>
            </w:pPr>
            <w:bookmarkStart w:id="30" w:name="_Toc8513"/>
            <w:bookmarkStart w:id="31" w:name="_Toc10050"/>
            <w:bookmarkStart w:id="32" w:name="_Toc3720"/>
            <w:bookmarkStart w:id="33" w:name="_Toc23512"/>
            <w:r>
              <w:rPr>
                <w:rFonts w:hint="default" w:ascii="Times New Roman" w:hAnsi="Times New Roman" w:cs="Times New Roman"/>
                <w:color w:val="auto"/>
                <w:sz w:val="21"/>
                <w:szCs w:val="21"/>
              </w:rPr>
              <w:t>内容</w:t>
            </w:r>
            <w:bookmarkEnd w:id="30"/>
            <w:bookmarkEnd w:id="31"/>
            <w:bookmarkEnd w:id="32"/>
            <w:bookmarkEnd w:id="33"/>
          </w:p>
          <w:p>
            <w:pPr>
              <w:pStyle w:val="73"/>
              <w:bidi w:val="0"/>
              <w:rPr>
                <w:rFonts w:hint="default" w:ascii="Times New Roman" w:hAnsi="Times New Roman" w:cs="Times New Roman"/>
                <w:color w:val="auto"/>
                <w:sz w:val="21"/>
                <w:szCs w:val="21"/>
                <w:lang w:eastAsia="zh-CN"/>
              </w:rPr>
            </w:pPr>
          </w:p>
          <w:p>
            <w:pPr>
              <w:pStyle w:val="73"/>
              <w:bidi w:val="0"/>
              <w:jc w:val="left"/>
              <w:rPr>
                <w:rFonts w:hint="default" w:ascii="Times New Roman" w:hAnsi="Times New Roman" w:cs="Times New Roman"/>
                <w:color w:val="auto"/>
                <w:sz w:val="21"/>
                <w:szCs w:val="21"/>
              </w:rPr>
            </w:pPr>
            <w:bookmarkStart w:id="34" w:name="_Toc30363"/>
            <w:bookmarkStart w:id="35" w:name="_Toc8231"/>
            <w:bookmarkStart w:id="36" w:name="_Toc13521"/>
            <w:bookmarkStart w:id="37" w:name="_Toc19374"/>
            <w:r>
              <w:rPr>
                <w:rFonts w:hint="default" w:ascii="Times New Roman" w:hAnsi="Times New Roman" w:cs="Times New Roman"/>
                <w:color w:val="auto"/>
                <w:sz w:val="21"/>
                <w:szCs w:val="21"/>
              </w:rPr>
              <w:t>要素</w:t>
            </w:r>
            <w:bookmarkEnd w:id="34"/>
            <w:bookmarkEnd w:id="35"/>
            <w:bookmarkEnd w:id="36"/>
            <w:bookmarkEnd w:id="37"/>
          </w:p>
        </w:tc>
        <w:tc>
          <w:tcPr>
            <w:tcW w:w="3885" w:type="dxa"/>
            <w:gridSpan w:val="2"/>
            <w:noWrap w:val="0"/>
            <w:vAlign w:val="center"/>
          </w:tcPr>
          <w:p>
            <w:pPr>
              <w:pStyle w:val="73"/>
              <w:bidi w:val="0"/>
              <w:rPr>
                <w:rFonts w:hint="default" w:ascii="Times New Roman" w:hAnsi="Times New Roman" w:cs="Times New Roman"/>
                <w:color w:val="auto"/>
                <w:sz w:val="21"/>
                <w:szCs w:val="21"/>
              </w:rPr>
            </w:pPr>
            <w:bookmarkStart w:id="38" w:name="_Toc28752"/>
            <w:bookmarkStart w:id="39" w:name="_Toc1849"/>
            <w:bookmarkStart w:id="40" w:name="_Toc11388"/>
            <w:bookmarkStart w:id="41" w:name="_Toc1129"/>
            <w:r>
              <w:rPr>
                <w:rFonts w:hint="default" w:ascii="Times New Roman" w:hAnsi="Times New Roman" w:cs="Times New Roman"/>
                <w:color w:val="auto"/>
                <w:sz w:val="21"/>
                <w:szCs w:val="21"/>
              </w:rPr>
              <w:t>施工期</w:t>
            </w:r>
            <w:bookmarkEnd w:id="38"/>
            <w:bookmarkEnd w:id="39"/>
            <w:bookmarkEnd w:id="40"/>
            <w:bookmarkEnd w:id="41"/>
          </w:p>
        </w:tc>
        <w:tc>
          <w:tcPr>
            <w:tcW w:w="3578" w:type="dxa"/>
            <w:gridSpan w:val="2"/>
            <w:noWrap w:val="0"/>
            <w:vAlign w:val="center"/>
          </w:tcPr>
          <w:p>
            <w:pPr>
              <w:pStyle w:val="73"/>
              <w:bidi w:val="0"/>
              <w:rPr>
                <w:rFonts w:hint="default" w:ascii="Times New Roman" w:hAnsi="Times New Roman" w:cs="Times New Roman"/>
                <w:color w:val="auto"/>
                <w:sz w:val="21"/>
                <w:szCs w:val="21"/>
              </w:rPr>
            </w:pPr>
            <w:bookmarkStart w:id="42" w:name="_Toc9079"/>
            <w:bookmarkStart w:id="43" w:name="_Toc4675"/>
            <w:bookmarkStart w:id="44" w:name="_Toc31319"/>
            <w:bookmarkStart w:id="45" w:name="_Toc27513"/>
            <w:r>
              <w:rPr>
                <w:rFonts w:hint="default" w:ascii="Times New Roman" w:hAnsi="Times New Roman" w:cs="Times New Roman"/>
                <w:color w:val="auto"/>
                <w:sz w:val="21"/>
                <w:szCs w:val="21"/>
              </w:rPr>
              <w:t>运营期</w:t>
            </w:r>
            <w:bookmarkEnd w:id="42"/>
            <w:bookmarkEnd w:id="43"/>
            <w:bookmarkEnd w:id="44"/>
            <w:bookmarkEnd w:id="45"/>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59" w:type="dxa"/>
            <w:vMerge w:val="continue"/>
            <w:noWrap w:val="0"/>
            <w:vAlign w:val="top"/>
          </w:tcPr>
          <w:p>
            <w:pPr>
              <w:pStyle w:val="73"/>
              <w:bidi w:val="0"/>
              <w:rPr>
                <w:rFonts w:hint="default" w:ascii="Times New Roman" w:hAnsi="Times New Roman" w:cs="Times New Roman"/>
                <w:color w:val="auto"/>
                <w:sz w:val="21"/>
                <w:szCs w:val="21"/>
              </w:rPr>
            </w:pPr>
          </w:p>
        </w:tc>
        <w:tc>
          <w:tcPr>
            <w:tcW w:w="2705" w:type="dxa"/>
            <w:noWrap w:val="0"/>
            <w:vAlign w:val="center"/>
          </w:tcPr>
          <w:p>
            <w:pPr>
              <w:pStyle w:val="73"/>
              <w:bidi w:val="0"/>
              <w:rPr>
                <w:rFonts w:hint="default" w:ascii="Times New Roman" w:hAnsi="Times New Roman" w:cs="Times New Roman"/>
                <w:color w:val="auto"/>
                <w:sz w:val="21"/>
                <w:szCs w:val="21"/>
              </w:rPr>
            </w:pPr>
            <w:bookmarkStart w:id="46" w:name="_Toc21009"/>
            <w:bookmarkStart w:id="47" w:name="_Toc8833"/>
            <w:bookmarkStart w:id="48" w:name="_Toc5515"/>
            <w:bookmarkStart w:id="49" w:name="_Toc8120"/>
            <w:r>
              <w:rPr>
                <w:rFonts w:hint="default" w:ascii="Times New Roman" w:hAnsi="Times New Roman" w:cs="Times New Roman"/>
                <w:color w:val="auto"/>
                <w:sz w:val="21"/>
                <w:szCs w:val="21"/>
              </w:rPr>
              <w:t>环境保护措施</w:t>
            </w:r>
            <w:bookmarkEnd w:id="46"/>
            <w:bookmarkEnd w:id="47"/>
            <w:bookmarkEnd w:id="48"/>
            <w:bookmarkEnd w:id="49"/>
          </w:p>
        </w:tc>
        <w:tc>
          <w:tcPr>
            <w:tcW w:w="1180" w:type="dxa"/>
            <w:noWrap w:val="0"/>
            <w:vAlign w:val="center"/>
          </w:tcPr>
          <w:p>
            <w:pPr>
              <w:pStyle w:val="73"/>
              <w:bidi w:val="0"/>
              <w:rPr>
                <w:rFonts w:hint="default" w:ascii="Times New Roman" w:hAnsi="Times New Roman" w:cs="Times New Roman"/>
                <w:color w:val="auto"/>
                <w:sz w:val="21"/>
                <w:szCs w:val="21"/>
              </w:rPr>
            </w:pPr>
            <w:bookmarkStart w:id="50" w:name="_Toc7915"/>
            <w:bookmarkStart w:id="51" w:name="_Toc18000"/>
            <w:bookmarkStart w:id="52" w:name="_Toc17205"/>
            <w:bookmarkStart w:id="53" w:name="_Toc10890"/>
            <w:r>
              <w:rPr>
                <w:rFonts w:hint="default" w:ascii="Times New Roman" w:hAnsi="Times New Roman" w:cs="Times New Roman"/>
                <w:color w:val="auto"/>
                <w:sz w:val="21"/>
                <w:szCs w:val="21"/>
              </w:rPr>
              <w:t>验收要求</w:t>
            </w:r>
            <w:bookmarkEnd w:id="50"/>
            <w:bookmarkEnd w:id="51"/>
            <w:bookmarkEnd w:id="52"/>
            <w:bookmarkEnd w:id="53"/>
          </w:p>
        </w:tc>
        <w:tc>
          <w:tcPr>
            <w:tcW w:w="2388" w:type="dxa"/>
            <w:noWrap w:val="0"/>
            <w:vAlign w:val="center"/>
          </w:tcPr>
          <w:p>
            <w:pPr>
              <w:pStyle w:val="73"/>
              <w:bidi w:val="0"/>
              <w:rPr>
                <w:rFonts w:hint="default" w:ascii="Times New Roman" w:hAnsi="Times New Roman" w:cs="Times New Roman"/>
                <w:color w:val="auto"/>
                <w:sz w:val="21"/>
                <w:szCs w:val="21"/>
              </w:rPr>
            </w:pPr>
            <w:bookmarkStart w:id="54" w:name="_Toc10215"/>
            <w:bookmarkStart w:id="55" w:name="_Toc9253"/>
            <w:bookmarkStart w:id="56" w:name="_Toc15063"/>
            <w:bookmarkStart w:id="57" w:name="_Toc638"/>
            <w:r>
              <w:rPr>
                <w:rFonts w:hint="default" w:ascii="Times New Roman" w:hAnsi="Times New Roman" w:cs="Times New Roman"/>
                <w:color w:val="auto"/>
                <w:sz w:val="21"/>
                <w:szCs w:val="21"/>
              </w:rPr>
              <w:t>环境保护措施</w:t>
            </w:r>
            <w:bookmarkEnd w:id="54"/>
            <w:bookmarkEnd w:id="55"/>
            <w:bookmarkEnd w:id="56"/>
            <w:bookmarkEnd w:id="57"/>
          </w:p>
        </w:tc>
        <w:tc>
          <w:tcPr>
            <w:tcW w:w="1190" w:type="dxa"/>
            <w:noWrap w:val="0"/>
            <w:vAlign w:val="center"/>
          </w:tcPr>
          <w:p>
            <w:pPr>
              <w:pStyle w:val="73"/>
              <w:bidi w:val="0"/>
              <w:rPr>
                <w:rFonts w:hint="default" w:ascii="Times New Roman" w:hAnsi="Times New Roman" w:cs="Times New Roman"/>
                <w:color w:val="auto"/>
                <w:sz w:val="21"/>
                <w:szCs w:val="21"/>
              </w:rPr>
            </w:pPr>
            <w:bookmarkStart w:id="58" w:name="_Toc27204"/>
            <w:bookmarkStart w:id="59" w:name="_Toc8879"/>
            <w:bookmarkStart w:id="60" w:name="_Toc25774"/>
            <w:bookmarkStart w:id="61" w:name="_Toc9006"/>
            <w:r>
              <w:rPr>
                <w:rFonts w:hint="default" w:ascii="Times New Roman" w:hAnsi="Times New Roman" w:cs="Times New Roman"/>
                <w:color w:val="auto"/>
                <w:sz w:val="21"/>
                <w:szCs w:val="21"/>
              </w:rPr>
              <w:t>验收要求</w:t>
            </w:r>
            <w:bookmarkEnd w:id="58"/>
            <w:bookmarkEnd w:id="59"/>
            <w:bookmarkEnd w:id="60"/>
            <w:bookmarkEnd w:id="61"/>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rPr>
              <w:t>陆生生态</w:t>
            </w:r>
          </w:p>
        </w:tc>
        <w:tc>
          <w:tcPr>
            <w:tcW w:w="2705"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val="en-US" w:eastAsia="zh-CN"/>
              </w:rPr>
              <w:t>①合理组织施工、加强施工管理，严格控制施工活动在征地红线范围内进行，减少土地占用；②绿化补偿工作，临时占地生态复垦；③加强对林地、植物保护及恢复；④加强动物保护，严禁捕杀动物；⑤水土保持措施</w:t>
            </w:r>
          </w:p>
        </w:tc>
        <w:tc>
          <w:tcPr>
            <w:tcW w:w="1180"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eastAsia="zh-CN"/>
              </w:rPr>
              <w:t>影响降低到最小</w:t>
            </w:r>
          </w:p>
        </w:tc>
        <w:tc>
          <w:tcPr>
            <w:tcW w:w="2388" w:type="dxa"/>
            <w:vMerge w:val="restart"/>
            <w:noWrap w:val="0"/>
            <w:vAlign w:val="center"/>
          </w:tcPr>
          <w:p>
            <w:pPr>
              <w:pStyle w:val="74"/>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建设单位必须担负生态保护、恢复、补偿、建设和管理责任</w:t>
            </w:r>
          </w:p>
        </w:tc>
        <w:tc>
          <w:tcPr>
            <w:tcW w:w="1190"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eastAsia="zh-CN"/>
              </w:rPr>
              <w:t>影响降低到最小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rPr>
              <w:t>水生生态</w:t>
            </w:r>
          </w:p>
        </w:tc>
        <w:tc>
          <w:tcPr>
            <w:tcW w:w="2705" w:type="dxa"/>
            <w:noWrap w:val="0"/>
            <w:vAlign w:val="center"/>
          </w:tcPr>
          <w:p>
            <w:pPr>
              <w:pStyle w:val="7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w:t>
            </w:r>
          </w:p>
        </w:tc>
        <w:tc>
          <w:tcPr>
            <w:tcW w:w="1180" w:type="dxa"/>
            <w:noWrap w:val="0"/>
            <w:vAlign w:val="center"/>
          </w:tcPr>
          <w:p>
            <w:pPr>
              <w:pStyle w:val="74"/>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影响降低到最小</w:t>
            </w:r>
          </w:p>
        </w:tc>
        <w:tc>
          <w:tcPr>
            <w:tcW w:w="2388" w:type="dxa"/>
            <w:vMerge w:val="continue"/>
            <w:noWrap w:val="0"/>
            <w:vAlign w:val="center"/>
          </w:tcPr>
          <w:p>
            <w:pPr>
              <w:pStyle w:val="74"/>
              <w:bidi w:val="0"/>
              <w:rPr>
                <w:rFonts w:hint="default" w:ascii="Times New Roman" w:hAnsi="Times New Roman" w:cs="Times New Roman"/>
                <w:color w:val="auto"/>
              </w:rPr>
            </w:pPr>
          </w:p>
        </w:tc>
        <w:tc>
          <w:tcPr>
            <w:tcW w:w="1190" w:type="dxa"/>
            <w:noWrap w:val="0"/>
            <w:vAlign w:val="center"/>
          </w:tcPr>
          <w:p>
            <w:pPr>
              <w:pStyle w:val="74"/>
              <w:bidi w:val="0"/>
              <w:rPr>
                <w:rFonts w:hint="default" w:ascii="Times New Roman" w:hAnsi="Times New Roman" w:cs="Times New Roman"/>
                <w:color w:val="auto"/>
                <w:lang w:val="en-US" w:eastAsia="zh-CN"/>
              </w:rPr>
            </w:pPr>
            <w:r>
              <w:rPr>
                <w:rFonts w:hint="default" w:ascii="Times New Roman" w:hAnsi="Times New Roman" w:cs="Times New Roman"/>
                <w:color w:val="auto"/>
                <w:lang w:eastAsia="zh-CN"/>
              </w:rPr>
              <w:t>影响降低到最小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rPr>
              <w:t>地表水</w:t>
            </w:r>
          </w:p>
          <w:p>
            <w:pPr>
              <w:pStyle w:val="74"/>
              <w:bidi w:val="0"/>
              <w:rPr>
                <w:rFonts w:hint="default" w:ascii="Times New Roman" w:hAnsi="Times New Roman" w:cs="Times New Roman"/>
                <w:color w:val="auto"/>
              </w:rPr>
            </w:pPr>
            <w:r>
              <w:rPr>
                <w:rFonts w:hint="default" w:ascii="Times New Roman" w:hAnsi="Times New Roman" w:cs="Times New Roman"/>
                <w:color w:val="auto"/>
              </w:rPr>
              <w:t>环境</w:t>
            </w:r>
          </w:p>
        </w:tc>
        <w:tc>
          <w:tcPr>
            <w:tcW w:w="2705"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1180"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eastAsia="zh-CN"/>
              </w:rPr>
              <w:t>《污水综合排放标准》（GB8978-1996）中表4一级标准</w:t>
            </w:r>
          </w:p>
        </w:tc>
        <w:tc>
          <w:tcPr>
            <w:tcW w:w="2388" w:type="dxa"/>
            <w:noWrap w:val="0"/>
            <w:vAlign w:val="center"/>
          </w:tcPr>
          <w:p>
            <w:pPr>
              <w:pStyle w:val="7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①加强</w:t>
            </w:r>
            <w:r>
              <w:rPr>
                <w:rFonts w:hint="eastAsia" w:cs="Times New Roman"/>
                <w:color w:val="auto"/>
                <w:lang w:val="en-US" w:eastAsia="zh-CN"/>
              </w:rPr>
              <w:t>对安置区内各项设备的</w:t>
            </w:r>
            <w:r>
              <w:rPr>
                <w:rFonts w:hint="default" w:ascii="Times New Roman" w:hAnsi="Times New Roman" w:cs="Times New Roman"/>
                <w:color w:val="auto"/>
                <w:lang w:val="en-US" w:eastAsia="zh-CN"/>
              </w:rPr>
              <w:t>日常维护与管理；②完善</w:t>
            </w:r>
            <w:r>
              <w:rPr>
                <w:rFonts w:hint="eastAsia" w:cs="Times New Roman"/>
                <w:color w:val="auto"/>
                <w:lang w:val="en-US" w:eastAsia="zh-CN"/>
              </w:rPr>
              <w:t>区内</w:t>
            </w:r>
            <w:r>
              <w:rPr>
                <w:rFonts w:hint="default" w:ascii="Times New Roman" w:hAnsi="Times New Roman" w:cs="Times New Roman"/>
                <w:color w:val="auto"/>
                <w:lang w:val="en-US" w:eastAsia="zh-CN"/>
              </w:rPr>
              <w:t>排水设施</w:t>
            </w:r>
          </w:p>
        </w:tc>
        <w:tc>
          <w:tcPr>
            <w:tcW w:w="1190"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eastAsia="zh-CN"/>
              </w:rPr>
              <w:t>影响降低到最小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rPr>
              <w:t>地下水及土壤环境</w:t>
            </w:r>
          </w:p>
        </w:tc>
        <w:tc>
          <w:tcPr>
            <w:tcW w:w="2705" w:type="dxa"/>
            <w:noWrap w:val="0"/>
            <w:vAlign w:val="center"/>
          </w:tcPr>
          <w:p>
            <w:pPr>
              <w:pStyle w:val="7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1180"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2388"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1190"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rPr>
              <w:t>声环境</w:t>
            </w:r>
          </w:p>
        </w:tc>
        <w:tc>
          <w:tcPr>
            <w:tcW w:w="2705" w:type="dxa"/>
            <w:noWrap w:val="0"/>
            <w:vAlign w:val="center"/>
          </w:tcPr>
          <w:p>
            <w:pPr>
              <w:pStyle w:val="7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w:t>
            </w:r>
          </w:p>
        </w:tc>
        <w:tc>
          <w:tcPr>
            <w:tcW w:w="1180"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rPr>
              <w:t>《建筑施工场界环境噪声排放标准》（</w:t>
            </w:r>
            <w:r>
              <w:rPr>
                <w:rFonts w:hint="default" w:ascii="Times New Roman" w:hAnsi="Times New Roman" w:cs="Times New Roman"/>
                <w:color w:val="auto"/>
                <w:lang w:val="en-US" w:eastAsia="zh-CN"/>
              </w:rPr>
              <w:t>GB</w:t>
            </w:r>
            <w:r>
              <w:rPr>
                <w:rFonts w:hint="default" w:ascii="Times New Roman" w:hAnsi="Times New Roman" w:cs="Times New Roman"/>
                <w:color w:val="auto"/>
              </w:rPr>
              <w:t>12523-2011）</w:t>
            </w:r>
          </w:p>
        </w:tc>
        <w:tc>
          <w:tcPr>
            <w:tcW w:w="2388" w:type="dxa"/>
            <w:noWrap w:val="0"/>
            <w:vAlign w:val="center"/>
          </w:tcPr>
          <w:p>
            <w:pPr>
              <w:pStyle w:val="74"/>
              <w:bidi w:val="0"/>
              <w:rPr>
                <w:rFonts w:hint="default" w:ascii="Times New Roman" w:hAnsi="Times New Roman" w:cs="Times New Roman"/>
                <w:color w:val="auto"/>
              </w:rPr>
            </w:pPr>
            <w:r>
              <w:rPr>
                <w:rFonts w:hint="eastAsia" w:cs="宋体"/>
                <w:color w:val="auto"/>
                <w:sz w:val="21"/>
                <w:szCs w:val="21"/>
              </w:rPr>
              <w:t>减震、隔声</w:t>
            </w:r>
          </w:p>
        </w:tc>
        <w:tc>
          <w:tcPr>
            <w:tcW w:w="1190"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rPr>
              <w:t>《声环境质量标准》（GB3096-2008）2类、4a类标准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59"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rPr>
              <w:t>振动</w:t>
            </w:r>
          </w:p>
        </w:tc>
        <w:tc>
          <w:tcPr>
            <w:tcW w:w="2705" w:type="dxa"/>
            <w:shd w:val="clear" w:color="auto" w:fill="auto"/>
            <w:noWrap w:val="0"/>
            <w:vAlign w:val="center"/>
          </w:tcPr>
          <w:p>
            <w:pPr>
              <w:pStyle w:val="74"/>
              <w:bidi w:val="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lang w:val="en-US" w:eastAsia="zh-CN"/>
              </w:rPr>
              <w:t>--</w:t>
            </w:r>
          </w:p>
        </w:tc>
        <w:tc>
          <w:tcPr>
            <w:tcW w:w="1180" w:type="dxa"/>
            <w:shd w:val="clear" w:color="auto" w:fill="auto"/>
            <w:noWrap w:val="0"/>
            <w:vAlign w:val="center"/>
          </w:tcPr>
          <w:p>
            <w:pPr>
              <w:pStyle w:val="74"/>
              <w:bidi w:val="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lang w:val="en-US" w:eastAsia="zh-CN"/>
              </w:rPr>
              <w:t>--</w:t>
            </w:r>
          </w:p>
        </w:tc>
        <w:tc>
          <w:tcPr>
            <w:tcW w:w="2388"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1190"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rPr>
              <w:t>大气环境</w:t>
            </w:r>
          </w:p>
        </w:tc>
        <w:tc>
          <w:tcPr>
            <w:tcW w:w="2705" w:type="dxa"/>
            <w:noWrap w:val="0"/>
            <w:vAlign w:val="center"/>
          </w:tcPr>
          <w:p>
            <w:pPr>
              <w:pStyle w:val="7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1180" w:type="dxa"/>
            <w:noWrap w:val="0"/>
            <w:vAlign w:val="center"/>
          </w:tcPr>
          <w:p>
            <w:pPr>
              <w:pStyle w:val="7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2388" w:type="dxa"/>
            <w:noWrap w:val="0"/>
            <w:vAlign w:val="center"/>
          </w:tcPr>
          <w:p>
            <w:pPr>
              <w:pStyle w:val="7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w:t>
            </w:r>
          </w:p>
        </w:tc>
        <w:tc>
          <w:tcPr>
            <w:tcW w:w="1190"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74"/>
              <w:bidi w:val="0"/>
              <w:rPr>
                <w:rFonts w:hint="default" w:ascii="Times New Roman" w:hAnsi="Times New Roman" w:eastAsia="宋体" w:cs="Times New Roman"/>
                <w:color w:val="auto"/>
                <w:lang w:val="en-US" w:eastAsia="zh-CN"/>
              </w:rPr>
            </w:pPr>
            <w:r>
              <w:rPr>
                <w:rFonts w:hint="eastAsia" w:cs="Times New Roman"/>
                <w:color w:val="auto"/>
                <w:lang w:val="en-US" w:eastAsia="zh-CN"/>
              </w:rPr>
              <w:t>地表水环境</w:t>
            </w:r>
          </w:p>
        </w:tc>
        <w:tc>
          <w:tcPr>
            <w:tcW w:w="2705" w:type="dxa"/>
            <w:shd w:val="clear" w:color="auto" w:fill="auto"/>
            <w:noWrap w:val="0"/>
            <w:vAlign w:val="center"/>
          </w:tcPr>
          <w:p>
            <w:pPr>
              <w:pStyle w:val="74"/>
              <w:bidi w:val="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lang w:val="en-US" w:eastAsia="zh-CN"/>
              </w:rPr>
              <w:t>--</w:t>
            </w:r>
          </w:p>
        </w:tc>
        <w:tc>
          <w:tcPr>
            <w:tcW w:w="1180" w:type="dxa"/>
            <w:shd w:val="clear" w:color="auto" w:fill="auto"/>
            <w:noWrap w:val="0"/>
            <w:vAlign w:val="center"/>
          </w:tcPr>
          <w:p>
            <w:pPr>
              <w:pStyle w:val="74"/>
              <w:bidi w:val="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lang w:val="en-US" w:eastAsia="zh-CN"/>
              </w:rPr>
              <w:t>--</w:t>
            </w:r>
          </w:p>
        </w:tc>
        <w:tc>
          <w:tcPr>
            <w:tcW w:w="2388" w:type="dxa"/>
            <w:noWrap w:val="0"/>
            <w:vAlign w:val="center"/>
          </w:tcPr>
          <w:p>
            <w:pPr>
              <w:pStyle w:val="74"/>
              <w:bidi w:val="0"/>
              <w:rPr>
                <w:rFonts w:hint="default" w:ascii="Times New Roman" w:hAnsi="Times New Roman" w:eastAsia="宋体" w:cs="Times New Roman"/>
                <w:color w:val="auto"/>
                <w:lang w:val="en-US" w:eastAsia="zh-CN"/>
              </w:rPr>
            </w:pPr>
            <w:r>
              <w:rPr>
                <w:rFonts w:hint="eastAsia" w:cs="宋体"/>
                <w:color w:val="auto"/>
                <w:sz w:val="21"/>
                <w:szCs w:val="21"/>
              </w:rPr>
              <w:t>化粪池</w:t>
            </w:r>
            <w:r>
              <w:rPr>
                <w:rFonts w:hint="eastAsia" w:cs="宋体"/>
                <w:color w:val="auto"/>
                <w:sz w:val="21"/>
                <w:szCs w:val="21"/>
                <w:lang w:val="en-US" w:eastAsia="zh-CN"/>
              </w:rPr>
              <w:t>+市政污水处理厂</w:t>
            </w:r>
          </w:p>
        </w:tc>
        <w:tc>
          <w:tcPr>
            <w:tcW w:w="1190" w:type="dxa"/>
            <w:noWrap w:val="0"/>
            <w:vAlign w:val="center"/>
          </w:tcPr>
          <w:p>
            <w:pPr>
              <w:pStyle w:val="74"/>
              <w:bidi w:val="0"/>
              <w:rPr>
                <w:rFonts w:hint="default" w:ascii="Times New Roman" w:hAnsi="Times New Roman" w:cs="Times New Roman"/>
                <w:color w:val="auto"/>
                <w:lang w:val="en-US" w:eastAsia="zh-CN"/>
              </w:rPr>
            </w:pPr>
            <w:r>
              <w:rPr>
                <w:rFonts w:hint="eastAsia" w:cs="宋体"/>
                <w:color w:val="auto"/>
                <w:sz w:val="21"/>
                <w:szCs w:val="21"/>
                <w:lang w:val="en-US" w:eastAsia="zh-CN"/>
              </w:rPr>
              <w:t>市政污水处理厂进水水质标准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rPr>
              <w:t>固体废物</w:t>
            </w:r>
          </w:p>
        </w:tc>
        <w:tc>
          <w:tcPr>
            <w:tcW w:w="2705" w:type="dxa"/>
            <w:noWrap w:val="0"/>
            <w:vAlign w:val="center"/>
          </w:tcPr>
          <w:p>
            <w:pPr>
              <w:pStyle w:val="7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1180" w:type="dxa"/>
            <w:noWrap w:val="0"/>
            <w:vAlign w:val="center"/>
          </w:tcPr>
          <w:p>
            <w:pPr>
              <w:pStyle w:val="7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w:t>
            </w:r>
          </w:p>
        </w:tc>
        <w:tc>
          <w:tcPr>
            <w:tcW w:w="2388" w:type="dxa"/>
            <w:noWrap w:val="0"/>
            <w:vAlign w:val="center"/>
          </w:tcPr>
          <w:p>
            <w:pPr>
              <w:pStyle w:val="74"/>
              <w:bidi w:val="0"/>
              <w:rPr>
                <w:rFonts w:hint="default" w:ascii="Times New Roman" w:hAnsi="Times New Roman" w:cs="Times New Roman"/>
                <w:color w:val="auto"/>
              </w:rPr>
            </w:pPr>
            <w:r>
              <w:rPr>
                <w:rFonts w:hint="eastAsia" w:cs="宋体"/>
                <w:color w:val="auto"/>
                <w:sz w:val="21"/>
                <w:szCs w:val="21"/>
              </w:rPr>
              <w:t>生活垃圾：分离垃圾桶收集，交由环卫部门统一处置</w:t>
            </w:r>
          </w:p>
        </w:tc>
        <w:tc>
          <w:tcPr>
            <w:tcW w:w="1190"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rPr>
              <w:t>电磁环境</w:t>
            </w:r>
          </w:p>
        </w:tc>
        <w:tc>
          <w:tcPr>
            <w:tcW w:w="2705"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1180"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2388"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1190"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rPr>
              <w:t>环境风险</w:t>
            </w:r>
          </w:p>
        </w:tc>
        <w:tc>
          <w:tcPr>
            <w:tcW w:w="2705"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1180"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2388" w:type="dxa"/>
            <w:noWrap w:val="0"/>
            <w:vAlign w:val="center"/>
          </w:tcPr>
          <w:p>
            <w:pPr>
              <w:pStyle w:val="74"/>
              <w:bidi w:val="0"/>
              <w:rPr>
                <w:rFonts w:hint="default" w:cs="宋体"/>
                <w:color w:val="auto"/>
                <w:sz w:val="21"/>
                <w:szCs w:val="21"/>
                <w:lang w:val="en-US" w:eastAsia="zh-CN"/>
              </w:rPr>
            </w:pPr>
            <w:r>
              <w:rPr>
                <w:rFonts w:hint="eastAsia" w:cs="宋体"/>
                <w:color w:val="auto"/>
                <w:sz w:val="21"/>
                <w:szCs w:val="21"/>
                <w:lang w:val="en-US" w:eastAsia="zh-CN"/>
              </w:rPr>
              <w:t>加强对天然气管道进行检修维护；合理设置灭火器</w:t>
            </w:r>
          </w:p>
          <w:p>
            <w:pPr>
              <w:pStyle w:val="74"/>
              <w:bidi w:val="0"/>
              <w:rPr>
                <w:rFonts w:hint="default" w:cs="宋体"/>
                <w:color w:val="auto"/>
                <w:sz w:val="21"/>
                <w:szCs w:val="21"/>
              </w:rPr>
            </w:pPr>
          </w:p>
        </w:tc>
        <w:tc>
          <w:tcPr>
            <w:tcW w:w="1190" w:type="dxa"/>
            <w:noWrap w:val="0"/>
            <w:vAlign w:val="center"/>
          </w:tcPr>
          <w:p>
            <w:pPr>
              <w:pStyle w:val="74"/>
              <w:bidi w:val="0"/>
              <w:rPr>
                <w:rFonts w:hint="default" w:cs="宋体"/>
                <w:color w:val="auto"/>
                <w:sz w:val="21"/>
                <w:szCs w:val="21"/>
              </w:rPr>
            </w:pPr>
            <w:r>
              <w:rPr>
                <w:rFonts w:hint="default" w:cs="宋体"/>
                <w:color w:val="auto"/>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rPr>
              <w:t>环境监测</w:t>
            </w:r>
          </w:p>
        </w:tc>
        <w:tc>
          <w:tcPr>
            <w:tcW w:w="2705" w:type="dxa"/>
            <w:noWrap w:val="0"/>
            <w:vAlign w:val="center"/>
          </w:tcPr>
          <w:p>
            <w:pPr>
              <w:pStyle w:val="7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c>
          <w:tcPr>
            <w:tcW w:w="1180" w:type="dxa"/>
            <w:noWrap w:val="0"/>
            <w:vAlign w:val="center"/>
          </w:tcPr>
          <w:p>
            <w:pPr>
              <w:pStyle w:val="7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w:t>
            </w:r>
          </w:p>
        </w:tc>
        <w:tc>
          <w:tcPr>
            <w:tcW w:w="2388" w:type="dxa"/>
            <w:noWrap w:val="0"/>
            <w:vAlign w:val="center"/>
          </w:tcPr>
          <w:p>
            <w:pPr>
              <w:pStyle w:val="7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1190"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rPr>
              <w:t>其他</w:t>
            </w:r>
          </w:p>
        </w:tc>
        <w:tc>
          <w:tcPr>
            <w:tcW w:w="2705"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1180"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2388"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1190" w:type="dxa"/>
            <w:noWrap w:val="0"/>
            <w:vAlign w:val="center"/>
          </w:tcPr>
          <w:p>
            <w:pPr>
              <w:pStyle w:val="7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r>
    </w:tbl>
    <w:p>
      <w:pPr>
        <w:pStyle w:val="19"/>
        <w:jc w:val="center"/>
        <w:outlineLvl w:val="0"/>
        <w:rPr>
          <w:rFonts w:ascii="黑体" w:hAnsi="黑体" w:eastAsia="黑体"/>
          <w:snapToGrid w:val="0"/>
          <w:color w:val="auto"/>
          <w:sz w:val="30"/>
          <w:szCs w:val="30"/>
        </w:rPr>
      </w:pPr>
      <w:r>
        <w:rPr>
          <w:snapToGrid w:val="0"/>
          <w:color w:val="auto"/>
        </w:rPr>
        <w:br w:type="page"/>
      </w:r>
      <w:bookmarkStart w:id="62" w:name="_Toc14502"/>
      <w:bookmarkStart w:id="63" w:name="_Toc17058"/>
      <w:r>
        <w:rPr>
          <w:rFonts w:hint="eastAsia"/>
          <w:b/>
          <w:bCs/>
          <w:snapToGrid w:val="0"/>
          <w:color w:val="auto"/>
          <w:lang w:val="en-US" w:eastAsia="zh-CN"/>
        </w:rPr>
        <w:t>七</w:t>
      </w:r>
      <w:r>
        <w:rPr>
          <w:rFonts w:hint="eastAsia" w:ascii="黑体" w:hAnsi="黑体" w:eastAsia="黑体"/>
          <w:b/>
          <w:bCs/>
          <w:snapToGrid w:val="0"/>
          <w:color w:val="auto"/>
          <w:sz w:val="30"/>
          <w:szCs w:val="30"/>
        </w:rPr>
        <w:t>、结论</w:t>
      </w:r>
      <w:bookmarkEnd w:id="62"/>
      <w:bookmarkEnd w:id="63"/>
    </w:p>
    <w:tbl>
      <w:tblPr>
        <w:tblStyle w:val="22"/>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pPr>
              <w:adjustRightInd w:val="0"/>
              <w:snapToGrid w:val="0"/>
              <w:spacing w:line="360" w:lineRule="auto"/>
              <w:ind w:firstLine="482" w:firstLineChars="200"/>
              <w:rPr>
                <w:b/>
                <w:bCs/>
                <w:color w:val="auto"/>
                <w:sz w:val="24"/>
              </w:rPr>
            </w:pPr>
            <w:r>
              <w:rPr>
                <w:rFonts w:hint="eastAsia"/>
                <w:b/>
                <w:bCs/>
                <w:color w:val="auto"/>
                <w:sz w:val="24"/>
              </w:rPr>
              <w:t>1、结论</w:t>
            </w:r>
          </w:p>
          <w:p>
            <w:pPr>
              <w:adjustRightInd w:val="0"/>
              <w:snapToGrid w:val="0"/>
              <w:spacing w:line="360" w:lineRule="auto"/>
              <w:ind w:firstLine="480" w:firstLineChars="200"/>
              <w:rPr>
                <w:color w:val="auto"/>
                <w:sz w:val="24"/>
              </w:rPr>
            </w:pPr>
            <w:r>
              <w:rPr>
                <w:rFonts w:hint="eastAsia"/>
                <w:color w:val="auto"/>
                <w:sz w:val="24"/>
              </w:rPr>
              <w:t>本项目符合国家产业政策，与相关规划相符，选址较合理，通过该项目的工程分析、影响分析，在采取环评提出的污染控制措施的基础上，项目产生的废气、噪声可达到相关排放标准， 固体废物也将得到妥善、安全处置，项目对周边环境空气、声环境、地表水环境</w:t>
            </w:r>
            <w:r>
              <w:rPr>
                <w:rFonts w:hint="eastAsia"/>
                <w:color w:val="auto"/>
                <w:sz w:val="24"/>
                <w:lang w:eastAsia="zh-CN"/>
              </w:rPr>
              <w:t>、</w:t>
            </w:r>
            <w:r>
              <w:rPr>
                <w:rFonts w:hint="eastAsia"/>
                <w:color w:val="auto"/>
                <w:sz w:val="24"/>
                <w:lang w:val="en-US" w:eastAsia="zh-CN"/>
              </w:rPr>
              <w:t>生态环境</w:t>
            </w:r>
            <w:r>
              <w:rPr>
                <w:rFonts w:hint="eastAsia"/>
                <w:color w:val="auto"/>
                <w:sz w:val="24"/>
              </w:rPr>
              <w:t>的影响较小。本项目在该建设地点按照该项目建设内容、建设规模进行建设从环境保护的角度分析是可行的。</w:t>
            </w:r>
          </w:p>
          <w:p>
            <w:pPr>
              <w:numPr>
                <w:ilvl w:val="0"/>
                <w:numId w:val="6"/>
              </w:numPr>
              <w:adjustRightInd w:val="0"/>
              <w:snapToGrid w:val="0"/>
              <w:spacing w:line="360" w:lineRule="auto"/>
              <w:ind w:firstLine="482" w:firstLineChars="200"/>
              <w:rPr>
                <w:b/>
                <w:bCs/>
                <w:color w:val="auto"/>
                <w:sz w:val="24"/>
              </w:rPr>
            </w:pPr>
            <w:r>
              <w:rPr>
                <w:rFonts w:hint="eastAsia"/>
                <w:b/>
                <w:bCs/>
                <w:color w:val="auto"/>
                <w:sz w:val="24"/>
              </w:rPr>
              <w:t>建议</w:t>
            </w:r>
          </w:p>
          <w:p>
            <w:pPr>
              <w:adjustRightInd w:val="0"/>
              <w:snapToGrid w:val="0"/>
              <w:spacing w:line="360" w:lineRule="auto"/>
              <w:ind w:firstLine="480" w:firstLineChars="200"/>
              <w:rPr>
                <w:color w:val="auto"/>
                <w:sz w:val="24"/>
              </w:rPr>
            </w:pPr>
            <w:r>
              <w:rPr>
                <w:color w:val="auto"/>
                <w:sz w:val="24"/>
              </w:rPr>
              <w:t>为确保本项目对环境的影响控制在环境允许的范围内，建设单位要做好下列工作：</w:t>
            </w:r>
          </w:p>
          <w:p>
            <w:pPr>
              <w:adjustRightInd w:val="0"/>
              <w:snapToGrid w:val="0"/>
              <w:spacing w:line="360" w:lineRule="auto"/>
              <w:ind w:firstLine="480" w:firstLineChars="200"/>
              <w:rPr>
                <w:rFonts w:ascii="Times New Roman" w:hAnsi="Times New Roman" w:cs="Times New Roman"/>
                <w:color w:val="auto"/>
                <w:sz w:val="24"/>
              </w:rPr>
            </w:pPr>
            <w:r>
              <w:rPr>
                <w:color w:val="auto"/>
                <w:sz w:val="24"/>
              </w:rPr>
              <w:t>（1</w:t>
            </w:r>
            <w:r>
              <w:rPr>
                <w:rFonts w:ascii="Times New Roman" w:hAnsi="Times New Roman" w:cs="Times New Roman"/>
                <w:color w:val="auto"/>
                <w:sz w:val="24"/>
              </w:rPr>
              <w:t>）</w:t>
            </w:r>
            <w:r>
              <w:rPr>
                <w:rFonts w:hint="eastAsia" w:ascii="Times New Roman" w:hAnsi="Times New Roman" w:cs="Times New Roman"/>
                <w:color w:val="auto"/>
                <w:sz w:val="24"/>
                <w:lang w:val="en-US" w:eastAsia="zh-CN"/>
              </w:rPr>
              <w:t>加强、日常环境管理，有效保证居民生活环境</w:t>
            </w:r>
            <w:r>
              <w:rPr>
                <w:rFonts w:ascii="Times New Roman" w:hAnsi="Times New Roman" w:cs="Times New Roman"/>
                <w:color w:val="auto"/>
                <w:sz w:val="24"/>
              </w:rPr>
              <w:t>。</w:t>
            </w:r>
          </w:p>
          <w:p>
            <w:pPr>
              <w:adjustRightInd w:val="0"/>
              <w:snapToGri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（2）如产</w:t>
            </w:r>
            <w:r>
              <w:rPr>
                <w:rFonts w:hint="eastAsia" w:ascii="Times New Roman" w:hAnsi="Times New Roman" w:cs="Times New Roman"/>
                <w:color w:val="auto"/>
                <w:sz w:val="24"/>
                <w:lang w:val="en-US" w:eastAsia="zh-CN"/>
              </w:rPr>
              <w:t>项目规模</w:t>
            </w:r>
            <w:r>
              <w:rPr>
                <w:rFonts w:ascii="Times New Roman" w:hAnsi="Times New Roman" w:cs="Times New Roman"/>
                <w:color w:val="auto"/>
                <w:sz w:val="24"/>
              </w:rPr>
              <w:t>、</w:t>
            </w:r>
            <w:r>
              <w:rPr>
                <w:rFonts w:hint="eastAsia" w:ascii="Times New Roman" w:hAnsi="Times New Roman" w:cs="Times New Roman"/>
                <w:color w:val="auto"/>
                <w:sz w:val="24"/>
                <w:lang w:val="en-US" w:eastAsia="zh-CN"/>
              </w:rPr>
              <w:t>位置等</w:t>
            </w:r>
            <w:r>
              <w:rPr>
                <w:rFonts w:ascii="Times New Roman" w:hAnsi="Times New Roman" w:cs="Times New Roman"/>
                <w:color w:val="auto"/>
                <w:sz w:val="24"/>
              </w:rPr>
              <w:t>情况有大的变动，应及时向有关部门申报。</w:t>
            </w:r>
          </w:p>
          <w:p>
            <w:pPr>
              <w:adjustRightInd w:val="0"/>
              <w:snapToGrid w:val="0"/>
              <w:spacing w:line="360" w:lineRule="auto"/>
              <w:ind w:firstLine="480" w:firstLineChars="200"/>
              <w:rPr>
                <w:rFonts w:hint="eastAsia" w:ascii="Times New Roman" w:hAnsi="Times New Roman" w:cs="Times New Roman"/>
                <w:color w:val="auto"/>
                <w:sz w:val="24"/>
                <w:lang w:val="en-US" w:eastAsia="zh-CN"/>
              </w:rPr>
            </w:pPr>
            <w:r>
              <w:rPr>
                <w:rFonts w:ascii="Times New Roman" w:hAnsi="Times New Roman" w:cs="Times New Roman"/>
                <w:color w:val="auto"/>
                <w:sz w:val="24"/>
              </w:rPr>
              <w:t>（3）</w:t>
            </w:r>
            <w:r>
              <w:rPr>
                <w:rFonts w:hint="eastAsia" w:ascii="Times New Roman" w:hAnsi="Times New Roman" w:cs="Times New Roman"/>
                <w:color w:val="auto"/>
                <w:sz w:val="24"/>
                <w:lang w:val="en-US" w:eastAsia="zh-CN"/>
              </w:rPr>
              <w:t>积极推广生活垃圾分类收集、处理。</w:t>
            </w:r>
          </w:p>
          <w:p>
            <w:pPr>
              <w:adjustRightInd w:val="0"/>
              <w:snapToGrid w:val="0"/>
              <w:spacing w:line="360" w:lineRule="auto"/>
              <w:ind w:firstLine="480" w:firstLineChars="200"/>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4）必须严格执行建设项目竣工环保验收制度，对项目废水、噪声、固废采取相应的治理措施，并将环保治理措施上报环保管理部门备案。项目建成后根据《建设项目竣工环境保护验收暂行办法》经自主验收后方可投入运营。</w:t>
            </w:r>
          </w:p>
          <w:p>
            <w:pPr>
              <w:spacing w:line="360" w:lineRule="auto"/>
              <w:rPr>
                <w:rFonts w:ascii="宋体" w:cs="宋体"/>
                <w:color w:val="auto"/>
                <w:sz w:val="24"/>
              </w:rPr>
            </w:pPr>
          </w:p>
        </w:tc>
      </w:tr>
    </w:tbl>
    <w:p>
      <w:pPr>
        <w:rPr>
          <w:rFonts w:ascii="宋体"/>
          <w:color w:val="auto"/>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jc w:val="center"/>
        <w:outlineLvl w:val="0"/>
        <w:rPr>
          <w:rFonts w:ascii="方正小标宋_GBK" w:hAnsi="黑体" w:eastAsia="方正小标宋_GBK"/>
          <w:snapToGrid w:val="0"/>
          <w:color w:val="auto"/>
          <w:kern w:val="0"/>
          <w:sz w:val="38"/>
          <w:szCs w:val="38"/>
        </w:rPr>
      </w:pPr>
      <w:bookmarkStart w:id="64" w:name="_Toc19926"/>
      <w:bookmarkStart w:id="65" w:name="_Toc1282"/>
      <w:r>
        <w:rPr>
          <w:rFonts w:hint="eastAsia" w:ascii="方正小标宋_GBK" w:hAnsi="黑体" w:eastAsia="方正小标宋_GBK"/>
          <w:snapToGrid w:val="0"/>
          <w:color w:val="auto"/>
          <w:kern w:val="0"/>
          <w:sz w:val="38"/>
          <w:szCs w:val="38"/>
        </w:rPr>
        <w:t>附图</w:t>
      </w:r>
      <w:bookmarkEnd w:id="64"/>
      <w:bookmarkEnd w:id="65"/>
    </w:p>
    <w:p>
      <w:pPr>
        <w:widowControl/>
        <w:spacing w:line="360" w:lineRule="auto"/>
        <w:outlineLvl w:val="1"/>
        <w:rPr>
          <w:color w:val="auto"/>
        </w:rPr>
      </w:pPr>
      <w:bookmarkStart w:id="66" w:name="_Toc5793"/>
      <w:bookmarkStart w:id="67" w:name="_Toc8779"/>
      <w:bookmarkStart w:id="68" w:name="_Toc14548"/>
      <w:bookmarkStart w:id="69" w:name="_Toc29193"/>
      <w:bookmarkStart w:id="70" w:name="_Toc2754"/>
      <w:r>
        <w:rPr>
          <w:b/>
          <w:bCs/>
          <w:color w:val="auto"/>
          <w:sz w:val="28"/>
          <w:szCs w:val="28"/>
        </w:rPr>
        <w:t>附图1 项目地理位置图</w:t>
      </w:r>
      <w:bookmarkEnd w:id="66"/>
      <w:bookmarkEnd w:id="67"/>
      <w:bookmarkEnd w:id="68"/>
      <w:bookmarkEnd w:id="69"/>
      <w:bookmarkEnd w:id="70"/>
    </w:p>
    <w:p>
      <w:pPr>
        <w:jc w:val="center"/>
        <w:rPr>
          <w:color w:val="auto"/>
        </w:rPr>
        <w:sectPr>
          <w:footerReference r:id="rId7" w:type="default"/>
          <w:pgSz w:w="16838" w:h="11906" w:orient="landscape"/>
          <w:pgMar w:top="1417" w:right="1417" w:bottom="1417" w:left="1417" w:header="851" w:footer="992" w:gutter="0"/>
          <w:pgBorders>
            <w:top w:val="none" w:sz="0" w:space="0"/>
            <w:left w:val="none" w:sz="0" w:space="0"/>
            <w:bottom w:val="none" w:sz="0" w:space="0"/>
            <w:right w:val="none" w:sz="0" w:space="0"/>
          </w:pgBorders>
          <w:cols w:space="0" w:num="1"/>
          <w:docGrid w:type="lines" w:linePitch="312" w:charSpace="0"/>
        </w:sectPr>
      </w:pPr>
      <w:r>
        <w:rPr>
          <w:rFonts w:ascii="Times New Roman" w:hAnsi="Times New Roman" w:eastAsia="仿宋_GB2312" w:cs="Times New Roman"/>
          <w:snapToGrid w:val="0"/>
          <w:color w:val="auto"/>
          <w:spacing w:val="0"/>
          <w:kern w:val="0"/>
          <w:position w:val="0"/>
          <w:sz w:val="28"/>
          <w:szCs w:val="28"/>
          <w:lang w:val="en-US" w:eastAsia="en-US" w:bidi="ar-SA"/>
        </w:rPr>
        <w:drawing>
          <wp:inline distT="0" distB="0" distL="114300" distR="114300">
            <wp:extent cx="6126480" cy="4584700"/>
            <wp:effectExtent l="19050" t="19050" r="26670" b="2540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2"/>
                    <a:stretch>
                      <a:fillRect/>
                    </a:stretch>
                  </pic:blipFill>
                  <pic:spPr>
                    <a:xfrm>
                      <a:off x="0" y="0"/>
                      <a:ext cx="6126480" cy="4584700"/>
                    </a:xfrm>
                    <a:prstGeom prst="rect">
                      <a:avLst/>
                    </a:prstGeom>
                    <a:noFill/>
                    <a:ln w="19050" cmpd="sng">
                      <a:solidFill>
                        <a:schemeClr val="tx1"/>
                      </a:solidFill>
                      <a:prstDash val="solid"/>
                    </a:ln>
                  </pic:spPr>
                </pic:pic>
              </a:graphicData>
            </a:graphic>
          </wp:inline>
        </w:drawing>
      </w:r>
    </w:p>
    <w:p>
      <w:pPr>
        <w:widowControl/>
        <w:spacing w:line="360" w:lineRule="auto"/>
        <w:outlineLvl w:val="1"/>
        <w:rPr>
          <w:b/>
          <w:bCs/>
          <w:color w:val="auto"/>
          <w:sz w:val="28"/>
          <w:szCs w:val="28"/>
        </w:rPr>
      </w:pPr>
      <w:bookmarkStart w:id="71" w:name="_Toc32167"/>
      <w:bookmarkStart w:id="72" w:name="_Toc23410"/>
      <w:bookmarkStart w:id="73" w:name="_Toc29913"/>
      <w:bookmarkStart w:id="74" w:name="_Toc25904"/>
      <w:bookmarkStart w:id="75" w:name="_Toc25423"/>
      <w:r>
        <w:rPr>
          <w:b/>
          <w:bCs/>
          <w:color w:val="auto"/>
          <w:sz w:val="28"/>
          <w:szCs w:val="28"/>
        </w:rPr>
        <w:t>附图2 厂区平面布置图</w:t>
      </w:r>
      <w:bookmarkEnd w:id="71"/>
      <w:bookmarkEnd w:id="72"/>
      <w:bookmarkEnd w:id="73"/>
      <w:bookmarkEnd w:id="74"/>
      <w:bookmarkEnd w:id="75"/>
    </w:p>
    <w:p>
      <w:pPr>
        <w:rPr>
          <w:rFonts w:hint="eastAsia"/>
          <w:color w:val="auto"/>
          <w:lang w:val="en-US" w:eastAsia="zh-CN"/>
        </w:rPr>
      </w:pPr>
      <w:r>
        <w:drawing>
          <wp:inline distT="0" distB="0" distL="114300" distR="114300">
            <wp:extent cx="8404225" cy="5153025"/>
            <wp:effectExtent l="19050" t="19050" r="34925" b="28575"/>
            <wp:docPr id="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
                    <pic:cNvPicPr>
                      <a:picLocks noChangeAspect="1"/>
                    </pic:cNvPicPr>
                  </pic:nvPicPr>
                  <pic:blipFill>
                    <a:blip r:embed="rId24"/>
                    <a:srcRect t="2162" b="4006"/>
                    <a:stretch>
                      <a:fillRect/>
                    </a:stretch>
                  </pic:blipFill>
                  <pic:spPr>
                    <a:xfrm>
                      <a:off x="0" y="0"/>
                      <a:ext cx="8404225" cy="5153025"/>
                    </a:xfrm>
                    <a:prstGeom prst="rect">
                      <a:avLst/>
                    </a:prstGeom>
                    <a:noFill/>
                    <a:ln w="19050">
                      <a:solidFill>
                        <a:schemeClr val="tx1"/>
                      </a:solidFill>
                    </a:ln>
                  </pic:spPr>
                </pic:pic>
              </a:graphicData>
            </a:graphic>
          </wp:inline>
        </w:drawing>
      </w:r>
      <w:r>
        <w:rPr>
          <w:rFonts w:hint="eastAsia"/>
          <w:color w:val="auto"/>
          <w:lang w:val="en-US" w:eastAsia="zh-CN"/>
        </w:rPr>
        <w:br w:type="page"/>
      </w:r>
    </w:p>
    <w:p>
      <w:pPr>
        <w:widowControl/>
        <w:spacing w:line="360" w:lineRule="auto"/>
        <w:outlineLvl w:val="1"/>
        <w:rPr>
          <w:b/>
          <w:bCs/>
          <w:color w:val="auto"/>
          <w:sz w:val="28"/>
          <w:szCs w:val="28"/>
        </w:rPr>
      </w:pPr>
      <w:bookmarkStart w:id="76" w:name="_Toc32110"/>
      <w:bookmarkStart w:id="77" w:name="_Toc4653"/>
      <w:bookmarkStart w:id="78" w:name="_Toc14316"/>
      <w:bookmarkStart w:id="79" w:name="_Toc22328"/>
      <w:bookmarkStart w:id="80" w:name="_Toc6746"/>
      <w:r>
        <w:rPr>
          <w:b/>
          <w:bCs/>
          <w:color w:val="auto"/>
          <w:sz w:val="28"/>
          <w:szCs w:val="28"/>
        </w:rPr>
        <w:t>附图</w:t>
      </w:r>
      <w:r>
        <w:rPr>
          <w:rFonts w:hint="eastAsia"/>
          <w:b/>
          <w:bCs/>
          <w:color w:val="auto"/>
          <w:sz w:val="28"/>
          <w:szCs w:val="28"/>
        </w:rPr>
        <w:t>3</w:t>
      </w:r>
      <w:r>
        <w:rPr>
          <w:b/>
          <w:bCs/>
          <w:color w:val="auto"/>
          <w:sz w:val="28"/>
          <w:szCs w:val="28"/>
        </w:rPr>
        <w:t xml:space="preserve"> </w:t>
      </w:r>
      <w:r>
        <w:rPr>
          <w:rFonts w:hint="eastAsia"/>
          <w:b/>
          <w:bCs/>
          <w:color w:val="auto"/>
          <w:sz w:val="28"/>
          <w:szCs w:val="28"/>
        </w:rPr>
        <w:t>项目周边环境及敏感目标</w:t>
      </w:r>
      <w:r>
        <w:rPr>
          <w:b/>
          <w:bCs/>
          <w:color w:val="auto"/>
          <w:sz w:val="28"/>
          <w:szCs w:val="28"/>
        </w:rPr>
        <w:t>图</w:t>
      </w:r>
      <w:bookmarkEnd w:id="76"/>
      <w:bookmarkEnd w:id="77"/>
      <w:bookmarkEnd w:id="78"/>
      <w:bookmarkEnd w:id="79"/>
      <w:bookmarkEnd w:id="80"/>
    </w:p>
    <w:p>
      <w:pPr>
        <w:tabs>
          <w:tab w:val="left" w:pos="1187"/>
        </w:tabs>
        <w:bidi w:val="0"/>
        <w:jc w:val="left"/>
        <w:rPr>
          <w:color w:val="auto"/>
        </w:rPr>
      </w:pPr>
      <w:r>
        <w:rPr>
          <w:color w:val="auto"/>
          <w:sz w:val="18"/>
        </w:rPr>
        <mc:AlternateContent>
          <mc:Choice Requires="wps">
            <w:drawing>
              <wp:anchor distT="0" distB="0" distL="114300" distR="114300" simplePos="0" relativeHeight="251671552" behindDoc="0" locked="0" layoutInCell="1" allowOverlap="1">
                <wp:simplePos x="0" y="0"/>
                <wp:positionH relativeFrom="column">
                  <wp:posOffset>3937000</wp:posOffset>
                </wp:positionH>
                <wp:positionV relativeFrom="paragraph">
                  <wp:posOffset>1894205</wp:posOffset>
                </wp:positionV>
                <wp:extent cx="1101725" cy="448945"/>
                <wp:effectExtent l="0" t="0" r="0" b="0"/>
                <wp:wrapNone/>
                <wp:docPr id="28" name="矩形 28"/>
                <wp:cNvGraphicFramePr/>
                <a:graphic xmlns:a="http://schemas.openxmlformats.org/drawingml/2006/main">
                  <a:graphicData uri="http://schemas.microsoft.com/office/word/2010/wordprocessingShape">
                    <wps:wsp>
                      <wps:cNvSpPr/>
                      <wps:spPr>
                        <a:xfrm>
                          <a:off x="5728335" y="2042160"/>
                          <a:ext cx="1101725" cy="44894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安置区二期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0pt;margin-top:149.15pt;height:35.35pt;width:86.75pt;z-index:251671552;v-text-anchor:middle;mso-width-relative:page;mso-height-relative:page;" filled="f" stroked="f" coordsize="21600,21600" o:gfxdata="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LTnrkPYAAAACwEAAA8AAAAAAAAAAQAgAAAAIgAAAGRycy9kb3ducmV2LnhtbFBLAQIUABQAAAAI&#10;AIdO4kAng+6wXwIAAKQEAAAOAAAAAAAAAAEAIAAAACcBAABkcnMvZTJvRG9jLnhtbFBLBQYAAAAA&#10;BgAGAFkBAAD4BQAAAAA=&#10;">
                <v:fill on="f" focussize="0,0"/>
                <v:stroke on="f" weight="2pt"/>
                <v:imagedata o:title=""/>
                <o:lock v:ext="edit" aspectratio="f"/>
                <v:textbox>
                  <w:txbxContent>
                    <w:p>
                      <w:pPr>
                        <w:jc w:val="center"/>
                        <w:rPr>
                          <w:rFonts w:hint="default" w:eastAsia="宋体"/>
                          <w:lang w:val="en-US" w:eastAsia="zh-CN"/>
                        </w:rPr>
                      </w:pPr>
                      <w:r>
                        <w:rPr>
                          <w:rFonts w:hint="eastAsia"/>
                          <w:lang w:val="en-US" w:eastAsia="zh-CN"/>
                        </w:rPr>
                        <w:t>安置区二期</w:t>
                      </w:r>
                    </w:p>
                  </w:txbxContent>
                </v:textbox>
              </v:rect>
            </w:pict>
          </mc:Fallback>
        </mc:AlternateContent>
      </w:r>
      <w:r>
        <w:rPr>
          <w:color w:val="auto"/>
          <w:sz w:val="18"/>
        </w:rPr>
        <mc:AlternateContent>
          <mc:Choice Requires="wps">
            <w:drawing>
              <wp:anchor distT="0" distB="0" distL="114300" distR="114300" simplePos="0" relativeHeight="251672576" behindDoc="0" locked="0" layoutInCell="1" allowOverlap="1">
                <wp:simplePos x="0" y="0"/>
                <wp:positionH relativeFrom="column">
                  <wp:posOffset>2787650</wp:posOffset>
                </wp:positionH>
                <wp:positionV relativeFrom="paragraph">
                  <wp:posOffset>1711325</wp:posOffset>
                </wp:positionV>
                <wp:extent cx="1101725" cy="448945"/>
                <wp:effectExtent l="0" t="0" r="0" b="0"/>
                <wp:wrapNone/>
                <wp:docPr id="29" name="矩形 29"/>
                <wp:cNvGraphicFramePr/>
                <a:graphic xmlns:a="http://schemas.openxmlformats.org/drawingml/2006/main">
                  <a:graphicData uri="http://schemas.microsoft.com/office/word/2010/wordprocessingShape">
                    <wps:wsp>
                      <wps:cNvSpPr/>
                      <wps:spPr>
                        <a:xfrm>
                          <a:off x="0" y="0"/>
                          <a:ext cx="1101725" cy="44894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花园小区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9.5pt;margin-top:134.75pt;height:35.35pt;width:86.75pt;z-index:251672576;v-text-anchor:middle;mso-width-relative:page;mso-height-relative:page;" filled="f" stroked="f" coordsize="21600,21600" o:gfxdata="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PsqiADaAAAA&#10;CwEAAA8AAAAAAAAAAQAgAAAAIgAAAGRycy9kb3ducmV2LnhtbFBLAQIUABQAAAAIAIdO4kBnV0nO&#10;VAIAAJgEAAAOAAAAAAAAAAEAIAAAACkBAABkcnMvZTJvRG9jLnhtbFBLBQYAAAAABgAGAFkBAADv&#10;BQAAAAA=&#10;">
                <v:fill on="f" focussize="0,0"/>
                <v:stroke on="f" weight="2pt"/>
                <v:imagedata o:title=""/>
                <o:lock v:ext="edit" aspectratio="f"/>
                <v:textbox>
                  <w:txbxContent>
                    <w:p>
                      <w:pPr>
                        <w:jc w:val="center"/>
                        <w:rPr>
                          <w:rFonts w:hint="default" w:eastAsia="宋体"/>
                          <w:lang w:val="en-US" w:eastAsia="zh-CN"/>
                        </w:rPr>
                      </w:pPr>
                      <w:r>
                        <w:rPr>
                          <w:rFonts w:hint="eastAsia"/>
                          <w:lang w:val="en-US" w:eastAsia="zh-CN"/>
                        </w:rPr>
                        <w:t>花园小区</w:t>
                      </w:r>
                    </w:p>
                  </w:txbxContent>
                </v:textbox>
              </v:rect>
            </w:pict>
          </mc:Fallback>
        </mc:AlternateContent>
      </w:r>
      <w:r>
        <w:rPr>
          <w:color w:val="auto"/>
          <w:sz w:val="18"/>
        </w:rPr>
        <mc:AlternateContent>
          <mc:Choice Requires="wps">
            <w:drawing>
              <wp:anchor distT="0" distB="0" distL="114300" distR="114300" simplePos="0" relativeHeight="251674624" behindDoc="0" locked="0" layoutInCell="1" allowOverlap="1">
                <wp:simplePos x="0" y="0"/>
                <wp:positionH relativeFrom="column">
                  <wp:posOffset>1711960</wp:posOffset>
                </wp:positionH>
                <wp:positionV relativeFrom="paragraph">
                  <wp:posOffset>1386205</wp:posOffset>
                </wp:positionV>
                <wp:extent cx="911860" cy="530225"/>
                <wp:effectExtent l="0" t="0" r="0" b="0"/>
                <wp:wrapNone/>
                <wp:docPr id="34" name="矩形 34"/>
                <wp:cNvGraphicFramePr/>
                <a:graphic xmlns:a="http://schemas.openxmlformats.org/drawingml/2006/main">
                  <a:graphicData uri="http://schemas.microsoft.com/office/word/2010/wordprocessingShape">
                    <wps:wsp>
                      <wps:cNvSpPr/>
                      <wps:spPr>
                        <a:xfrm>
                          <a:off x="0" y="0"/>
                          <a:ext cx="911860" cy="5302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团洲乡中心小学</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4.8pt;margin-top:109.15pt;height:41.75pt;width:71.8pt;z-index:251674624;v-text-anchor:middle;mso-width-relative:page;mso-height-relative:page;" filled="f" stroked="f" coordsize="21600,21600" o:gfxdata="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0rMb+2gAAAAsB&#10;AAAPAAAAAAAAAAEAIAAAACIAAABkcnMvZG93bnJldi54bWxQSwECFAAUAAAACACHTuJALt1ubFIC&#10;AACXBAAADgAAAAAAAAABACAAAAApAQAAZHJzL2Uyb0RvYy54bWxQSwUGAAAAAAYABgBZAQAA7QUA&#10;AAAA&#10;">
                <v:fill on="f" focussize="0,0"/>
                <v:stroke on="f" weight="2pt"/>
                <v:imagedata o:title=""/>
                <o:lock v:ext="edit" aspectratio="f"/>
                <v:textbox>
                  <w:txbxContent>
                    <w:p>
                      <w:pPr>
                        <w:jc w:val="center"/>
                        <w:rPr>
                          <w:rFonts w:hint="default" w:eastAsia="宋体"/>
                          <w:lang w:val="en-US" w:eastAsia="zh-CN"/>
                        </w:rPr>
                      </w:pPr>
                      <w:r>
                        <w:rPr>
                          <w:rFonts w:hint="eastAsia"/>
                          <w:lang w:val="en-US" w:eastAsia="zh-CN"/>
                        </w:rPr>
                        <w:t>团洲乡中心小学</w:t>
                      </w:r>
                    </w:p>
                  </w:txbxContent>
                </v:textbox>
              </v:rect>
            </w:pict>
          </mc:Fallback>
        </mc:AlternateContent>
      </w:r>
      <w:r>
        <w:rPr>
          <w:color w:val="auto"/>
          <w:sz w:val="18"/>
        </w:rPr>
        <mc:AlternateContent>
          <mc:Choice Requires="wps">
            <w:drawing>
              <wp:anchor distT="0" distB="0" distL="114300" distR="114300" simplePos="0" relativeHeight="251673600" behindDoc="0" locked="0" layoutInCell="1" allowOverlap="1">
                <wp:simplePos x="0" y="0"/>
                <wp:positionH relativeFrom="column">
                  <wp:posOffset>3077845</wp:posOffset>
                </wp:positionH>
                <wp:positionV relativeFrom="paragraph">
                  <wp:posOffset>3186430</wp:posOffset>
                </wp:positionV>
                <wp:extent cx="1101725" cy="530225"/>
                <wp:effectExtent l="0" t="0" r="0" b="0"/>
                <wp:wrapNone/>
                <wp:docPr id="33" name="矩形 33"/>
                <wp:cNvGraphicFramePr/>
                <a:graphic xmlns:a="http://schemas.openxmlformats.org/drawingml/2006/main">
                  <a:graphicData uri="http://schemas.microsoft.com/office/word/2010/wordprocessingShape">
                    <wps:wsp>
                      <wps:cNvSpPr/>
                      <wps:spPr>
                        <a:xfrm>
                          <a:off x="0" y="0"/>
                          <a:ext cx="1101725" cy="5302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团洲乡居民散户</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2.35pt;margin-top:250.9pt;height:41.75pt;width:86.75pt;z-index:251673600;v-text-anchor:middle;mso-width-relative:page;mso-height-relative:page;" filled="f" stroked="f" coordsize="21600,21600" o:gfxdata="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pxm6GdoAAAAL&#10;AQAADwAAAAAAAAABACAAAAAiAAAAZHJzL2Rvd25yZXYueG1sUEsBAhQAFAAAAAgAh07iQIX0OG5T&#10;AgAAmAQAAA4AAAAAAAAAAQAgAAAAKQEAAGRycy9lMm9Eb2MueG1sUEsFBgAAAAAGAAYAWQEAAO4F&#10;AAAAAA==&#10;">
                <v:fill on="f" focussize="0,0"/>
                <v:stroke on="f" weight="2pt"/>
                <v:imagedata o:title=""/>
                <o:lock v:ext="edit" aspectratio="f"/>
                <v:textbox>
                  <w:txbxContent>
                    <w:p>
                      <w:pPr>
                        <w:jc w:val="center"/>
                        <w:rPr>
                          <w:rFonts w:hint="default" w:eastAsia="宋体"/>
                          <w:lang w:val="en-US" w:eastAsia="zh-CN"/>
                        </w:rPr>
                      </w:pPr>
                      <w:r>
                        <w:rPr>
                          <w:rFonts w:hint="eastAsia"/>
                          <w:lang w:val="en-US" w:eastAsia="zh-CN"/>
                        </w:rPr>
                        <w:t>团洲乡居民散户</w:t>
                      </w:r>
                    </w:p>
                  </w:txbxContent>
                </v:textbox>
              </v:rect>
            </w:pict>
          </mc:Fallback>
        </mc:AlternateContent>
      </w:r>
      <w:r>
        <w:rPr>
          <w:rFonts w:hint="default" w:ascii="Times New Roman" w:hAnsi="Times New Roman" w:cs="Times New Roman"/>
          <w:color w:val="auto"/>
        </w:rPr>
        <w:drawing>
          <wp:anchor distT="0" distB="0" distL="114300" distR="114300" simplePos="0" relativeHeight="251675648" behindDoc="0" locked="0" layoutInCell="1" allowOverlap="1">
            <wp:simplePos x="0" y="0"/>
            <wp:positionH relativeFrom="column">
              <wp:posOffset>7813675</wp:posOffset>
            </wp:positionH>
            <wp:positionV relativeFrom="paragraph">
              <wp:posOffset>78105</wp:posOffset>
            </wp:positionV>
            <wp:extent cx="529590" cy="689610"/>
            <wp:effectExtent l="0" t="0" r="3810" b="15240"/>
            <wp:wrapNone/>
            <wp:docPr id="36"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11"/>
                    <pic:cNvPicPr>
                      <a:picLocks noChangeAspect="1"/>
                    </pic:cNvPicPr>
                  </pic:nvPicPr>
                  <pic:blipFill>
                    <a:blip r:embed="rId25"/>
                    <a:stretch>
                      <a:fillRect/>
                    </a:stretch>
                  </pic:blipFill>
                  <pic:spPr>
                    <a:xfrm>
                      <a:off x="0" y="0"/>
                      <a:ext cx="529590" cy="689610"/>
                    </a:xfrm>
                    <a:prstGeom prst="rect">
                      <a:avLst/>
                    </a:prstGeom>
                    <a:noFill/>
                    <a:ln>
                      <a:noFill/>
                    </a:ln>
                  </pic:spPr>
                </pic:pic>
              </a:graphicData>
            </a:graphic>
          </wp:anchor>
        </w:drawing>
      </w:r>
      <w:r>
        <w:rPr>
          <w:color w:val="auto"/>
        </w:rPr>
        <w:drawing>
          <wp:inline distT="0" distB="0" distL="114300" distR="114300">
            <wp:extent cx="8397875" cy="5053330"/>
            <wp:effectExtent l="19050" t="19050" r="22225" b="33020"/>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26"/>
                    <a:stretch>
                      <a:fillRect/>
                    </a:stretch>
                  </pic:blipFill>
                  <pic:spPr>
                    <a:xfrm>
                      <a:off x="0" y="0"/>
                      <a:ext cx="8397875" cy="5053330"/>
                    </a:xfrm>
                    <a:prstGeom prst="rect">
                      <a:avLst/>
                    </a:prstGeom>
                    <a:noFill/>
                    <a:ln w="19050">
                      <a:solidFill>
                        <a:schemeClr val="tx1"/>
                      </a:solidFill>
                    </a:ln>
                  </pic:spPr>
                </pic:pic>
              </a:graphicData>
            </a:graphic>
          </wp:inline>
        </w:drawing>
      </w:r>
      <w:r>
        <w:rPr>
          <w:color w:val="auto"/>
          <w:sz w:val="18"/>
        </w:rPr>
        <mc:AlternateContent>
          <mc:Choice Requires="wps">
            <w:drawing>
              <wp:anchor distT="0" distB="0" distL="114300" distR="114300" simplePos="0" relativeHeight="251684864" behindDoc="0" locked="0" layoutInCell="1" allowOverlap="1">
                <wp:simplePos x="0" y="0"/>
                <wp:positionH relativeFrom="column">
                  <wp:posOffset>3937000</wp:posOffset>
                </wp:positionH>
                <wp:positionV relativeFrom="paragraph">
                  <wp:posOffset>1894205</wp:posOffset>
                </wp:positionV>
                <wp:extent cx="1101725" cy="448945"/>
                <wp:effectExtent l="0" t="0" r="0" b="0"/>
                <wp:wrapNone/>
                <wp:docPr id="31" name="矩形 31"/>
                <wp:cNvGraphicFramePr/>
                <a:graphic xmlns:a="http://schemas.openxmlformats.org/drawingml/2006/main">
                  <a:graphicData uri="http://schemas.microsoft.com/office/word/2010/wordprocessingShape">
                    <wps:wsp>
                      <wps:cNvSpPr/>
                      <wps:spPr>
                        <a:xfrm>
                          <a:off x="5728335" y="2042160"/>
                          <a:ext cx="1101725" cy="44894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安置区二期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0pt;margin-top:149.15pt;height:35.35pt;width:86.75pt;z-index:251684864;v-text-anchor:middle;mso-width-relative:page;mso-height-relative:page;" filled="f" stroked="f" coordsize="21600,21600" o:gfxdata="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LTnrkPYAAAACwEAAA8AAAAAAAAAAQAgAAAAIgAAAGRycy9kb3ducmV2LnhtbFBLAQIUABQAAAAI&#10;AIdO4kBdYuSCXwIAAKQEAAAOAAAAAAAAAAEAIAAAACcBAABkcnMvZTJvRG9jLnhtbFBLBQYAAAAA&#10;BgAGAFkBAAD4BQAAAAA=&#10;">
                <v:fill on="f" focussize="0,0"/>
                <v:stroke on="f" weight="2pt"/>
                <v:imagedata o:title=""/>
                <o:lock v:ext="edit" aspectratio="f"/>
                <v:textbox>
                  <w:txbxContent>
                    <w:p>
                      <w:pPr>
                        <w:jc w:val="center"/>
                        <w:rPr>
                          <w:rFonts w:hint="default" w:eastAsia="宋体"/>
                          <w:lang w:val="en-US" w:eastAsia="zh-CN"/>
                        </w:rPr>
                      </w:pPr>
                      <w:r>
                        <w:rPr>
                          <w:rFonts w:hint="eastAsia"/>
                          <w:lang w:val="en-US" w:eastAsia="zh-CN"/>
                        </w:rPr>
                        <w:t>安置区二期</w:t>
                      </w:r>
                    </w:p>
                  </w:txbxContent>
                </v:textbox>
              </v:rect>
            </w:pict>
          </mc:Fallback>
        </mc:AlternateContent>
      </w:r>
      <w:r>
        <w:rPr>
          <w:color w:val="auto"/>
          <w:sz w:val="18"/>
        </w:rPr>
        <mc:AlternateContent>
          <mc:Choice Requires="wps">
            <w:drawing>
              <wp:anchor distT="0" distB="0" distL="114300" distR="114300" simplePos="0" relativeHeight="251685888" behindDoc="0" locked="0" layoutInCell="1" allowOverlap="1">
                <wp:simplePos x="0" y="0"/>
                <wp:positionH relativeFrom="column">
                  <wp:posOffset>2787650</wp:posOffset>
                </wp:positionH>
                <wp:positionV relativeFrom="paragraph">
                  <wp:posOffset>1711325</wp:posOffset>
                </wp:positionV>
                <wp:extent cx="1101725" cy="448945"/>
                <wp:effectExtent l="0" t="0" r="0" b="0"/>
                <wp:wrapNone/>
                <wp:docPr id="32" name="矩形 32"/>
                <wp:cNvGraphicFramePr/>
                <a:graphic xmlns:a="http://schemas.openxmlformats.org/drawingml/2006/main">
                  <a:graphicData uri="http://schemas.microsoft.com/office/word/2010/wordprocessingShape">
                    <wps:wsp>
                      <wps:cNvSpPr/>
                      <wps:spPr>
                        <a:xfrm>
                          <a:off x="0" y="0"/>
                          <a:ext cx="1101725" cy="44894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花园小区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9.5pt;margin-top:134.75pt;height:35.35pt;width:86.75pt;z-index:251685888;v-text-anchor:middle;mso-width-relative:page;mso-height-relative:page;" filled="f" stroked="f" coordsize="21600,21600" o:gfxdata="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7KogA2gAA&#10;AAsBAAAPAAAAAAAAAAEAIAAAACIAAABkcnMvZG93bnJldi54bWxQSwECFAAUAAAACACHTuJAg24S&#10;nlUCAACYBAAADgAAAAAAAAABACAAAAApAQAAZHJzL2Uyb0RvYy54bWxQSwUGAAAAAAYABgBZAQAA&#10;8AUAAAAA&#10;">
                <v:fill on="f" focussize="0,0"/>
                <v:stroke on="f" weight="2pt"/>
                <v:imagedata o:title=""/>
                <o:lock v:ext="edit" aspectratio="f"/>
                <v:textbox>
                  <w:txbxContent>
                    <w:p>
                      <w:pPr>
                        <w:jc w:val="center"/>
                        <w:rPr>
                          <w:rFonts w:hint="default" w:eastAsia="宋体"/>
                          <w:lang w:val="en-US" w:eastAsia="zh-CN"/>
                        </w:rPr>
                      </w:pPr>
                      <w:r>
                        <w:rPr>
                          <w:rFonts w:hint="eastAsia"/>
                          <w:lang w:val="en-US" w:eastAsia="zh-CN"/>
                        </w:rPr>
                        <w:t>花园小区</w:t>
                      </w:r>
                    </w:p>
                  </w:txbxContent>
                </v:textbox>
              </v:rect>
            </w:pict>
          </mc:Fallback>
        </mc:AlternateContent>
      </w:r>
      <w:r>
        <w:rPr>
          <w:color w:val="auto"/>
          <w:sz w:val="18"/>
        </w:rPr>
        <mc:AlternateContent>
          <mc:Choice Requires="wps">
            <w:drawing>
              <wp:anchor distT="0" distB="0" distL="114300" distR="114300" simplePos="0" relativeHeight="251687936" behindDoc="0" locked="0" layoutInCell="1" allowOverlap="1">
                <wp:simplePos x="0" y="0"/>
                <wp:positionH relativeFrom="column">
                  <wp:posOffset>1711960</wp:posOffset>
                </wp:positionH>
                <wp:positionV relativeFrom="paragraph">
                  <wp:posOffset>1386205</wp:posOffset>
                </wp:positionV>
                <wp:extent cx="911860" cy="530225"/>
                <wp:effectExtent l="0" t="0" r="0" b="0"/>
                <wp:wrapNone/>
                <wp:docPr id="35" name="矩形 35"/>
                <wp:cNvGraphicFramePr/>
                <a:graphic xmlns:a="http://schemas.openxmlformats.org/drawingml/2006/main">
                  <a:graphicData uri="http://schemas.microsoft.com/office/word/2010/wordprocessingShape">
                    <wps:wsp>
                      <wps:cNvSpPr/>
                      <wps:spPr>
                        <a:xfrm>
                          <a:off x="0" y="0"/>
                          <a:ext cx="911860" cy="5302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团洲乡中心小学</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4.8pt;margin-top:109.15pt;height:41.75pt;width:71.8pt;z-index:251687936;v-text-anchor:middle;mso-width-relative:page;mso-height-relative:page;" filled="f" stroked="f" coordsize="21600,21600" o:gfxdata="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9KzG/toAAAAL&#10;AQAADwAAAAAAAAABACAAAAAiAAAAZHJzL2Rvd25yZXYueG1sUEsBAhQAFAAAAAgAh07iQLKGWX5T&#10;AgAAlwQAAA4AAAAAAAAAAQAgAAAAKQEAAGRycy9lMm9Eb2MueG1sUEsFBgAAAAAGAAYAWQEAAO4F&#10;AAAAAA==&#10;">
                <v:fill on="f" focussize="0,0"/>
                <v:stroke on="f" weight="2pt"/>
                <v:imagedata o:title=""/>
                <o:lock v:ext="edit" aspectratio="f"/>
                <v:textbox>
                  <w:txbxContent>
                    <w:p>
                      <w:pPr>
                        <w:jc w:val="center"/>
                        <w:rPr>
                          <w:rFonts w:hint="default" w:eastAsia="宋体"/>
                          <w:lang w:val="en-US" w:eastAsia="zh-CN"/>
                        </w:rPr>
                      </w:pPr>
                      <w:r>
                        <w:rPr>
                          <w:rFonts w:hint="eastAsia"/>
                          <w:lang w:val="en-US" w:eastAsia="zh-CN"/>
                        </w:rPr>
                        <w:t>团洲乡中心小学</w:t>
                      </w:r>
                    </w:p>
                  </w:txbxContent>
                </v:textbox>
              </v:rect>
            </w:pict>
          </mc:Fallback>
        </mc:AlternateContent>
      </w:r>
      <w:r>
        <w:rPr>
          <w:color w:val="auto"/>
          <w:sz w:val="18"/>
        </w:rPr>
        <mc:AlternateContent>
          <mc:Choice Requires="wps">
            <w:drawing>
              <wp:anchor distT="0" distB="0" distL="114300" distR="114300" simplePos="0" relativeHeight="251686912" behindDoc="0" locked="0" layoutInCell="1" allowOverlap="1">
                <wp:simplePos x="0" y="0"/>
                <wp:positionH relativeFrom="column">
                  <wp:posOffset>3077845</wp:posOffset>
                </wp:positionH>
                <wp:positionV relativeFrom="paragraph">
                  <wp:posOffset>3186430</wp:posOffset>
                </wp:positionV>
                <wp:extent cx="1101725" cy="530225"/>
                <wp:effectExtent l="0" t="0" r="0" b="0"/>
                <wp:wrapNone/>
                <wp:docPr id="37" name="矩形 37"/>
                <wp:cNvGraphicFramePr/>
                <a:graphic xmlns:a="http://schemas.openxmlformats.org/drawingml/2006/main">
                  <a:graphicData uri="http://schemas.microsoft.com/office/word/2010/wordprocessingShape">
                    <wps:wsp>
                      <wps:cNvSpPr/>
                      <wps:spPr>
                        <a:xfrm>
                          <a:off x="0" y="0"/>
                          <a:ext cx="1101725" cy="5302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团洲乡居民散户</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2.35pt;margin-top:250.9pt;height:41.75pt;width:86.75pt;z-index:251686912;v-text-anchor:middle;mso-width-relative:page;mso-height-relative:page;" filled="f" stroked="f" coordsize="21600,21600" o:gfxdata="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pxm6GdoAAAAL&#10;AQAADwAAAAAAAAABACAAAAAiAAAAZHJzL2Rvd25yZXYueG1sUEsBAhQAFAAAAAgAh07iQNdYdT5T&#10;AgAAmAQAAA4AAAAAAAAAAQAgAAAAKQEAAGRycy9lMm9Eb2MueG1sUEsFBgAAAAAGAAYAWQEAAO4F&#10;AAAAAA==&#10;">
                <v:fill on="f" focussize="0,0"/>
                <v:stroke on="f" weight="2pt"/>
                <v:imagedata o:title=""/>
                <o:lock v:ext="edit" aspectratio="f"/>
                <v:textbox>
                  <w:txbxContent>
                    <w:p>
                      <w:pPr>
                        <w:jc w:val="center"/>
                        <w:rPr>
                          <w:rFonts w:hint="default" w:eastAsia="宋体"/>
                          <w:lang w:val="en-US" w:eastAsia="zh-CN"/>
                        </w:rPr>
                      </w:pPr>
                      <w:r>
                        <w:rPr>
                          <w:rFonts w:hint="eastAsia"/>
                          <w:lang w:val="en-US" w:eastAsia="zh-CN"/>
                        </w:rPr>
                        <w:t>团洲乡居民散户</w:t>
                      </w:r>
                    </w:p>
                  </w:txbxContent>
                </v:textbox>
              </v:rect>
            </w:pict>
          </mc:Fallback>
        </mc:AlternateContent>
      </w:r>
      <w:r>
        <w:rPr>
          <w:rFonts w:hint="default" w:ascii="Times New Roman" w:hAnsi="Times New Roman" w:cs="Times New Roman"/>
          <w:color w:val="auto"/>
        </w:rPr>
        <w:drawing>
          <wp:anchor distT="0" distB="0" distL="114300" distR="114300" simplePos="0" relativeHeight="251688960" behindDoc="0" locked="0" layoutInCell="1" allowOverlap="1">
            <wp:simplePos x="0" y="0"/>
            <wp:positionH relativeFrom="column">
              <wp:posOffset>7813675</wp:posOffset>
            </wp:positionH>
            <wp:positionV relativeFrom="paragraph">
              <wp:posOffset>78105</wp:posOffset>
            </wp:positionV>
            <wp:extent cx="529590" cy="689610"/>
            <wp:effectExtent l="0" t="0" r="3810" b="15240"/>
            <wp:wrapNone/>
            <wp:docPr id="39"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11"/>
                    <pic:cNvPicPr>
                      <a:picLocks noChangeAspect="1"/>
                    </pic:cNvPicPr>
                  </pic:nvPicPr>
                  <pic:blipFill>
                    <a:blip r:embed="rId25"/>
                    <a:stretch>
                      <a:fillRect/>
                    </a:stretch>
                  </pic:blipFill>
                  <pic:spPr>
                    <a:xfrm>
                      <a:off x="0" y="0"/>
                      <a:ext cx="529590" cy="689610"/>
                    </a:xfrm>
                    <a:prstGeom prst="rect">
                      <a:avLst/>
                    </a:prstGeom>
                    <a:noFill/>
                    <a:ln>
                      <a:noFill/>
                    </a:ln>
                  </pic:spPr>
                </pic:pic>
              </a:graphicData>
            </a:graphic>
          </wp:anchor>
        </w:drawing>
      </w:r>
    </w:p>
    <w:p>
      <w:pPr>
        <w:pStyle w:val="11"/>
        <w:rPr>
          <w:color w:val="auto"/>
        </w:rPr>
      </w:pPr>
    </w:p>
    <w:p>
      <w:pPr>
        <w:rPr>
          <w:color w:val="auto"/>
        </w:rPr>
      </w:pPr>
      <w:r>
        <w:rPr>
          <w:color w:val="auto"/>
        </w:rPr>
        <w:br w:type="page"/>
      </w:r>
    </w:p>
    <w:p>
      <w:pPr>
        <w:widowControl/>
        <w:spacing w:line="360" w:lineRule="auto"/>
        <w:outlineLvl w:val="1"/>
        <w:rPr>
          <w:b/>
          <w:bCs/>
          <w:color w:val="auto"/>
          <w:sz w:val="28"/>
          <w:szCs w:val="28"/>
        </w:rPr>
      </w:pPr>
      <w:bookmarkStart w:id="81" w:name="_Toc30936"/>
      <w:r>
        <w:rPr>
          <w:b/>
          <w:bCs/>
          <w:color w:val="auto"/>
          <w:sz w:val="28"/>
          <w:szCs w:val="28"/>
        </w:rPr>
        <w:t>附图</w:t>
      </w:r>
      <w:r>
        <w:rPr>
          <w:rFonts w:hint="eastAsia"/>
          <w:b/>
          <w:bCs/>
          <w:color w:val="auto"/>
          <w:sz w:val="28"/>
          <w:szCs w:val="28"/>
          <w:lang w:val="en-US" w:eastAsia="zh-CN"/>
        </w:rPr>
        <w:t>4</w:t>
      </w:r>
      <w:r>
        <w:rPr>
          <w:b/>
          <w:bCs/>
          <w:color w:val="auto"/>
          <w:sz w:val="28"/>
          <w:szCs w:val="28"/>
        </w:rPr>
        <w:t xml:space="preserve"> </w:t>
      </w:r>
      <w:r>
        <w:rPr>
          <w:rFonts w:hint="eastAsia"/>
          <w:b/>
          <w:bCs/>
          <w:color w:val="auto"/>
          <w:sz w:val="28"/>
          <w:szCs w:val="28"/>
          <w:lang w:val="en-US" w:eastAsia="zh-CN"/>
        </w:rPr>
        <w:t>噪声监测布点</w:t>
      </w:r>
      <w:r>
        <w:rPr>
          <w:b/>
          <w:bCs/>
          <w:color w:val="auto"/>
          <w:sz w:val="28"/>
          <w:szCs w:val="28"/>
        </w:rPr>
        <w:t>图</w:t>
      </w:r>
      <w:bookmarkEnd w:id="81"/>
    </w:p>
    <w:p>
      <w:pPr>
        <w:widowControl/>
        <w:spacing w:line="360" w:lineRule="auto"/>
        <w:outlineLvl w:val="1"/>
        <w:rPr>
          <w:color w:val="auto"/>
        </w:rPr>
      </w:pPr>
      <w:bookmarkStart w:id="82" w:name="_Toc9715"/>
      <w:bookmarkStart w:id="83" w:name="_Toc27990"/>
      <w:bookmarkStart w:id="84" w:name="_Toc25053"/>
      <w:r>
        <w:rPr>
          <w:rFonts w:hint="default" w:ascii="Times New Roman" w:hAnsi="Times New Roman" w:cs="Times New Roman"/>
          <w:color w:val="auto"/>
        </w:rPr>
        <w:drawing>
          <wp:anchor distT="0" distB="0" distL="114300" distR="114300" simplePos="0" relativeHeight="251676672" behindDoc="0" locked="0" layoutInCell="1" allowOverlap="1">
            <wp:simplePos x="0" y="0"/>
            <wp:positionH relativeFrom="column">
              <wp:posOffset>7806690</wp:posOffset>
            </wp:positionH>
            <wp:positionV relativeFrom="paragraph">
              <wp:posOffset>90805</wp:posOffset>
            </wp:positionV>
            <wp:extent cx="529590" cy="689610"/>
            <wp:effectExtent l="0" t="0" r="3810" b="15240"/>
            <wp:wrapNone/>
            <wp:docPr id="38"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11"/>
                    <pic:cNvPicPr>
                      <a:picLocks noChangeAspect="1"/>
                    </pic:cNvPicPr>
                  </pic:nvPicPr>
                  <pic:blipFill>
                    <a:blip r:embed="rId25"/>
                    <a:stretch>
                      <a:fillRect/>
                    </a:stretch>
                  </pic:blipFill>
                  <pic:spPr>
                    <a:xfrm>
                      <a:off x="0" y="0"/>
                      <a:ext cx="529590" cy="689610"/>
                    </a:xfrm>
                    <a:prstGeom prst="rect">
                      <a:avLst/>
                    </a:prstGeom>
                    <a:noFill/>
                    <a:ln>
                      <a:noFill/>
                    </a:ln>
                  </pic:spPr>
                </pic:pic>
              </a:graphicData>
            </a:graphic>
          </wp:anchor>
        </w:drawing>
      </w:r>
      <w:r>
        <w:rPr>
          <w:color w:val="auto"/>
        </w:rPr>
        <w:drawing>
          <wp:inline distT="0" distB="0" distL="114300" distR="114300">
            <wp:extent cx="7958455" cy="4963795"/>
            <wp:effectExtent l="19050" t="19050" r="23495" b="27305"/>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27"/>
                    <a:stretch>
                      <a:fillRect/>
                    </a:stretch>
                  </pic:blipFill>
                  <pic:spPr>
                    <a:xfrm>
                      <a:off x="0" y="0"/>
                      <a:ext cx="7958455" cy="4963795"/>
                    </a:xfrm>
                    <a:prstGeom prst="rect">
                      <a:avLst/>
                    </a:prstGeom>
                    <a:noFill/>
                    <a:ln w="19050" cmpd="sng">
                      <a:solidFill>
                        <a:schemeClr val="tx1"/>
                      </a:solidFill>
                      <a:prstDash val="solid"/>
                    </a:ln>
                  </pic:spPr>
                </pic:pic>
              </a:graphicData>
            </a:graphic>
          </wp:inline>
        </w:drawing>
      </w:r>
      <w:bookmarkEnd w:id="82"/>
      <w:bookmarkEnd w:id="83"/>
      <w:bookmarkEnd w:id="84"/>
      <w:bookmarkStart w:id="85" w:name="_Toc19812"/>
    </w:p>
    <w:p>
      <w:pPr>
        <w:rPr>
          <w:color w:val="auto"/>
        </w:rPr>
      </w:pPr>
      <w:r>
        <w:rPr>
          <w:color w:val="auto"/>
        </w:rPr>
        <w:br w:type="page"/>
      </w:r>
    </w:p>
    <w:p>
      <w:pPr>
        <w:widowControl/>
        <w:spacing w:line="360" w:lineRule="auto"/>
        <w:outlineLvl w:val="1"/>
        <w:rPr>
          <w:rFonts w:hint="default"/>
          <w:b/>
          <w:bCs/>
          <w:color w:val="auto"/>
          <w:sz w:val="28"/>
          <w:szCs w:val="28"/>
          <w:lang w:val="en-US"/>
        </w:rPr>
      </w:pPr>
      <w:bookmarkStart w:id="86" w:name="_Toc2703"/>
      <w:r>
        <w:rPr>
          <w:b/>
          <w:bCs/>
          <w:color w:val="auto"/>
          <w:sz w:val="28"/>
          <w:szCs w:val="28"/>
        </w:rPr>
        <w:t>附图</w:t>
      </w:r>
      <w:r>
        <w:rPr>
          <w:rFonts w:hint="eastAsia"/>
          <w:b/>
          <w:bCs/>
          <w:color w:val="auto"/>
          <w:sz w:val="28"/>
          <w:szCs w:val="28"/>
          <w:lang w:val="en-US" w:eastAsia="zh-CN"/>
        </w:rPr>
        <w:t>5</w:t>
      </w:r>
      <w:r>
        <w:rPr>
          <w:b/>
          <w:bCs/>
          <w:color w:val="auto"/>
          <w:sz w:val="28"/>
          <w:szCs w:val="28"/>
        </w:rPr>
        <w:t xml:space="preserve"> </w:t>
      </w:r>
      <w:r>
        <w:rPr>
          <w:rFonts w:hint="eastAsia"/>
          <w:b/>
          <w:bCs/>
          <w:color w:val="auto"/>
          <w:sz w:val="28"/>
          <w:szCs w:val="28"/>
          <w:lang w:val="en-US" w:eastAsia="zh-CN"/>
        </w:rPr>
        <w:t>本项目与湖南东洞庭湖国家级自然保护区位置示意图</w:t>
      </w:r>
      <w:bookmarkEnd w:id="85"/>
      <w:r>
        <w:rPr>
          <w:rFonts w:hint="eastAsia"/>
          <w:b/>
          <w:bCs/>
          <w:color w:val="auto"/>
          <w:sz w:val="28"/>
          <w:szCs w:val="28"/>
          <w:lang w:val="en-US" w:eastAsia="zh-CN"/>
        </w:rPr>
        <w:t>（调整前及调整后）</w:t>
      </w:r>
      <w:bookmarkEnd w:id="86"/>
    </w:p>
    <w:p>
      <w:pPr>
        <w:rPr>
          <w:color w:val="auto"/>
        </w:rPr>
      </w:pPr>
      <w:r>
        <w:rPr>
          <w:color w:val="auto"/>
          <w:sz w:val="21"/>
        </w:rPr>
        <mc:AlternateContent>
          <mc:Choice Requires="wps">
            <w:drawing>
              <wp:anchor distT="0" distB="0" distL="114300" distR="114300" simplePos="0" relativeHeight="251679744" behindDoc="0" locked="0" layoutInCell="1" allowOverlap="1">
                <wp:simplePos x="0" y="0"/>
                <wp:positionH relativeFrom="column">
                  <wp:posOffset>2600960</wp:posOffset>
                </wp:positionH>
                <wp:positionV relativeFrom="paragraph">
                  <wp:posOffset>1749425</wp:posOffset>
                </wp:positionV>
                <wp:extent cx="976630" cy="424815"/>
                <wp:effectExtent l="0" t="0" r="0" b="0"/>
                <wp:wrapNone/>
                <wp:docPr id="58" name="矩形 58"/>
                <wp:cNvGraphicFramePr/>
                <a:graphic xmlns:a="http://schemas.openxmlformats.org/drawingml/2006/main">
                  <a:graphicData uri="http://schemas.microsoft.com/office/word/2010/wordprocessingShape">
                    <wps:wsp>
                      <wps:cNvSpPr/>
                      <wps:spPr>
                        <a:xfrm>
                          <a:off x="3971925" y="3169920"/>
                          <a:ext cx="976630" cy="424815"/>
                        </a:xfrm>
                        <a:prstGeom prst="rect">
                          <a:avLst/>
                        </a:prstGeom>
                        <a:noFill/>
                        <a:ln w="15875">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color w:val="FF0000"/>
                                <w:lang w:val="en-US" w:eastAsia="zh-CN"/>
                              </w:rPr>
                            </w:pPr>
                            <w:r>
                              <w:rPr>
                                <w:rFonts w:hint="eastAsia"/>
                                <w:color w:val="FF000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4.8pt;margin-top:137.75pt;height:33.45pt;width:76.9pt;z-index:251679744;v-text-anchor:middle;mso-width-relative:page;mso-height-relative:page;" filled="f" stroked="f" coordsize="21600,21600" o:gfxdata="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NKF8hbbAAAACwEAAA8AAAAAAAAAAQAgAAAAIgAAAGRycy9kb3ducmV2LnhtbFBLAQIUABQA&#10;AAAIAIdO4kBcsakeXwIAAKMEAAAOAAAAAAAAAAEAIAAAACoBAABkcnMvZTJvRG9jLnhtbFBLBQYA&#10;AAAABgAGAFkBAAD7BQAAAAA=&#10;">
                <v:fill on="f" focussize="0,0"/>
                <v:stroke on="f" weight="1.25pt"/>
                <v:imagedata o:title=""/>
                <o:lock v:ext="edit" aspectratio="f"/>
                <v:textbox>
                  <w:txbxContent>
                    <w:p>
                      <w:pPr>
                        <w:jc w:val="center"/>
                        <w:rPr>
                          <w:rFonts w:hint="default" w:eastAsia="宋体"/>
                          <w:color w:val="FF0000"/>
                          <w:lang w:val="en-US" w:eastAsia="zh-CN"/>
                        </w:rPr>
                      </w:pPr>
                      <w:r>
                        <w:rPr>
                          <w:rFonts w:hint="eastAsia"/>
                          <w:color w:val="FF0000"/>
                          <w:lang w:val="en-US" w:eastAsia="zh-CN"/>
                        </w:rPr>
                        <w:t>项目所在地</w:t>
                      </w:r>
                    </w:p>
                  </w:txbxContent>
                </v:textbox>
              </v:rect>
            </w:pict>
          </mc:Fallback>
        </mc:AlternateContent>
      </w:r>
      <w:r>
        <w:rPr>
          <w:color w:val="auto"/>
          <w:sz w:val="21"/>
        </w:rPr>
        <mc:AlternateContent>
          <mc:Choice Requires="wps">
            <w:drawing>
              <wp:anchor distT="0" distB="0" distL="114300" distR="114300" simplePos="0" relativeHeight="251678720" behindDoc="0" locked="0" layoutInCell="1" allowOverlap="1">
                <wp:simplePos x="0" y="0"/>
                <wp:positionH relativeFrom="column">
                  <wp:posOffset>3041650</wp:posOffset>
                </wp:positionH>
                <wp:positionV relativeFrom="paragraph">
                  <wp:posOffset>2122170</wp:posOffset>
                </wp:positionV>
                <wp:extent cx="97790" cy="102235"/>
                <wp:effectExtent l="4445" t="4445" r="12065" b="7620"/>
                <wp:wrapNone/>
                <wp:docPr id="59" name="五角星 59"/>
                <wp:cNvGraphicFramePr/>
                <a:graphic xmlns:a="http://schemas.openxmlformats.org/drawingml/2006/main">
                  <a:graphicData uri="http://schemas.microsoft.com/office/word/2010/wordprocessingShape">
                    <wps:wsp>
                      <wps:cNvSpPr/>
                      <wps:spPr>
                        <a:xfrm>
                          <a:off x="4241165" y="3517265"/>
                          <a:ext cx="97790" cy="102235"/>
                        </a:xfrm>
                        <a:prstGeom prst="star5">
                          <a:avLst/>
                        </a:prstGeom>
                        <a:solidFill>
                          <a:schemeClr val="accent2"/>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39.5pt;margin-top:167.1pt;height:8.05pt;width:7.7pt;z-index:251678720;v-text-anchor:middle;mso-width-relative:page;mso-height-relative:page;" fillcolor="#C0504D [3205]" filled="t" stroked="t" coordsize="97790,102235" o:gfxdata="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KTlcgvXAAAACwEAAA8AAAAAAAAAAQAgAAAAIgAA&#10;AGRycy9kb3ducmV2LnhtbFBLAQIUABQAAAAIAIdO4kC07eYvewIAAOwEAAAOAAAAAAAAAAEAIAAA&#10;ACYBAABkcnMvZTJvRG9jLnhtbFBLBQYAAAAABgAGAFkBAAATBgAAAAA=&#10;" path="m0,39050l37352,39050,48895,0,60437,39050,97789,39050,67570,63184,79113,102234,48895,78100,18676,102234,30219,63184xe">
                <v:path o:connectlocs="48895,0;0,39050;18676,102234;79113,102234;97789,39050" o:connectangles="247,164,82,82,0"/>
                <v:fill on="t" focussize="0,0"/>
                <v:stroke color="#000000 [3213]" joinstyle="round"/>
                <v:imagedata o:title=""/>
                <o:lock v:ext="edit" aspectratio="f"/>
              </v:shape>
            </w:pict>
          </mc:Fallback>
        </mc:AlternateContent>
      </w:r>
      <w:r>
        <w:rPr>
          <w:color w:val="auto"/>
        </w:rPr>
        <w:drawing>
          <wp:inline distT="0" distB="0" distL="114300" distR="114300">
            <wp:extent cx="8048625" cy="5265420"/>
            <wp:effectExtent l="0" t="0" r="9525" b="11430"/>
            <wp:docPr id="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
                    <pic:cNvPicPr>
                      <a:picLocks noChangeAspect="1"/>
                    </pic:cNvPicPr>
                  </pic:nvPicPr>
                  <pic:blipFill>
                    <a:blip r:embed="rId28"/>
                    <a:stretch>
                      <a:fillRect/>
                    </a:stretch>
                  </pic:blipFill>
                  <pic:spPr>
                    <a:xfrm>
                      <a:off x="0" y="0"/>
                      <a:ext cx="8048625" cy="5265420"/>
                    </a:xfrm>
                    <a:prstGeom prst="rect">
                      <a:avLst/>
                    </a:prstGeom>
                    <a:noFill/>
                    <a:ln>
                      <a:noFill/>
                    </a:ln>
                  </pic:spPr>
                </pic:pic>
              </a:graphicData>
            </a:graphic>
          </wp:inline>
        </w:drawing>
      </w:r>
    </w:p>
    <w:p>
      <w:pPr>
        <w:rPr>
          <w:rFonts w:hint="eastAsia" w:eastAsia="宋体"/>
          <w:color w:val="auto"/>
          <w:lang w:eastAsia="zh-CN"/>
        </w:rPr>
        <w:sectPr>
          <w:pgSz w:w="16838" w:h="11906" w:orient="landscape"/>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color w:val="auto"/>
          <w:sz w:val="21"/>
        </w:rPr>
        <mc:AlternateContent>
          <mc:Choice Requires="wps">
            <w:drawing>
              <wp:anchor distT="0" distB="0" distL="114300" distR="114300" simplePos="0" relativeHeight="251680768" behindDoc="0" locked="0" layoutInCell="1" allowOverlap="1">
                <wp:simplePos x="0" y="0"/>
                <wp:positionH relativeFrom="column">
                  <wp:posOffset>2261870</wp:posOffset>
                </wp:positionH>
                <wp:positionV relativeFrom="paragraph">
                  <wp:posOffset>2283460</wp:posOffset>
                </wp:positionV>
                <wp:extent cx="976630" cy="424815"/>
                <wp:effectExtent l="0" t="0" r="0" b="0"/>
                <wp:wrapNone/>
                <wp:docPr id="3" name="矩形 3"/>
                <wp:cNvGraphicFramePr/>
                <a:graphic xmlns:a="http://schemas.openxmlformats.org/drawingml/2006/main">
                  <a:graphicData uri="http://schemas.microsoft.com/office/word/2010/wordprocessingShape">
                    <wps:wsp>
                      <wps:cNvSpPr/>
                      <wps:spPr>
                        <a:xfrm>
                          <a:off x="0" y="0"/>
                          <a:ext cx="976630" cy="424815"/>
                        </a:xfrm>
                        <a:prstGeom prst="rect">
                          <a:avLst/>
                        </a:prstGeom>
                        <a:noFill/>
                        <a:ln w="15875">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color w:val="FF0000"/>
                                <w:lang w:val="en-US" w:eastAsia="zh-CN"/>
                              </w:rPr>
                            </w:pPr>
                            <w:r>
                              <w:rPr>
                                <w:rFonts w:hint="eastAsia"/>
                                <w:color w:val="FF000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8.1pt;margin-top:179.8pt;height:33.45pt;width:76.9pt;z-index:251680768;v-text-anchor:middle;mso-width-relative:page;mso-height-relative:page;" filled="f" stroked="f" coordsize="21600,21600" o:gfxdata="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XyX1D2gAAAAsB&#10;AAAPAAAAAAAAAAEAIAAAACIAAABkcnMvZG93bnJldi54bWxQSwECFAAUAAAACACHTuJAmHmpIVIC&#10;AACVBAAADgAAAAAAAAABACAAAAApAQAAZHJzL2Uyb0RvYy54bWxQSwUGAAAAAAYABgBZAQAA7QUA&#10;AAAA&#10;">
                <v:fill on="f" focussize="0,0"/>
                <v:stroke on="f" weight="1.25pt"/>
                <v:imagedata o:title=""/>
                <o:lock v:ext="edit" aspectratio="f"/>
                <v:textbox>
                  <w:txbxContent>
                    <w:p>
                      <w:pPr>
                        <w:jc w:val="center"/>
                        <w:rPr>
                          <w:rFonts w:hint="default" w:eastAsia="宋体"/>
                          <w:color w:val="FF0000"/>
                          <w:lang w:val="en-US" w:eastAsia="zh-CN"/>
                        </w:rPr>
                      </w:pPr>
                      <w:r>
                        <w:rPr>
                          <w:rFonts w:hint="eastAsia"/>
                          <w:color w:val="FF0000"/>
                          <w:lang w:val="en-US" w:eastAsia="zh-CN"/>
                        </w:rPr>
                        <w:t>项目所在地</w:t>
                      </w:r>
                    </w:p>
                  </w:txbxContent>
                </v:textbox>
              </v:rect>
            </w:pict>
          </mc:Fallback>
        </mc:AlternateContent>
      </w:r>
      <w:r>
        <w:rPr>
          <w:color w:val="auto"/>
          <w:sz w:val="21"/>
        </w:rPr>
        <mc:AlternateContent>
          <mc:Choice Requires="wps">
            <w:drawing>
              <wp:anchor distT="0" distB="0" distL="114300" distR="114300" simplePos="0" relativeHeight="251682816" behindDoc="0" locked="0" layoutInCell="1" allowOverlap="1">
                <wp:simplePos x="0" y="0"/>
                <wp:positionH relativeFrom="column">
                  <wp:posOffset>2728595</wp:posOffset>
                </wp:positionH>
                <wp:positionV relativeFrom="paragraph">
                  <wp:posOffset>2698750</wp:posOffset>
                </wp:positionV>
                <wp:extent cx="97790" cy="102235"/>
                <wp:effectExtent l="4445" t="4445" r="12065" b="7620"/>
                <wp:wrapNone/>
                <wp:docPr id="61" name="五角星 61"/>
                <wp:cNvGraphicFramePr/>
                <a:graphic xmlns:a="http://schemas.openxmlformats.org/drawingml/2006/main">
                  <a:graphicData uri="http://schemas.microsoft.com/office/word/2010/wordprocessingShape">
                    <wps:wsp>
                      <wps:cNvSpPr/>
                      <wps:spPr>
                        <a:xfrm>
                          <a:off x="0" y="0"/>
                          <a:ext cx="97790" cy="102235"/>
                        </a:xfrm>
                        <a:prstGeom prst="star5">
                          <a:avLst/>
                        </a:prstGeom>
                        <a:solidFill>
                          <a:schemeClr val="accent2"/>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14.85pt;margin-top:212.5pt;height:8.05pt;width:7.7pt;z-index:251682816;v-text-anchor:middle;mso-width-relative:page;mso-height-relative:page;" fillcolor="#C0504D [3205]" filled="t" stroked="t" coordsize="97790,102235" o:gfxdata="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N5yhP3VAAAACwEAAA8AAAAAAAAAAQAgAAAAIgAAAGRycy9kb3ducmV2LnhtbFBL&#10;AQIUABQAAAAIAIdO4kBgmhRcawIAAOAEAAAOAAAAAAAAAAEAIAAAACQBAABkcnMvZTJvRG9jLnht&#10;bFBLBQYAAAAABgAGAFkBAAABBgAAAAA=&#10;" path="m0,39050l37352,39050,48895,0,60437,39050,97789,39050,67570,63184,79113,102234,48895,78100,18676,102234,30219,63184xe">
                <v:path o:connectlocs="48895,0;0,39050;18676,102234;79113,102234;97789,39050" o:connectangles="247,164,82,82,0"/>
                <v:fill on="t" focussize="0,0"/>
                <v:stroke color="#000000 [3213]" joinstyle="round"/>
                <v:imagedata o:title=""/>
                <o:lock v:ext="edit" aspectratio="f"/>
              </v:shape>
            </w:pict>
          </mc:Fallback>
        </mc:AlternateContent>
      </w:r>
      <w:r>
        <w:rPr>
          <w:rFonts w:hint="eastAsia" w:eastAsia="宋体"/>
          <w:color w:val="auto"/>
          <w:lang w:eastAsia="zh-CN"/>
        </w:rPr>
        <w:drawing>
          <wp:inline distT="0" distB="0" distL="114300" distR="114300">
            <wp:extent cx="8190230" cy="5725795"/>
            <wp:effectExtent l="0" t="0" r="1270" b="8255"/>
            <wp:docPr id="26" name="图片 26" descr="0e0ff5dcd1ae8b1b665183315c5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0e0ff5dcd1ae8b1b665183315c58220"/>
                    <pic:cNvPicPr>
                      <a:picLocks noChangeAspect="1"/>
                    </pic:cNvPicPr>
                  </pic:nvPicPr>
                  <pic:blipFill>
                    <a:blip r:embed="rId29"/>
                    <a:stretch>
                      <a:fillRect/>
                    </a:stretch>
                  </pic:blipFill>
                  <pic:spPr>
                    <a:xfrm>
                      <a:off x="0" y="0"/>
                      <a:ext cx="8190230" cy="5725795"/>
                    </a:xfrm>
                    <a:prstGeom prst="rect">
                      <a:avLst/>
                    </a:prstGeom>
                  </pic:spPr>
                </pic:pic>
              </a:graphicData>
            </a:graphic>
          </wp:inline>
        </w:drawing>
      </w:r>
      <w:r>
        <w:rPr>
          <w:color w:val="auto"/>
          <w:sz w:val="21"/>
        </w:rPr>
        <mc:AlternateContent>
          <mc:Choice Requires="wps">
            <w:drawing>
              <wp:anchor distT="0" distB="0" distL="114300" distR="114300" simplePos="0" relativeHeight="251681792" behindDoc="0" locked="0" layoutInCell="1" allowOverlap="1">
                <wp:simplePos x="0" y="0"/>
                <wp:positionH relativeFrom="column">
                  <wp:posOffset>2611120</wp:posOffset>
                </wp:positionH>
                <wp:positionV relativeFrom="paragraph">
                  <wp:posOffset>2320925</wp:posOffset>
                </wp:positionV>
                <wp:extent cx="976630" cy="424815"/>
                <wp:effectExtent l="0" t="0" r="0" b="0"/>
                <wp:wrapNone/>
                <wp:docPr id="27" name="矩形 27"/>
                <wp:cNvGraphicFramePr/>
                <a:graphic xmlns:a="http://schemas.openxmlformats.org/drawingml/2006/main">
                  <a:graphicData uri="http://schemas.microsoft.com/office/word/2010/wordprocessingShape">
                    <wps:wsp>
                      <wps:cNvSpPr/>
                      <wps:spPr>
                        <a:xfrm>
                          <a:off x="0" y="0"/>
                          <a:ext cx="976630" cy="424815"/>
                        </a:xfrm>
                        <a:prstGeom prst="rect">
                          <a:avLst/>
                        </a:prstGeom>
                        <a:noFill/>
                        <a:ln w="15875">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color w:val="FF0000"/>
                                <w:lang w:val="en-US" w:eastAsia="zh-CN"/>
                              </w:rPr>
                            </w:pPr>
                            <w:r>
                              <w:rPr>
                                <w:rFonts w:hint="eastAsia"/>
                                <w:color w:val="FF000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5.6pt;margin-top:182.75pt;height:33.45pt;width:76.9pt;z-index:251681792;v-text-anchor:middle;mso-width-relative:page;mso-height-relative:page;" filled="f" stroked="f" coordsize="21600,21600" o:gfxdata="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LJTe4jYAAAACwEA&#10;AA8AAAAAAAAAAQAgAAAAIgAAAGRycy9kb3ducmV2LnhtbFBLAQIUABQAAAAIAIdO4kA7K1mJUwIA&#10;AJcEAAAOAAAAAAAAAAEAIAAAACcBAABkcnMvZTJvRG9jLnhtbFBLBQYAAAAABgAGAFkBAADsBQAA&#10;AAA=&#10;">
                <v:fill on="f" focussize="0,0"/>
                <v:stroke on="f" weight="1.25pt"/>
                <v:imagedata o:title=""/>
                <o:lock v:ext="edit" aspectratio="f"/>
                <v:textbox>
                  <w:txbxContent>
                    <w:p>
                      <w:pPr>
                        <w:jc w:val="center"/>
                        <w:rPr>
                          <w:rFonts w:hint="default" w:eastAsia="宋体"/>
                          <w:color w:val="FF0000"/>
                          <w:lang w:val="en-US" w:eastAsia="zh-CN"/>
                        </w:rPr>
                      </w:pPr>
                      <w:r>
                        <w:rPr>
                          <w:rFonts w:hint="eastAsia"/>
                          <w:color w:val="FF0000"/>
                          <w:lang w:val="en-US" w:eastAsia="zh-CN"/>
                        </w:rPr>
                        <w:t>项目所在地</w:t>
                      </w:r>
                    </w:p>
                  </w:txbxContent>
                </v:textbox>
              </v:rect>
            </w:pict>
          </mc:Fallback>
        </mc:AlternateContent>
      </w:r>
      <w:r>
        <w:rPr>
          <w:color w:val="auto"/>
          <w:sz w:val="21"/>
        </w:rPr>
        <mc:AlternateContent>
          <mc:Choice Requires="wps">
            <w:drawing>
              <wp:anchor distT="0" distB="0" distL="114300" distR="114300" simplePos="0" relativeHeight="251683840" behindDoc="0" locked="0" layoutInCell="1" allowOverlap="1">
                <wp:simplePos x="0" y="0"/>
                <wp:positionH relativeFrom="column">
                  <wp:posOffset>3126105</wp:posOffset>
                </wp:positionH>
                <wp:positionV relativeFrom="paragraph">
                  <wp:posOffset>2698115</wp:posOffset>
                </wp:positionV>
                <wp:extent cx="97790" cy="102235"/>
                <wp:effectExtent l="4445" t="4445" r="12065" b="7620"/>
                <wp:wrapNone/>
                <wp:docPr id="62" name="五角星 62"/>
                <wp:cNvGraphicFramePr/>
                <a:graphic xmlns:a="http://schemas.openxmlformats.org/drawingml/2006/main">
                  <a:graphicData uri="http://schemas.microsoft.com/office/word/2010/wordprocessingShape">
                    <wps:wsp>
                      <wps:cNvSpPr/>
                      <wps:spPr>
                        <a:xfrm>
                          <a:off x="0" y="0"/>
                          <a:ext cx="97790" cy="102235"/>
                        </a:xfrm>
                        <a:prstGeom prst="star5">
                          <a:avLst/>
                        </a:prstGeom>
                        <a:solidFill>
                          <a:schemeClr val="accent2"/>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46.15pt;margin-top:212.45pt;height:8.05pt;width:7.7pt;z-index:251683840;v-text-anchor:middle;mso-width-relative:page;mso-height-relative:page;" fillcolor="#C0504D [3205]" filled="t" stroked="t" coordsize="97790,102235" o:gfxdata="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D8atdXXAAAACwEAAA8AAAAAAAAAAQAgAAAAIgAAAGRycy9kb3ducmV2Lnht&#10;bFBLAQIUABQAAAAIAIdO4kBhTGj3bAIAAOAEAAAOAAAAAAAAAAEAIAAAACYBAABkcnMvZTJvRG9j&#10;LnhtbFBLBQYAAAAABgAGAFkBAAAEBgAAAAA=&#10;" path="m0,39050l37352,39050,48895,0,60437,39050,97789,39050,67570,63184,79113,102234,48895,78100,18676,102234,30219,63184xe">
                <v:path o:connectlocs="48895,0;0,39050;18676,102234;79113,102234;97789,39050" o:connectangles="247,164,82,82,0"/>
                <v:fill on="t" focussize="0,0"/>
                <v:stroke color="#000000 [3213]" joinstyle="round"/>
                <v:imagedata o:title=""/>
                <o:lock v:ext="edit" aspectratio="f"/>
              </v:shape>
            </w:pict>
          </mc:Fallback>
        </mc:AlternateContent>
      </w:r>
    </w:p>
    <w:p>
      <w:pPr>
        <w:widowControl/>
        <w:spacing w:line="360" w:lineRule="auto"/>
        <w:outlineLvl w:val="1"/>
        <w:rPr>
          <w:rFonts w:hint="default" w:eastAsia="宋体"/>
          <w:color w:val="auto"/>
          <w:lang w:val="en-US" w:eastAsia="zh-CN"/>
        </w:rPr>
      </w:pPr>
      <w:bookmarkStart w:id="87" w:name="_Toc2016"/>
      <w:r>
        <w:rPr>
          <w:b/>
          <w:bCs/>
          <w:color w:val="auto"/>
          <w:sz w:val="28"/>
          <w:szCs w:val="28"/>
        </w:rPr>
        <w:t>附图</w:t>
      </w:r>
      <w:r>
        <w:rPr>
          <w:rFonts w:hint="eastAsia"/>
          <w:b/>
          <w:bCs/>
          <w:color w:val="auto"/>
          <w:sz w:val="28"/>
          <w:szCs w:val="28"/>
          <w:lang w:val="en-US" w:eastAsia="zh-CN"/>
        </w:rPr>
        <w:t>6</w:t>
      </w:r>
      <w:r>
        <w:rPr>
          <w:b/>
          <w:bCs/>
          <w:color w:val="auto"/>
          <w:sz w:val="28"/>
          <w:szCs w:val="28"/>
        </w:rPr>
        <w:t xml:space="preserve"> </w:t>
      </w:r>
      <w:r>
        <w:rPr>
          <w:rFonts w:hint="eastAsia"/>
          <w:b/>
          <w:bCs/>
          <w:color w:val="auto"/>
          <w:sz w:val="28"/>
          <w:szCs w:val="28"/>
          <w:lang w:val="en-US" w:eastAsia="zh-CN"/>
        </w:rPr>
        <w:t>项目及周边土地利用现状图</w:t>
      </w:r>
      <w:bookmarkEnd w:id="87"/>
    </w:p>
    <w:p>
      <w:pPr>
        <w:jc w:val="center"/>
        <w:rPr>
          <w:color w:val="auto"/>
        </w:rPr>
      </w:pPr>
      <w:r>
        <w:rPr>
          <w:color w:val="auto"/>
        </w:rPr>
        <w:drawing>
          <wp:inline distT="0" distB="0" distL="114300" distR="114300">
            <wp:extent cx="8065135" cy="5120005"/>
            <wp:effectExtent l="0" t="0" r="12065" b="4445"/>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30"/>
                    <a:srcRect t="3252" r="58"/>
                    <a:stretch>
                      <a:fillRect/>
                    </a:stretch>
                  </pic:blipFill>
                  <pic:spPr>
                    <a:xfrm>
                      <a:off x="0" y="0"/>
                      <a:ext cx="8065135" cy="5120005"/>
                    </a:xfrm>
                    <a:prstGeom prst="rect">
                      <a:avLst/>
                    </a:prstGeom>
                    <a:noFill/>
                    <a:ln>
                      <a:noFill/>
                    </a:ln>
                  </pic:spPr>
                </pic:pic>
              </a:graphicData>
            </a:graphic>
          </wp:inline>
        </w:drawing>
      </w:r>
    </w:p>
    <w:p>
      <w:pPr>
        <w:widowControl/>
        <w:spacing w:line="360" w:lineRule="auto"/>
        <w:outlineLvl w:val="1"/>
        <w:rPr>
          <w:rFonts w:hint="default" w:eastAsia="宋体"/>
          <w:color w:val="auto"/>
          <w:lang w:val="en-US" w:eastAsia="zh-CN"/>
        </w:rPr>
      </w:pPr>
      <w:bookmarkStart w:id="88" w:name="_Toc436"/>
      <w:r>
        <w:rPr>
          <w:b/>
          <w:bCs/>
          <w:color w:val="auto"/>
          <w:sz w:val="28"/>
          <w:szCs w:val="28"/>
        </w:rPr>
        <w:t>附图</w:t>
      </w:r>
      <w:r>
        <w:rPr>
          <w:rFonts w:hint="eastAsia"/>
          <w:b/>
          <w:bCs/>
          <w:color w:val="auto"/>
          <w:sz w:val="28"/>
          <w:szCs w:val="28"/>
          <w:lang w:val="en-US" w:eastAsia="zh-CN"/>
        </w:rPr>
        <w:t>7</w:t>
      </w:r>
      <w:r>
        <w:rPr>
          <w:b/>
          <w:bCs/>
          <w:color w:val="auto"/>
          <w:sz w:val="28"/>
          <w:szCs w:val="28"/>
        </w:rPr>
        <w:t xml:space="preserve"> </w:t>
      </w:r>
      <w:r>
        <w:rPr>
          <w:rFonts w:hint="eastAsia"/>
          <w:b/>
          <w:bCs/>
          <w:color w:val="auto"/>
          <w:sz w:val="28"/>
          <w:szCs w:val="28"/>
          <w:lang w:val="en-US" w:eastAsia="zh-CN"/>
        </w:rPr>
        <w:t>项目及周边区域植被分布图</w:t>
      </w:r>
      <w:bookmarkEnd w:id="88"/>
    </w:p>
    <w:p>
      <w:pPr>
        <w:pStyle w:val="2"/>
        <w:ind w:left="0" w:leftChars="0" w:firstLine="0" w:firstLineChars="0"/>
        <w:jc w:val="center"/>
        <w:rPr>
          <w:color w:val="auto"/>
        </w:rPr>
      </w:pPr>
      <w:r>
        <w:rPr>
          <w:color w:val="auto"/>
        </w:rPr>
        <w:drawing>
          <wp:inline distT="0" distB="0" distL="114300" distR="114300">
            <wp:extent cx="8261985" cy="5045075"/>
            <wp:effectExtent l="0" t="0" r="5715" b="3175"/>
            <wp:docPr id="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
                    <pic:cNvPicPr>
                      <a:picLocks noChangeAspect="1"/>
                    </pic:cNvPicPr>
                  </pic:nvPicPr>
                  <pic:blipFill>
                    <a:blip r:embed="rId31"/>
                    <a:srcRect t="5776" r="216"/>
                    <a:stretch>
                      <a:fillRect/>
                    </a:stretch>
                  </pic:blipFill>
                  <pic:spPr>
                    <a:xfrm>
                      <a:off x="0" y="0"/>
                      <a:ext cx="8261985" cy="5045075"/>
                    </a:xfrm>
                    <a:prstGeom prst="rect">
                      <a:avLst/>
                    </a:prstGeom>
                    <a:noFill/>
                    <a:ln>
                      <a:noFill/>
                    </a:ln>
                  </pic:spPr>
                </pic:pic>
              </a:graphicData>
            </a:graphic>
          </wp:inline>
        </w:drawing>
      </w:r>
    </w:p>
    <w:p>
      <w:pPr>
        <w:rPr>
          <w:color w:val="auto"/>
        </w:rPr>
      </w:pPr>
      <w:r>
        <w:rPr>
          <w:color w:val="auto"/>
        </w:rPr>
        <w:br w:type="page"/>
      </w:r>
    </w:p>
    <w:p>
      <w:pPr>
        <w:widowControl/>
        <w:spacing w:line="360" w:lineRule="auto"/>
        <w:outlineLvl w:val="1"/>
        <w:rPr>
          <w:rFonts w:hint="default" w:eastAsia="宋体"/>
          <w:color w:val="auto"/>
          <w:lang w:val="en-US" w:eastAsia="zh-CN"/>
        </w:rPr>
      </w:pPr>
      <w:bookmarkStart w:id="89" w:name="_Toc9553"/>
      <w:r>
        <w:rPr>
          <w:b/>
          <w:bCs/>
          <w:color w:val="auto"/>
          <w:sz w:val="28"/>
          <w:szCs w:val="28"/>
        </w:rPr>
        <w:t>附图</w:t>
      </w:r>
      <w:r>
        <w:rPr>
          <w:rFonts w:hint="eastAsia"/>
          <w:b/>
          <w:bCs/>
          <w:color w:val="auto"/>
          <w:sz w:val="28"/>
          <w:szCs w:val="28"/>
          <w:lang w:val="en-US" w:eastAsia="zh-CN"/>
        </w:rPr>
        <w:t>8</w:t>
      </w:r>
      <w:r>
        <w:rPr>
          <w:b/>
          <w:bCs/>
          <w:color w:val="auto"/>
          <w:sz w:val="28"/>
          <w:szCs w:val="28"/>
        </w:rPr>
        <w:t xml:space="preserve"> </w:t>
      </w:r>
      <w:r>
        <w:rPr>
          <w:rFonts w:hint="eastAsia"/>
          <w:b/>
          <w:bCs/>
          <w:color w:val="auto"/>
          <w:sz w:val="28"/>
          <w:szCs w:val="28"/>
          <w:lang w:val="en-US" w:eastAsia="zh-CN"/>
        </w:rPr>
        <w:t>项目三区三线套合图</w:t>
      </w:r>
      <w:bookmarkEnd w:id="89"/>
    </w:p>
    <w:p>
      <w:pPr>
        <w:pStyle w:val="2"/>
        <w:rPr>
          <w:color w:val="auto"/>
        </w:rPr>
      </w:pPr>
      <w:r>
        <w:rPr>
          <w:color w:val="auto"/>
        </w:rPr>
        <w:drawing>
          <wp:inline distT="0" distB="0" distL="114300" distR="114300">
            <wp:extent cx="7486650" cy="5302250"/>
            <wp:effectExtent l="0" t="0" r="0" b="12700"/>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1"/>
                    </pic:cNvPicPr>
                  </pic:nvPicPr>
                  <pic:blipFill>
                    <a:blip r:embed="rId32"/>
                    <a:stretch>
                      <a:fillRect/>
                    </a:stretch>
                  </pic:blipFill>
                  <pic:spPr>
                    <a:xfrm>
                      <a:off x="0" y="0"/>
                      <a:ext cx="7486650" cy="5302250"/>
                    </a:xfrm>
                    <a:prstGeom prst="rect">
                      <a:avLst/>
                    </a:prstGeom>
                    <a:noFill/>
                    <a:ln>
                      <a:noFill/>
                    </a:ln>
                  </pic:spPr>
                </pic:pic>
              </a:graphicData>
            </a:graphic>
          </wp:inline>
        </w:drawing>
      </w:r>
    </w:p>
    <w:p>
      <w:pPr>
        <w:widowControl/>
        <w:spacing w:line="360" w:lineRule="auto"/>
        <w:outlineLvl w:val="1"/>
        <w:rPr>
          <w:rFonts w:hint="default" w:eastAsia="宋体"/>
          <w:color w:val="auto"/>
          <w:lang w:val="en-US" w:eastAsia="zh-CN"/>
        </w:rPr>
      </w:pPr>
      <w:bookmarkStart w:id="90" w:name="_Toc5080"/>
      <w:r>
        <w:rPr>
          <w:b/>
          <w:bCs/>
          <w:color w:val="auto"/>
          <w:sz w:val="28"/>
          <w:szCs w:val="28"/>
        </w:rPr>
        <w:t>附图</w:t>
      </w:r>
      <w:r>
        <w:rPr>
          <w:rFonts w:hint="eastAsia"/>
          <w:b/>
          <w:bCs/>
          <w:color w:val="auto"/>
          <w:sz w:val="28"/>
          <w:szCs w:val="28"/>
          <w:lang w:val="en-US" w:eastAsia="zh-CN"/>
        </w:rPr>
        <w:t>9</w:t>
      </w:r>
      <w:r>
        <w:rPr>
          <w:b/>
          <w:bCs/>
          <w:color w:val="auto"/>
          <w:sz w:val="28"/>
          <w:szCs w:val="28"/>
        </w:rPr>
        <w:t xml:space="preserve"> </w:t>
      </w:r>
      <w:r>
        <w:rPr>
          <w:rFonts w:hint="eastAsia"/>
          <w:b/>
          <w:bCs/>
          <w:color w:val="auto"/>
          <w:sz w:val="28"/>
          <w:szCs w:val="28"/>
          <w:lang w:val="en-US" w:eastAsia="zh-CN"/>
        </w:rPr>
        <w:t>项目调查样方调查分布图</w:t>
      </w:r>
      <w:bookmarkEnd w:id="90"/>
    </w:p>
    <w:p>
      <w:pPr>
        <w:pStyle w:val="2"/>
        <w:rPr>
          <w:color w:val="auto"/>
        </w:rPr>
        <w:sectPr>
          <w:pgSz w:w="16838" w:h="11906" w:orient="landscape"/>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color w:val="auto"/>
        </w:rPr>
        <w:drawing>
          <wp:inline distT="0" distB="0" distL="114300" distR="114300">
            <wp:extent cx="7664450" cy="4906010"/>
            <wp:effectExtent l="0" t="0" r="0" b="0"/>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
                    <pic:cNvPicPr>
                      <a:picLocks noChangeAspect="1"/>
                    </pic:cNvPicPr>
                  </pic:nvPicPr>
                  <pic:blipFill>
                    <a:blip r:embed="rId33"/>
                    <a:srcRect t="4144" r="609"/>
                    <a:stretch>
                      <a:fillRect/>
                    </a:stretch>
                  </pic:blipFill>
                  <pic:spPr>
                    <a:xfrm>
                      <a:off x="0" y="0"/>
                      <a:ext cx="7664450" cy="4906010"/>
                    </a:xfrm>
                    <a:prstGeom prst="rect">
                      <a:avLst/>
                    </a:prstGeom>
                    <a:noFill/>
                    <a:ln>
                      <a:noFill/>
                    </a:ln>
                  </pic:spPr>
                </pic:pic>
              </a:graphicData>
            </a:graphic>
          </wp:inline>
        </w:drawing>
      </w:r>
    </w:p>
    <w:p>
      <w:pPr>
        <w:jc w:val="center"/>
        <w:outlineLvl w:val="0"/>
        <w:rPr>
          <w:rFonts w:ascii="方正小标宋_GBK" w:hAnsi="黑体" w:eastAsia="方正小标宋_GBK"/>
          <w:snapToGrid w:val="0"/>
          <w:color w:val="auto"/>
          <w:kern w:val="0"/>
          <w:sz w:val="38"/>
          <w:szCs w:val="38"/>
        </w:rPr>
      </w:pPr>
      <w:bookmarkStart w:id="91" w:name="_Toc22042"/>
      <w:bookmarkStart w:id="92" w:name="_Toc18817"/>
      <w:r>
        <w:rPr>
          <w:rFonts w:hint="eastAsia" w:ascii="方正小标宋_GBK" w:hAnsi="黑体" w:eastAsia="方正小标宋_GBK"/>
          <w:snapToGrid w:val="0"/>
          <w:color w:val="auto"/>
          <w:kern w:val="0"/>
          <w:sz w:val="38"/>
          <w:szCs w:val="38"/>
        </w:rPr>
        <w:t>附件</w:t>
      </w:r>
      <w:bookmarkEnd w:id="91"/>
      <w:bookmarkEnd w:id="92"/>
    </w:p>
    <w:p>
      <w:pPr>
        <w:outlineLvl w:val="1"/>
        <w:rPr>
          <w:b/>
          <w:bCs/>
          <w:color w:val="auto"/>
          <w:sz w:val="28"/>
          <w:szCs w:val="28"/>
        </w:rPr>
      </w:pPr>
      <w:bookmarkStart w:id="93" w:name="_Toc22529"/>
      <w:bookmarkStart w:id="94" w:name="_Toc17014"/>
      <w:bookmarkStart w:id="95" w:name="_Toc31062"/>
      <w:bookmarkStart w:id="96" w:name="_Toc8590"/>
      <w:r>
        <w:rPr>
          <w:b/>
          <w:bCs/>
          <w:color w:val="auto"/>
          <w:sz w:val="28"/>
          <w:szCs w:val="28"/>
        </w:rPr>
        <w:t>附</w:t>
      </w:r>
      <w:r>
        <w:rPr>
          <w:rFonts w:hint="eastAsia"/>
          <w:b/>
          <w:bCs/>
          <w:color w:val="auto"/>
          <w:sz w:val="28"/>
          <w:szCs w:val="28"/>
        </w:rPr>
        <w:t>件</w:t>
      </w:r>
      <w:r>
        <w:rPr>
          <w:b/>
          <w:bCs/>
          <w:color w:val="auto"/>
          <w:sz w:val="28"/>
          <w:szCs w:val="28"/>
        </w:rPr>
        <w:t xml:space="preserve">1 </w:t>
      </w:r>
      <w:r>
        <w:rPr>
          <w:rFonts w:hint="eastAsia"/>
          <w:b/>
          <w:bCs/>
          <w:color w:val="auto"/>
          <w:sz w:val="28"/>
          <w:szCs w:val="28"/>
        </w:rPr>
        <w:t>环评委托书</w:t>
      </w:r>
      <w:bookmarkEnd w:id="93"/>
      <w:bookmarkEnd w:id="94"/>
      <w:bookmarkEnd w:id="95"/>
      <w:bookmarkEnd w:id="96"/>
    </w:p>
    <w:p>
      <w:pPr>
        <w:pStyle w:val="65"/>
        <w:ind w:firstLine="480"/>
        <w:rPr>
          <w:color w:val="auto"/>
        </w:rPr>
        <w:sectPr>
          <w:pgSz w:w="11906" w:h="16838"/>
          <w:pgMar w:top="1417" w:right="1417" w:bottom="1417" w:left="1417" w:header="851" w:footer="992" w:gutter="0"/>
          <w:pgBorders>
            <w:top w:val="none" w:sz="0" w:space="0"/>
            <w:left w:val="none" w:sz="0" w:space="0"/>
            <w:bottom w:val="none" w:sz="0" w:space="0"/>
            <w:right w:val="none" w:sz="0" w:space="0"/>
          </w:pgBorders>
          <w:cols w:space="0" w:num="1"/>
          <w:docGrid w:type="lines" w:linePitch="312" w:charSpace="0"/>
        </w:sectPr>
      </w:pPr>
      <w:r>
        <w:rPr>
          <w:rFonts w:hint="eastAsia" w:ascii="Times New Roman" w:hAnsi="Times New Roman" w:eastAsia="宋体" w:cs="Times New Roman"/>
          <w:color w:val="auto"/>
          <w:lang w:eastAsia="zh-CN"/>
        </w:rPr>
        <w:drawing>
          <wp:inline distT="0" distB="0" distL="114300" distR="114300">
            <wp:extent cx="5378450" cy="7818120"/>
            <wp:effectExtent l="0" t="0" r="12700" b="11430"/>
            <wp:docPr id="84" name="图片 84"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委托书"/>
                    <pic:cNvPicPr>
                      <a:picLocks noChangeAspect="1"/>
                    </pic:cNvPicPr>
                  </pic:nvPicPr>
                  <pic:blipFill>
                    <a:blip r:embed="rId34"/>
                    <a:srcRect r="-216" b="20476"/>
                    <a:stretch>
                      <a:fillRect/>
                    </a:stretch>
                  </pic:blipFill>
                  <pic:spPr>
                    <a:xfrm>
                      <a:off x="0" y="0"/>
                      <a:ext cx="5378450" cy="7818120"/>
                    </a:xfrm>
                    <a:prstGeom prst="rect">
                      <a:avLst/>
                    </a:prstGeom>
                  </pic:spPr>
                </pic:pic>
              </a:graphicData>
            </a:graphic>
          </wp:inline>
        </w:drawing>
      </w:r>
    </w:p>
    <w:p>
      <w:pPr>
        <w:outlineLvl w:val="1"/>
        <w:rPr>
          <w:b/>
          <w:bCs/>
          <w:color w:val="auto"/>
          <w:sz w:val="28"/>
          <w:szCs w:val="28"/>
          <w:highlight w:val="none"/>
        </w:rPr>
      </w:pPr>
      <w:bookmarkStart w:id="97" w:name="_Toc8393"/>
      <w:bookmarkStart w:id="98" w:name="_Toc11325"/>
      <w:bookmarkStart w:id="99" w:name="_Toc25018"/>
      <w:bookmarkStart w:id="100" w:name="_Toc8645"/>
      <w:r>
        <w:rPr>
          <w:b/>
          <w:bCs/>
          <w:color w:val="auto"/>
          <w:sz w:val="28"/>
          <w:szCs w:val="28"/>
          <w:highlight w:val="none"/>
        </w:rPr>
        <w:t>附</w:t>
      </w:r>
      <w:r>
        <w:rPr>
          <w:rFonts w:hint="eastAsia"/>
          <w:b/>
          <w:bCs/>
          <w:color w:val="auto"/>
          <w:sz w:val="28"/>
          <w:szCs w:val="28"/>
          <w:highlight w:val="none"/>
        </w:rPr>
        <w:t>件2</w:t>
      </w:r>
      <w:r>
        <w:rPr>
          <w:b/>
          <w:bCs/>
          <w:color w:val="auto"/>
          <w:sz w:val="28"/>
          <w:szCs w:val="28"/>
          <w:highlight w:val="none"/>
        </w:rPr>
        <w:t xml:space="preserve"> </w:t>
      </w:r>
      <w:r>
        <w:rPr>
          <w:rFonts w:hint="eastAsia"/>
          <w:b/>
          <w:bCs/>
          <w:color w:val="auto"/>
          <w:sz w:val="28"/>
          <w:szCs w:val="28"/>
          <w:highlight w:val="none"/>
        </w:rPr>
        <w:t>营业执照</w:t>
      </w:r>
      <w:bookmarkEnd w:id="97"/>
      <w:bookmarkEnd w:id="98"/>
      <w:bookmarkEnd w:id="99"/>
      <w:bookmarkEnd w:id="100"/>
    </w:p>
    <w:p>
      <w:pPr>
        <w:jc w:val="center"/>
        <w:rPr>
          <w:color w:val="auto"/>
        </w:rPr>
        <w:sectPr>
          <w:pgSz w:w="16838" w:h="11906" w:orient="landscape"/>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r>
        <w:rPr>
          <w:color w:val="auto"/>
        </w:rPr>
        <w:drawing>
          <wp:inline distT="0" distB="0" distL="114300" distR="114300">
            <wp:extent cx="7985760" cy="5123815"/>
            <wp:effectExtent l="0" t="0" r="15240" b="63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35"/>
                    <a:stretch>
                      <a:fillRect/>
                    </a:stretch>
                  </pic:blipFill>
                  <pic:spPr>
                    <a:xfrm>
                      <a:off x="0" y="0"/>
                      <a:ext cx="7985760" cy="5123815"/>
                    </a:xfrm>
                    <a:prstGeom prst="rect">
                      <a:avLst/>
                    </a:prstGeom>
                    <a:noFill/>
                    <a:ln>
                      <a:noFill/>
                    </a:ln>
                  </pic:spPr>
                </pic:pic>
              </a:graphicData>
            </a:graphic>
          </wp:inline>
        </w:drawing>
      </w:r>
    </w:p>
    <w:p>
      <w:pPr>
        <w:outlineLvl w:val="1"/>
        <w:rPr>
          <w:rFonts w:hint="default" w:eastAsia="宋体"/>
          <w:b/>
          <w:bCs/>
          <w:color w:val="auto"/>
          <w:sz w:val="28"/>
          <w:szCs w:val="28"/>
          <w:lang w:val="en-US" w:eastAsia="zh-CN"/>
        </w:rPr>
      </w:pPr>
      <w:bookmarkStart w:id="101" w:name="_Toc17010"/>
      <w:bookmarkStart w:id="102" w:name="_Toc19870"/>
      <w:bookmarkStart w:id="103" w:name="_Toc27929"/>
      <w:bookmarkStart w:id="104" w:name="_Toc6647"/>
      <w:r>
        <w:rPr>
          <w:b/>
          <w:bCs/>
          <w:color w:val="auto"/>
          <w:sz w:val="28"/>
          <w:szCs w:val="28"/>
        </w:rPr>
        <w:t>附</w:t>
      </w:r>
      <w:r>
        <w:rPr>
          <w:rFonts w:hint="eastAsia"/>
          <w:b/>
          <w:bCs/>
          <w:color w:val="auto"/>
          <w:sz w:val="28"/>
          <w:szCs w:val="28"/>
        </w:rPr>
        <w:t>件3</w:t>
      </w:r>
      <w:r>
        <w:rPr>
          <w:b/>
          <w:bCs/>
          <w:color w:val="auto"/>
          <w:sz w:val="28"/>
          <w:szCs w:val="28"/>
        </w:rPr>
        <w:t xml:space="preserve"> </w:t>
      </w:r>
      <w:bookmarkEnd w:id="101"/>
      <w:bookmarkEnd w:id="102"/>
      <w:bookmarkEnd w:id="103"/>
      <w:r>
        <w:rPr>
          <w:rFonts w:hint="eastAsia"/>
          <w:b/>
          <w:bCs/>
          <w:color w:val="auto"/>
          <w:sz w:val="28"/>
          <w:szCs w:val="28"/>
          <w:lang w:val="en-US" w:eastAsia="zh-CN"/>
        </w:rPr>
        <w:t>用地预审意见书</w:t>
      </w:r>
      <w:bookmarkEnd w:id="104"/>
    </w:p>
    <w:p>
      <w:pPr>
        <w:keepNext w:val="0"/>
        <w:keepLines w:val="0"/>
        <w:pageBreakBefore w:val="0"/>
        <w:widowControl w:val="0"/>
        <w:kinsoku/>
        <w:wordWrap/>
        <w:overflowPunct/>
        <w:topLinePunct w:val="0"/>
        <w:autoSpaceDE/>
        <w:autoSpaceDN/>
        <w:bidi w:val="0"/>
        <w:adjustRightInd w:val="0"/>
        <w:snapToGrid w:val="0"/>
        <w:spacing w:before="159" w:beforeLines="50" w:after="159" w:afterLines="50" w:afterAutospacing="0" w:line="360" w:lineRule="auto"/>
        <w:ind w:firstLine="420" w:firstLineChars="200"/>
        <w:jc w:val="left"/>
        <w:textAlignment w:val="auto"/>
        <w:outlineLvl w:val="9"/>
        <w:rPr>
          <w:color w:val="auto"/>
        </w:rPr>
      </w:pPr>
      <w:r>
        <w:rPr>
          <w:color w:val="auto"/>
        </w:rPr>
        <w:drawing>
          <wp:inline distT="0" distB="0" distL="114300" distR="114300">
            <wp:extent cx="5186680" cy="7780020"/>
            <wp:effectExtent l="0" t="0" r="13970" b="11430"/>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36"/>
                    <a:stretch>
                      <a:fillRect/>
                    </a:stretch>
                  </pic:blipFill>
                  <pic:spPr>
                    <a:xfrm>
                      <a:off x="0" y="0"/>
                      <a:ext cx="5186680" cy="7780020"/>
                    </a:xfrm>
                    <a:prstGeom prst="rect">
                      <a:avLst/>
                    </a:prstGeom>
                    <a:noFill/>
                    <a:ln>
                      <a:noFill/>
                    </a:ln>
                  </pic:spPr>
                </pic:pic>
              </a:graphicData>
            </a:graphic>
          </wp:inline>
        </w:drawing>
      </w:r>
      <w:r>
        <w:rPr>
          <w:color w:val="auto"/>
        </w:rPr>
        <w:drawing>
          <wp:inline distT="0" distB="0" distL="114300" distR="114300">
            <wp:extent cx="5711190" cy="7505065"/>
            <wp:effectExtent l="0" t="0" r="3810" b="635"/>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37"/>
                    <a:stretch>
                      <a:fillRect/>
                    </a:stretch>
                  </pic:blipFill>
                  <pic:spPr>
                    <a:xfrm>
                      <a:off x="0" y="0"/>
                      <a:ext cx="5711190" cy="7505065"/>
                    </a:xfrm>
                    <a:prstGeom prst="rect">
                      <a:avLst/>
                    </a:prstGeom>
                    <a:noFill/>
                    <a:ln>
                      <a:noFill/>
                    </a:ln>
                  </pic:spPr>
                </pic:pic>
              </a:graphicData>
            </a:graphic>
          </wp:inline>
        </w:drawing>
      </w:r>
    </w:p>
    <w:p>
      <w:pPr>
        <w:rPr>
          <w:color w:val="auto"/>
        </w:rPr>
      </w:pPr>
      <w:r>
        <w:rPr>
          <w:color w:val="auto"/>
        </w:rPr>
        <w:br w:type="page"/>
      </w:r>
    </w:p>
    <w:p>
      <w:pPr>
        <w:outlineLvl w:val="1"/>
        <w:rPr>
          <w:rFonts w:hint="eastAsia" w:ascii="Times New Roman" w:hAnsi="Times New Roman" w:eastAsia="宋体" w:cs="Times New Roman"/>
          <w:b/>
          <w:bCs/>
          <w:color w:val="auto"/>
          <w:sz w:val="28"/>
          <w:szCs w:val="28"/>
          <w:lang w:val="en-US" w:eastAsia="zh-CN"/>
        </w:rPr>
      </w:pPr>
      <w:bookmarkStart w:id="105" w:name="_Toc9717"/>
      <w:bookmarkStart w:id="106" w:name="_Toc20762"/>
      <w:r>
        <w:rPr>
          <w:rFonts w:hint="eastAsia" w:ascii="Times New Roman" w:hAnsi="Times New Roman" w:eastAsia="宋体" w:cs="Times New Roman"/>
          <w:b/>
          <w:bCs/>
          <w:color w:val="auto"/>
          <w:sz w:val="28"/>
          <w:szCs w:val="28"/>
          <w:lang w:val="en-US" w:eastAsia="zh-CN"/>
        </w:rPr>
        <w:t>附件4、华容县住房和城乡建设局关于华容县团洲垸灾后重建安置房建设项目</w:t>
      </w:r>
      <w:r>
        <w:rPr>
          <w:rFonts w:hint="eastAsia" w:cs="Times New Roman"/>
          <w:b/>
          <w:bCs/>
          <w:color w:val="auto"/>
          <w:sz w:val="28"/>
          <w:szCs w:val="28"/>
          <w:lang w:val="en-US" w:eastAsia="zh-CN"/>
        </w:rPr>
        <w:t>（二期）</w:t>
      </w:r>
      <w:r>
        <w:rPr>
          <w:rFonts w:hint="eastAsia" w:ascii="Times New Roman" w:hAnsi="Times New Roman" w:eastAsia="宋体" w:cs="Times New Roman"/>
          <w:b/>
          <w:bCs/>
          <w:color w:val="auto"/>
          <w:sz w:val="28"/>
          <w:szCs w:val="28"/>
          <w:lang w:val="en-US" w:eastAsia="zh-CN"/>
        </w:rPr>
        <w:t>的审查意见</w:t>
      </w:r>
      <w:bookmarkEnd w:id="105"/>
      <w:bookmarkEnd w:id="106"/>
    </w:p>
    <w:p>
      <w:pPr>
        <w:rPr>
          <w:rFonts w:hint="eastAsia" w:ascii="仿宋" w:hAnsi="仿宋" w:eastAsia="仿宋" w:cs="仿宋"/>
          <w:b w:val="0"/>
          <w:bCs w:val="0"/>
          <w:color w:val="auto"/>
          <w:spacing w:val="0"/>
          <w:kern w:val="0"/>
          <w:sz w:val="28"/>
          <w:szCs w:val="28"/>
          <w:lang w:val="en-US" w:eastAsia="zh-CN" w:bidi="ar"/>
        </w:rPr>
      </w:pPr>
      <w:r>
        <w:rPr>
          <w:color w:val="auto"/>
        </w:rPr>
        <w:drawing>
          <wp:inline distT="0" distB="0" distL="114300" distR="114300">
            <wp:extent cx="5410835" cy="7329170"/>
            <wp:effectExtent l="0" t="0" r="18415" b="5080"/>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38"/>
                    <a:stretch>
                      <a:fillRect/>
                    </a:stretch>
                  </pic:blipFill>
                  <pic:spPr>
                    <a:xfrm>
                      <a:off x="0" y="0"/>
                      <a:ext cx="5410835" cy="7329170"/>
                    </a:xfrm>
                    <a:prstGeom prst="rect">
                      <a:avLst/>
                    </a:prstGeom>
                    <a:noFill/>
                    <a:ln>
                      <a:noFill/>
                    </a:ln>
                  </pic:spPr>
                </pic:pic>
              </a:graphicData>
            </a:graphic>
          </wp:inline>
        </w:drawing>
      </w:r>
    </w:p>
    <w:p>
      <w:pPr>
        <w:rPr>
          <w:color w:val="auto"/>
        </w:rPr>
      </w:pPr>
      <w:r>
        <w:rPr>
          <w:rFonts w:hint="eastAsia" w:ascii="仿宋" w:hAnsi="仿宋" w:eastAsia="仿宋" w:cs="仿宋"/>
          <w:b w:val="0"/>
          <w:bCs w:val="0"/>
          <w:color w:val="auto"/>
          <w:spacing w:val="0"/>
          <w:kern w:val="0"/>
          <w:sz w:val="28"/>
          <w:szCs w:val="28"/>
          <w:lang w:val="en-US" w:eastAsia="zh-CN" w:bidi="ar"/>
        </w:rPr>
        <w:br w:type="page"/>
      </w:r>
    </w:p>
    <w:p>
      <w:pPr>
        <w:rPr>
          <w:color w:val="auto"/>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159" w:beforeLines="50" w:after="159" w:afterLines="50" w:afterAutospacing="0" w:line="360" w:lineRule="auto"/>
        <w:ind w:left="17" w:leftChars="0" w:firstLine="0" w:firstLineChars="0"/>
        <w:jc w:val="left"/>
        <w:textAlignment w:val="baseline"/>
        <w:outlineLvl w:val="1"/>
        <w:rPr>
          <w:rFonts w:hint="default" w:ascii="Times New Roman" w:hAnsi="Times New Roman" w:eastAsia="宋体" w:cs="Times New Roman"/>
          <w:b/>
          <w:bCs/>
          <w:color w:val="auto"/>
          <w:sz w:val="28"/>
          <w:szCs w:val="28"/>
          <w:lang w:val="en-US" w:eastAsia="zh-CN"/>
        </w:rPr>
      </w:pPr>
      <w:bookmarkStart w:id="107" w:name="_Toc1289"/>
      <w:bookmarkStart w:id="108" w:name="_Toc3875"/>
      <w:bookmarkStart w:id="109" w:name="_Toc6630"/>
      <w:bookmarkStart w:id="110" w:name="_Toc15892"/>
      <w:r>
        <w:rPr>
          <w:rFonts w:hint="eastAsia" w:ascii="Times New Roman" w:hAnsi="Times New Roman" w:eastAsia="宋体" w:cs="Times New Roman"/>
          <w:b/>
          <w:bCs/>
          <w:color w:val="auto"/>
          <w:sz w:val="28"/>
          <w:szCs w:val="28"/>
        </w:rPr>
        <w:t xml:space="preserve">附件5 </w:t>
      </w:r>
      <w:r>
        <w:rPr>
          <w:rFonts w:hint="eastAsia" w:cs="Times New Roman"/>
          <w:b/>
          <w:bCs/>
          <w:color w:val="auto"/>
          <w:sz w:val="28"/>
          <w:szCs w:val="28"/>
          <w:lang w:val="en-US" w:eastAsia="zh-CN"/>
        </w:rPr>
        <w:t>生物多样性影响评价报告</w:t>
      </w:r>
      <w:bookmarkEnd w:id="107"/>
    </w:p>
    <w:p>
      <w:r>
        <w:drawing>
          <wp:inline distT="0" distB="0" distL="114300" distR="114300">
            <wp:extent cx="5601335" cy="7063740"/>
            <wp:effectExtent l="0" t="0" r="18415" b="381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39"/>
                    <a:srcRect r="4286"/>
                    <a:stretch>
                      <a:fillRect/>
                    </a:stretch>
                  </pic:blipFill>
                  <pic:spPr>
                    <a:xfrm>
                      <a:off x="0" y="0"/>
                      <a:ext cx="5601335" cy="7063740"/>
                    </a:xfrm>
                    <a:prstGeom prst="rect">
                      <a:avLst/>
                    </a:prstGeom>
                    <a:noFill/>
                    <a:ln>
                      <a:noFill/>
                    </a:ln>
                  </pic:spPr>
                </pic:pic>
              </a:graphicData>
            </a:graphic>
          </wp:inline>
        </w:drawing>
      </w:r>
    </w:p>
    <w:p>
      <w:r>
        <w:br w:type="page"/>
      </w:r>
      <w:r>
        <w:drawing>
          <wp:inline distT="0" distB="0" distL="114300" distR="114300">
            <wp:extent cx="5561965" cy="6501130"/>
            <wp:effectExtent l="0" t="0" r="635" b="13970"/>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40"/>
                    <a:stretch>
                      <a:fillRect/>
                    </a:stretch>
                  </pic:blipFill>
                  <pic:spPr>
                    <a:xfrm>
                      <a:off x="0" y="0"/>
                      <a:ext cx="5561965" cy="6501130"/>
                    </a:xfrm>
                    <a:prstGeom prst="rect">
                      <a:avLst/>
                    </a:prstGeom>
                    <a:noFill/>
                    <a:ln>
                      <a:noFill/>
                    </a:ln>
                  </pic:spPr>
                </pic:pic>
              </a:graphicData>
            </a:graphic>
          </wp:inline>
        </w:drawing>
      </w:r>
      <w:r>
        <w:drawing>
          <wp:inline distT="0" distB="0" distL="114300" distR="114300">
            <wp:extent cx="5516245" cy="7983220"/>
            <wp:effectExtent l="0" t="0" r="8255" b="17780"/>
            <wp:docPr id="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
                    <pic:cNvPicPr>
                      <a:picLocks noChangeAspect="1"/>
                    </pic:cNvPicPr>
                  </pic:nvPicPr>
                  <pic:blipFill>
                    <a:blip r:embed="rId41"/>
                    <a:stretch>
                      <a:fillRect/>
                    </a:stretch>
                  </pic:blipFill>
                  <pic:spPr>
                    <a:xfrm>
                      <a:off x="0" y="0"/>
                      <a:ext cx="5516245" cy="7983220"/>
                    </a:xfrm>
                    <a:prstGeom prst="rect">
                      <a:avLst/>
                    </a:prstGeom>
                    <a:noFill/>
                    <a:ln>
                      <a:noFill/>
                    </a:ln>
                  </pic:spPr>
                </pic:pic>
              </a:graphicData>
            </a:graphic>
          </wp:inline>
        </w:drawing>
      </w:r>
      <w:r>
        <w:drawing>
          <wp:inline distT="0" distB="0" distL="114300" distR="114300">
            <wp:extent cx="5602605" cy="7877175"/>
            <wp:effectExtent l="0" t="0" r="17145" b="9525"/>
            <wp:docPr id="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
                    <pic:cNvPicPr>
                      <a:picLocks noChangeAspect="1"/>
                    </pic:cNvPicPr>
                  </pic:nvPicPr>
                  <pic:blipFill>
                    <a:blip r:embed="rId42"/>
                    <a:stretch>
                      <a:fillRect/>
                    </a:stretch>
                  </pic:blipFill>
                  <pic:spPr>
                    <a:xfrm>
                      <a:off x="0" y="0"/>
                      <a:ext cx="5602605" cy="7877175"/>
                    </a:xfrm>
                    <a:prstGeom prst="rect">
                      <a:avLst/>
                    </a:prstGeom>
                    <a:noFill/>
                    <a:ln>
                      <a:noFill/>
                    </a:ln>
                  </pic:spPr>
                </pic:pic>
              </a:graphicData>
            </a:graphic>
          </wp:inline>
        </w:drawing>
      </w:r>
      <w:r>
        <w:drawing>
          <wp:inline distT="0" distB="0" distL="114300" distR="114300">
            <wp:extent cx="5655310" cy="7079615"/>
            <wp:effectExtent l="0" t="0" r="2540" b="6985"/>
            <wp:docPr id="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
                    <pic:cNvPicPr>
                      <a:picLocks noChangeAspect="1"/>
                    </pic:cNvPicPr>
                  </pic:nvPicPr>
                  <pic:blipFill>
                    <a:blip r:embed="rId43"/>
                    <a:stretch>
                      <a:fillRect/>
                    </a:stretch>
                  </pic:blipFill>
                  <pic:spPr>
                    <a:xfrm>
                      <a:off x="0" y="0"/>
                      <a:ext cx="5655310" cy="7079615"/>
                    </a:xfrm>
                    <a:prstGeom prst="rect">
                      <a:avLst/>
                    </a:prstGeom>
                    <a:noFill/>
                    <a:ln>
                      <a:noFill/>
                    </a:ln>
                  </pic:spPr>
                </pic:pic>
              </a:graphicData>
            </a:graphic>
          </wp:inline>
        </w:drawing>
      </w:r>
    </w:p>
    <w:p>
      <w:r>
        <w:br w:type="page"/>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159" w:beforeLines="50" w:after="159" w:afterLines="50" w:afterAutospacing="0" w:line="360" w:lineRule="auto"/>
        <w:ind w:left="17" w:leftChars="0" w:firstLine="0" w:firstLineChars="0"/>
        <w:jc w:val="left"/>
        <w:textAlignment w:val="baseline"/>
        <w:outlineLvl w:val="1"/>
        <w:rPr>
          <w:rFonts w:hint="default" w:ascii="Times New Roman" w:hAnsi="Times New Roman" w:eastAsia="宋体" w:cs="Times New Roman"/>
          <w:b/>
          <w:bCs/>
          <w:color w:val="auto"/>
          <w:sz w:val="28"/>
          <w:szCs w:val="28"/>
          <w:lang w:val="en-US" w:eastAsia="zh-CN"/>
        </w:rPr>
      </w:pPr>
      <w:bookmarkStart w:id="111" w:name="_Toc15126"/>
      <w:r>
        <w:rPr>
          <w:rFonts w:hint="eastAsia" w:cs="Times New Roman"/>
          <w:b/>
          <w:bCs/>
          <w:color w:val="auto"/>
          <w:sz w:val="28"/>
          <w:szCs w:val="28"/>
          <w:lang w:val="en-US" w:eastAsia="zh-CN"/>
        </w:rPr>
        <w:t>附件6  林业局关于</w:t>
      </w:r>
      <w:r>
        <w:rPr>
          <w:rFonts w:hint="eastAsia" w:ascii="Times New Roman" w:hAnsi="Times New Roman" w:eastAsia="宋体" w:cs="Times New Roman"/>
          <w:b/>
          <w:bCs/>
          <w:color w:val="auto"/>
          <w:sz w:val="28"/>
          <w:szCs w:val="28"/>
          <w:lang w:val="en-US" w:eastAsia="zh-CN"/>
        </w:rPr>
        <w:t>华容县团洲垸灾后重建安置房建设项目的</w:t>
      </w:r>
      <w:r>
        <w:rPr>
          <w:rFonts w:hint="eastAsia" w:cs="Times New Roman"/>
          <w:b/>
          <w:bCs/>
          <w:color w:val="auto"/>
          <w:sz w:val="28"/>
          <w:szCs w:val="28"/>
          <w:lang w:val="en-US" w:eastAsia="zh-CN"/>
        </w:rPr>
        <w:t>意见</w:t>
      </w:r>
      <w:bookmarkEnd w:id="111"/>
    </w:p>
    <w:p>
      <w:pPr>
        <w:rPr>
          <w:color w:val="auto"/>
        </w:rPr>
      </w:pPr>
      <w:r>
        <w:rPr>
          <w:color w:val="auto"/>
        </w:rPr>
        <w:drawing>
          <wp:inline distT="0" distB="0" distL="114300" distR="114300">
            <wp:extent cx="5274310" cy="7271385"/>
            <wp:effectExtent l="0" t="0" r="2540" b="5715"/>
            <wp:docPr id="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6"/>
                    <pic:cNvPicPr>
                      <a:picLocks noChangeAspect="1"/>
                    </pic:cNvPicPr>
                  </pic:nvPicPr>
                  <pic:blipFill>
                    <a:blip r:embed="rId44"/>
                    <a:stretch>
                      <a:fillRect/>
                    </a:stretch>
                  </pic:blipFill>
                  <pic:spPr>
                    <a:xfrm>
                      <a:off x="0" y="0"/>
                      <a:ext cx="5274310" cy="7271385"/>
                    </a:xfrm>
                    <a:prstGeom prst="rect">
                      <a:avLst/>
                    </a:prstGeom>
                    <a:noFill/>
                    <a:ln>
                      <a:noFill/>
                    </a:ln>
                  </pic:spPr>
                </pic:pic>
              </a:graphicData>
            </a:graphic>
          </wp:inline>
        </w:drawing>
      </w:r>
    </w:p>
    <w:p>
      <w:pPr>
        <w:rPr>
          <w:color w:val="auto"/>
        </w:rPr>
      </w:pPr>
      <w:r>
        <w:rPr>
          <w:color w:val="auto"/>
        </w:rPr>
        <w:br w:type="page"/>
      </w:r>
    </w:p>
    <w:p>
      <w:pPr>
        <w:rPr>
          <w:color w:val="auto"/>
        </w:rPr>
      </w:pPr>
      <w:r>
        <w:rPr>
          <w:color w:val="auto"/>
        </w:rPr>
        <w:drawing>
          <wp:inline distT="0" distB="0" distL="114300" distR="114300">
            <wp:extent cx="5181600" cy="6829425"/>
            <wp:effectExtent l="0" t="0" r="0" b="9525"/>
            <wp:docPr id="4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7"/>
                    <pic:cNvPicPr>
                      <a:picLocks noChangeAspect="1"/>
                    </pic:cNvPicPr>
                  </pic:nvPicPr>
                  <pic:blipFill>
                    <a:blip r:embed="rId45"/>
                    <a:stretch>
                      <a:fillRect/>
                    </a:stretch>
                  </pic:blipFill>
                  <pic:spPr>
                    <a:xfrm>
                      <a:off x="0" y="0"/>
                      <a:ext cx="5181600" cy="6829425"/>
                    </a:xfrm>
                    <a:prstGeom prst="rect">
                      <a:avLst/>
                    </a:prstGeom>
                    <a:noFill/>
                    <a:ln>
                      <a:noFill/>
                    </a:ln>
                  </pic:spPr>
                </pic:pic>
              </a:graphicData>
            </a:graphic>
          </wp:inline>
        </w:drawing>
      </w:r>
    </w:p>
    <w:p>
      <w:pPr>
        <w:rPr>
          <w:color w:val="auto"/>
        </w:rPr>
      </w:pPr>
      <w:r>
        <w:rPr>
          <w:color w:val="auto"/>
        </w:rPr>
        <w:drawing>
          <wp:inline distT="0" distB="0" distL="114300" distR="114300">
            <wp:extent cx="5114925" cy="6877050"/>
            <wp:effectExtent l="0" t="0" r="9525" b="0"/>
            <wp:docPr id="6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8"/>
                    <pic:cNvPicPr>
                      <a:picLocks noChangeAspect="1"/>
                    </pic:cNvPicPr>
                  </pic:nvPicPr>
                  <pic:blipFill>
                    <a:blip r:embed="rId46"/>
                    <a:stretch>
                      <a:fillRect/>
                    </a:stretch>
                  </pic:blipFill>
                  <pic:spPr>
                    <a:xfrm>
                      <a:off x="0" y="0"/>
                      <a:ext cx="5114925" cy="6877050"/>
                    </a:xfrm>
                    <a:prstGeom prst="rect">
                      <a:avLst/>
                    </a:prstGeom>
                    <a:noFill/>
                    <a:ln>
                      <a:noFill/>
                    </a:ln>
                  </pic:spPr>
                </pic:pic>
              </a:graphicData>
            </a:graphic>
          </wp:inline>
        </w:drawing>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159" w:beforeLines="50" w:after="159" w:afterLines="50" w:afterAutospacing="0" w:line="360" w:lineRule="auto"/>
        <w:ind w:left="17" w:leftChars="0" w:firstLine="0" w:firstLineChars="0"/>
        <w:jc w:val="left"/>
        <w:textAlignment w:val="baseline"/>
        <w:outlineLvl w:val="1"/>
        <w:rPr>
          <w:rFonts w:hint="eastAsia" w:ascii="Times New Roman" w:hAnsi="Times New Roman" w:eastAsia="宋体" w:cs="Times New Roman"/>
          <w:b/>
          <w:bCs/>
          <w:color w:val="auto"/>
          <w:sz w:val="28"/>
          <w:szCs w:val="28"/>
        </w:rPr>
      </w:pPr>
      <w:bookmarkStart w:id="112" w:name="_Toc25857"/>
      <w:bookmarkStart w:id="113" w:name="_Toc18878"/>
      <w:r>
        <w:rPr>
          <w:color w:val="auto"/>
        </w:rPr>
        <w:drawing>
          <wp:inline distT="0" distB="0" distL="114300" distR="114300">
            <wp:extent cx="5172075" cy="5857875"/>
            <wp:effectExtent l="0" t="0" r="9525" b="9525"/>
            <wp:docPr id="6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9"/>
                    <pic:cNvPicPr>
                      <a:picLocks noChangeAspect="1"/>
                    </pic:cNvPicPr>
                  </pic:nvPicPr>
                  <pic:blipFill>
                    <a:blip r:embed="rId47"/>
                    <a:stretch>
                      <a:fillRect/>
                    </a:stretch>
                  </pic:blipFill>
                  <pic:spPr>
                    <a:xfrm>
                      <a:off x="0" y="0"/>
                      <a:ext cx="5172075" cy="5857875"/>
                    </a:xfrm>
                    <a:prstGeom prst="rect">
                      <a:avLst/>
                    </a:prstGeom>
                    <a:noFill/>
                    <a:ln>
                      <a:noFill/>
                    </a:ln>
                  </pic:spPr>
                </pic:pic>
              </a:graphicData>
            </a:graphic>
          </wp:inline>
        </w:drawing>
      </w:r>
      <w:bookmarkEnd w:id="112"/>
      <w:bookmarkEnd w:id="113"/>
    </w:p>
    <w:p>
      <w:pPr>
        <w:rPr>
          <w:rFonts w:hint="eastAsia" w:ascii="Times New Roman" w:hAnsi="Times New Roman" w:eastAsia="宋体" w:cs="Times New Roman"/>
          <w:b/>
          <w:bCs/>
          <w:color w:val="auto"/>
          <w:sz w:val="28"/>
          <w:szCs w:val="28"/>
        </w:rPr>
      </w:pPr>
      <w:r>
        <w:rPr>
          <w:rFonts w:hint="eastAsia" w:ascii="Times New Roman" w:hAnsi="Times New Roman" w:eastAsia="宋体" w:cs="Times New Roman"/>
          <w:b/>
          <w:bCs/>
          <w:color w:val="auto"/>
          <w:sz w:val="28"/>
          <w:szCs w:val="28"/>
        </w:rPr>
        <w:br w:type="page"/>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159" w:beforeLines="50" w:after="159" w:afterLines="50" w:afterAutospacing="0" w:line="360" w:lineRule="auto"/>
        <w:ind w:left="17" w:leftChars="0" w:firstLine="0" w:firstLineChars="0"/>
        <w:jc w:val="left"/>
        <w:textAlignment w:val="baseline"/>
        <w:outlineLvl w:val="1"/>
        <w:rPr>
          <w:rFonts w:hint="eastAsia" w:ascii="Times New Roman" w:hAnsi="Times New Roman" w:eastAsia="宋体" w:cs="Times New Roman"/>
          <w:b/>
          <w:bCs/>
          <w:color w:val="auto"/>
          <w:sz w:val="28"/>
          <w:szCs w:val="28"/>
          <w:lang w:val="en-US" w:eastAsia="zh-CN"/>
        </w:rPr>
      </w:pPr>
      <w:bookmarkStart w:id="114" w:name="_Toc19273"/>
      <w:r>
        <w:rPr>
          <w:rFonts w:hint="eastAsia" w:cs="Times New Roman"/>
          <w:b/>
          <w:bCs/>
          <w:color w:val="auto"/>
          <w:sz w:val="28"/>
          <w:szCs w:val="28"/>
          <w:lang w:val="en-US" w:eastAsia="zh-CN"/>
        </w:rPr>
        <w:t xml:space="preserve">附件7 </w:t>
      </w:r>
      <w:r>
        <w:rPr>
          <w:rFonts w:hint="eastAsia" w:ascii="Times New Roman" w:hAnsi="Times New Roman" w:eastAsia="宋体" w:cs="Times New Roman"/>
          <w:b/>
          <w:bCs/>
          <w:color w:val="auto"/>
          <w:sz w:val="28"/>
          <w:szCs w:val="28"/>
          <w:lang w:val="en-US" w:eastAsia="zh-CN"/>
        </w:rPr>
        <w:t>华容县人民政府县长办公会议纪要</w:t>
      </w:r>
      <w:bookmarkEnd w:id="114"/>
    </w:p>
    <w:p>
      <w:pPr>
        <w:pageBreakBefore w:val="0"/>
        <w:wordWrap/>
        <w:overflowPunct/>
        <w:topLinePunct w:val="0"/>
        <w:bidi w:val="0"/>
        <w:spacing w:before="157" w:beforeLines="50" w:beforeAutospacing="0" w:after="157" w:afterLines="50" w:afterAutospacing="0" w:line="360" w:lineRule="auto"/>
        <w:rPr>
          <w:rFonts w:hint="default"/>
          <w:color w:val="auto"/>
          <w:lang w:val="en-US" w:eastAsia="zh-CN"/>
        </w:rPr>
      </w:pPr>
      <w:r>
        <w:rPr>
          <w:color w:val="auto"/>
        </w:rPr>
        <w:drawing>
          <wp:inline distT="0" distB="0" distL="114300" distR="114300">
            <wp:extent cx="5172075" cy="6467475"/>
            <wp:effectExtent l="0" t="0" r="9525" b="9525"/>
            <wp:docPr id="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
                    <pic:cNvPicPr>
                      <a:picLocks noChangeAspect="1"/>
                    </pic:cNvPicPr>
                  </pic:nvPicPr>
                  <pic:blipFill>
                    <a:blip r:embed="rId48"/>
                    <a:stretch>
                      <a:fillRect/>
                    </a:stretch>
                  </pic:blipFill>
                  <pic:spPr>
                    <a:xfrm>
                      <a:off x="0" y="0"/>
                      <a:ext cx="5172075" cy="6467475"/>
                    </a:xfrm>
                    <a:prstGeom prst="rect">
                      <a:avLst/>
                    </a:prstGeom>
                    <a:noFill/>
                    <a:ln>
                      <a:noFill/>
                    </a:ln>
                  </pic:spPr>
                </pic:pic>
              </a:graphicData>
            </a:graphic>
          </wp:inline>
        </w:drawing>
      </w:r>
      <w:r>
        <w:rPr>
          <w:color w:val="auto"/>
        </w:rPr>
        <w:drawing>
          <wp:inline distT="0" distB="0" distL="114300" distR="114300">
            <wp:extent cx="5514975" cy="6553200"/>
            <wp:effectExtent l="0" t="0" r="9525" b="0"/>
            <wp:docPr id="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1"/>
                    </pic:cNvPicPr>
                  </pic:nvPicPr>
                  <pic:blipFill>
                    <a:blip r:embed="rId49"/>
                    <a:stretch>
                      <a:fillRect/>
                    </a:stretch>
                  </pic:blipFill>
                  <pic:spPr>
                    <a:xfrm>
                      <a:off x="0" y="0"/>
                      <a:ext cx="5514975" cy="6553200"/>
                    </a:xfrm>
                    <a:prstGeom prst="rect">
                      <a:avLst/>
                    </a:prstGeom>
                    <a:noFill/>
                    <a:ln>
                      <a:noFill/>
                    </a:ln>
                  </pic:spPr>
                </pic:pic>
              </a:graphicData>
            </a:graphic>
          </wp:inline>
        </w:drawing>
      </w:r>
      <w:r>
        <w:rPr>
          <w:color w:val="auto"/>
        </w:rPr>
        <w:drawing>
          <wp:inline distT="0" distB="0" distL="114300" distR="114300">
            <wp:extent cx="5530850" cy="7139305"/>
            <wp:effectExtent l="0" t="0" r="12700" b="4445"/>
            <wp:docPr id="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pic:cNvPicPr>
                      <a:picLocks noChangeAspect="1"/>
                    </pic:cNvPicPr>
                  </pic:nvPicPr>
                  <pic:blipFill>
                    <a:blip r:embed="rId50"/>
                    <a:stretch>
                      <a:fillRect/>
                    </a:stretch>
                  </pic:blipFill>
                  <pic:spPr>
                    <a:xfrm>
                      <a:off x="0" y="0"/>
                      <a:ext cx="5530850" cy="7139305"/>
                    </a:xfrm>
                    <a:prstGeom prst="rect">
                      <a:avLst/>
                    </a:prstGeom>
                    <a:noFill/>
                    <a:ln>
                      <a:noFill/>
                    </a:ln>
                  </pic:spPr>
                </pic:pic>
              </a:graphicData>
            </a:graphic>
          </wp:inline>
        </w:drawing>
      </w:r>
      <w:r>
        <w:rPr>
          <w:color w:val="auto"/>
        </w:rPr>
        <w:drawing>
          <wp:inline distT="0" distB="0" distL="114300" distR="114300">
            <wp:extent cx="5621655" cy="6960870"/>
            <wp:effectExtent l="0" t="0" r="17145" b="11430"/>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51"/>
                    <a:stretch>
                      <a:fillRect/>
                    </a:stretch>
                  </pic:blipFill>
                  <pic:spPr>
                    <a:xfrm>
                      <a:off x="0" y="0"/>
                      <a:ext cx="5621655" cy="6960870"/>
                    </a:xfrm>
                    <a:prstGeom prst="rect">
                      <a:avLst/>
                    </a:prstGeom>
                    <a:noFill/>
                    <a:ln>
                      <a:noFill/>
                    </a:ln>
                  </pic:spPr>
                </pic:pic>
              </a:graphicData>
            </a:graphic>
          </wp:inline>
        </w:drawing>
      </w:r>
      <w:r>
        <w:rPr>
          <w:color w:val="auto"/>
        </w:rPr>
        <w:drawing>
          <wp:inline distT="0" distB="0" distL="114300" distR="114300">
            <wp:extent cx="5643880" cy="6945630"/>
            <wp:effectExtent l="0" t="0" r="13970" b="7620"/>
            <wp:docPr id="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52"/>
                    <a:stretch>
                      <a:fillRect/>
                    </a:stretch>
                  </pic:blipFill>
                  <pic:spPr>
                    <a:xfrm>
                      <a:off x="0" y="0"/>
                      <a:ext cx="5643880" cy="6945630"/>
                    </a:xfrm>
                    <a:prstGeom prst="rect">
                      <a:avLst/>
                    </a:prstGeom>
                    <a:noFill/>
                    <a:ln>
                      <a:noFill/>
                    </a:ln>
                  </pic:spPr>
                </pic:pic>
              </a:graphicData>
            </a:graphic>
          </wp:inline>
        </w:drawing>
      </w:r>
    </w:p>
    <w:p>
      <w:pPr>
        <w:jc w:val="left"/>
        <w:outlineLvl w:val="1"/>
        <w:rPr>
          <w:rFonts w:hint="default" w:eastAsia="宋体"/>
          <w:b/>
          <w:bCs/>
          <w:color w:val="auto"/>
          <w:sz w:val="28"/>
          <w:szCs w:val="28"/>
          <w:lang w:val="en-US" w:eastAsia="zh-CN"/>
        </w:rPr>
      </w:pPr>
    </w:p>
    <w:p>
      <w:pPr>
        <w:rPr>
          <w:rFonts w:hint="eastAsia"/>
          <w:b/>
          <w:bCs/>
          <w:color w:val="auto"/>
          <w:sz w:val="28"/>
          <w:szCs w:val="28"/>
        </w:rPr>
      </w:pPr>
      <w:r>
        <w:rPr>
          <w:rFonts w:hint="eastAsia"/>
          <w:b/>
          <w:bCs/>
          <w:color w:val="auto"/>
          <w:sz w:val="28"/>
          <w:szCs w:val="28"/>
        </w:rPr>
        <w:br w:type="page"/>
      </w:r>
    </w:p>
    <w:p>
      <w:pPr>
        <w:jc w:val="left"/>
        <w:outlineLvl w:val="1"/>
        <w:rPr>
          <w:rFonts w:hint="default" w:eastAsia="宋体"/>
          <w:color w:val="auto"/>
          <w:lang w:val="en-US" w:eastAsia="zh-CN"/>
        </w:rPr>
      </w:pPr>
      <w:bookmarkStart w:id="115" w:name="_Toc15955"/>
      <w:r>
        <w:rPr>
          <w:rFonts w:hint="eastAsia"/>
          <w:b/>
          <w:bCs/>
          <w:color w:val="auto"/>
          <w:sz w:val="28"/>
          <w:szCs w:val="28"/>
          <w:lang w:val="en-US" w:eastAsia="zh-CN"/>
        </w:rPr>
        <w:t>附件8 备案文件</w:t>
      </w:r>
      <w:bookmarkEnd w:id="115"/>
    </w:p>
    <w:p>
      <w:pPr>
        <w:rPr>
          <w:rFonts w:hint="eastAsia"/>
          <w:b/>
          <w:bCs/>
          <w:color w:val="auto"/>
          <w:sz w:val="28"/>
          <w:szCs w:val="28"/>
          <w:lang w:val="en-US" w:eastAsia="zh-CN"/>
        </w:rPr>
      </w:pPr>
      <w:r>
        <w:rPr>
          <w:color w:val="auto"/>
        </w:rPr>
        <w:drawing>
          <wp:inline distT="0" distB="0" distL="114300" distR="114300">
            <wp:extent cx="5598795" cy="7595235"/>
            <wp:effectExtent l="0" t="0" r="1905" b="5715"/>
            <wp:docPr id="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pic:cNvPicPr>
                      <a:picLocks noChangeAspect="1"/>
                    </pic:cNvPicPr>
                  </pic:nvPicPr>
                  <pic:blipFill>
                    <a:blip r:embed="rId53"/>
                    <a:stretch>
                      <a:fillRect/>
                    </a:stretch>
                  </pic:blipFill>
                  <pic:spPr>
                    <a:xfrm>
                      <a:off x="0" y="0"/>
                      <a:ext cx="5598795" cy="7595235"/>
                    </a:xfrm>
                    <a:prstGeom prst="rect">
                      <a:avLst/>
                    </a:prstGeom>
                    <a:noFill/>
                    <a:ln>
                      <a:noFill/>
                    </a:ln>
                  </pic:spPr>
                </pic:pic>
              </a:graphicData>
            </a:graphic>
          </wp:inline>
        </w:drawing>
      </w:r>
    </w:p>
    <w:p>
      <w:pPr>
        <w:rPr>
          <w:rFonts w:hint="eastAsia"/>
          <w:b/>
          <w:bCs/>
          <w:color w:val="auto"/>
          <w:sz w:val="28"/>
          <w:szCs w:val="28"/>
          <w:lang w:val="en-US" w:eastAsia="zh-CN"/>
        </w:rPr>
      </w:pPr>
      <w:r>
        <w:rPr>
          <w:rFonts w:hint="eastAsia"/>
          <w:b/>
          <w:bCs/>
          <w:color w:val="auto"/>
          <w:sz w:val="28"/>
          <w:szCs w:val="28"/>
          <w:lang w:val="en-US" w:eastAsia="zh-CN"/>
        </w:rPr>
        <w:br w:type="page"/>
      </w:r>
    </w:p>
    <w:p>
      <w:pPr>
        <w:rPr>
          <w:rFonts w:hint="eastAsia"/>
          <w:b/>
          <w:bCs/>
          <w:color w:val="auto"/>
          <w:sz w:val="28"/>
          <w:szCs w:val="28"/>
          <w:lang w:val="en-US" w:eastAsia="zh-CN"/>
        </w:rPr>
      </w:pPr>
      <w:r>
        <w:rPr>
          <w:color w:val="auto"/>
        </w:rPr>
        <w:drawing>
          <wp:inline distT="0" distB="0" distL="114300" distR="114300">
            <wp:extent cx="5815965" cy="7807960"/>
            <wp:effectExtent l="0" t="0" r="13335" b="2540"/>
            <wp:docPr id="2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5"/>
                    <pic:cNvPicPr>
                      <a:picLocks noChangeAspect="1"/>
                    </pic:cNvPicPr>
                  </pic:nvPicPr>
                  <pic:blipFill>
                    <a:blip r:embed="rId54"/>
                    <a:stretch>
                      <a:fillRect/>
                    </a:stretch>
                  </pic:blipFill>
                  <pic:spPr>
                    <a:xfrm>
                      <a:off x="0" y="0"/>
                      <a:ext cx="5815965" cy="7807960"/>
                    </a:xfrm>
                    <a:prstGeom prst="rect">
                      <a:avLst/>
                    </a:prstGeom>
                    <a:noFill/>
                    <a:ln>
                      <a:noFill/>
                    </a:ln>
                  </pic:spPr>
                </pic:pic>
              </a:graphicData>
            </a:graphic>
          </wp:inline>
        </w:drawing>
      </w:r>
    </w:p>
    <w:p>
      <w:pPr>
        <w:rPr>
          <w:rFonts w:hint="eastAsia"/>
          <w:b/>
          <w:bCs/>
          <w:color w:val="auto"/>
          <w:sz w:val="28"/>
          <w:szCs w:val="28"/>
          <w:lang w:val="en-US" w:eastAsia="zh-CN"/>
        </w:rPr>
      </w:pPr>
      <w:r>
        <w:rPr>
          <w:rFonts w:hint="eastAsia"/>
          <w:b/>
          <w:bCs/>
          <w:color w:val="auto"/>
          <w:sz w:val="28"/>
          <w:szCs w:val="28"/>
          <w:lang w:val="en-US" w:eastAsia="zh-CN"/>
        </w:rPr>
        <w:br w:type="page"/>
      </w:r>
      <w:r>
        <w:rPr>
          <w:color w:val="auto"/>
        </w:rPr>
        <w:drawing>
          <wp:inline distT="0" distB="0" distL="114300" distR="114300">
            <wp:extent cx="5810250" cy="7444105"/>
            <wp:effectExtent l="0" t="0" r="0" b="4445"/>
            <wp:docPr id="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6"/>
                    <pic:cNvPicPr>
                      <a:picLocks noChangeAspect="1"/>
                    </pic:cNvPicPr>
                  </pic:nvPicPr>
                  <pic:blipFill>
                    <a:blip r:embed="rId55"/>
                    <a:stretch>
                      <a:fillRect/>
                    </a:stretch>
                  </pic:blipFill>
                  <pic:spPr>
                    <a:xfrm>
                      <a:off x="0" y="0"/>
                      <a:ext cx="5810250" cy="7444105"/>
                    </a:xfrm>
                    <a:prstGeom prst="rect">
                      <a:avLst/>
                    </a:prstGeom>
                    <a:noFill/>
                    <a:ln>
                      <a:noFill/>
                    </a:ln>
                  </pic:spPr>
                </pic:pic>
              </a:graphicData>
            </a:graphic>
          </wp:inline>
        </w:drawing>
      </w:r>
    </w:p>
    <w:p>
      <w:pPr>
        <w:rPr>
          <w:rFonts w:hint="eastAsia"/>
          <w:b/>
          <w:bCs/>
          <w:color w:val="auto"/>
          <w:sz w:val="28"/>
          <w:szCs w:val="28"/>
          <w:lang w:val="en-US" w:eastAsia="zh-CN"/>
        </w:rPr>
      </w:pPr>
      <w:r>
        <w:rPr>
          <w:rFonts w:hint="eastAsia"/>
          <w:b/>
          <w:bCs/>
          <w:color w:val="auto"/>
          <w:sz w:val="28"/>
          <w:szCs w:val="28"/>
          <w:lang w:val="en-US" w:eastAsia="zh-CN"/>
        </w:rPr>
        <w:br w:type="page"/>
      </w:r>
    </w:p>
    <w:bookmarkEnd w:id="108"/>
    <w:bookmarkEnd w:id="109"/>
    <w:bookmarkEnd w:id="110"/>
    <w:p>
      <w:pPr>
        <w:jc w:val="left"/>
        <w:outlineLvl w:val="1"/>
        <w:rPr>
          <w:rFonts w:hint="default" w:ascii="方正小标宋_GBK" w:hAnsi="黑体" w:eastAsia="方正小标宋_GBK" w:cs="Times New Roman"/>
          <w:snapToGrid w:val="0"/>
          <w:color w:val="auto"/>
          <w:kern w:val="0"/>
          <w:sz w:val="38"/>
          <w:szCs w:val="38"/>
          <w:lang w:eastAsia="zh-CN"/>
        </w:rPr>
      </w:pPr>
      <w:bookmarkStart w:id="311" w:name="_GoBack"/>
      <w:bookmarkEnd w:id="311"/>
      <w:bookmarkStart w:id="116" w:name="_Toc14330"/>
      <w:r>
        <w:rPr>
          <w:rFonts w:hint="eastAsia" w:ascii="方正小标宋_GBK" w:hAnsi="黑体" w:eastAsia="方正小标宋_GBK" w:cs="Times New Roman"/>
          <w:snapToGrid w:val="0"/>
          <w:color w:val="auto"/>
          <w:kern w:val="0"/>
          <w:sz w:val="38"/>
          <w:szCs w:val="38"/>
          <w:lang w:val="en-US" w:eastAsia="zh-CN"/>
        </w:rPr>
        <w:t>华容县团洲垸灾后重建安置房建设项目（二期）</w:t>
      </w:r>
      <w:bookmarkEnd w:id="116"/>
    </w:p>
    <w:p>
      <w:pPr>
        <w:jc w:val="center"/>
        <w:outlineLvl w:val="0"/>
        <w:rPr>
          <w:rFonts w:hint="default" w:ascii="方正小标宋_GBK" w:hAnsi="黑体" w:eastAsia="方正小标宋_GBK" w:cs="Times New Roman"/>
          <w:snapToGrid w:val="0"/>
          <w:color w:val="auto"/>
          <w:kern w:val="0"/>
          <w:sz w:val="38"/>
          <w:szCs w:val="38"/>
        </w:rPr>
      </w:pPr>
      <w:bookmarkStart w:id="117" w:name="_Toc6912"/>
      <w:bookmarkStart w:id="118" w:name="_Toc15599"/>
      <w:r>
        <w:rPr>
          <w:rFonts w:hint="eastAsia" w:ascii="方正小标宋_GBK" w:hAnsi="黑体" w:eastAsia="方正小标宋_GBK" w:cs="Times New Roman"/>
          <w:snapToGrid w:val="0"/>
          <w:color w:val="auto"/>
          <w:kern w:val="0"/>
          <w:sz w:val="38"/>
          <w:szCs w:val="38"/>
          <w:lang w:eastAsia="zh-CN"/>
        </w:rPr>
        <w:t>生态</w:t>
      </w:r>
      <w:r>
        <w:rPr>
          <w:rFonts w:hint="default" w:ascii="方正小标宋_GBK" w:hAnsi="黑体" w:eastAsia="方正小标宋_GBK" w:cs="Times New Roman"/>
          <w:snapToGrid w:val="0"/>
          <w:color w:val="auto"/>
          <w:kern w:val="0"/>
          <w:sz w:val="38"/>
          <w:szCs w:val="38"/>
        </w:rPr>
        <w:t>环境影响专项报告</w:t>
      </w:r>
      <w:bookmarkEnd w:id="117"/>
      <w:bookmarkEnd w:id="118"/>
    </w:p>
    <w:p>
      <w:pPr>
        <w:spacing w:before="60" w:after="60"/>
        <w:ind w:firstLine="0" w:firstLineChars="0"/>
        <w:jc w:val="center"/>
        <w:rPr>
          <w:rFonts w:hint="default" w:ascii="Times New Roman" w:hAnsi="Times New Roman" w:cs="Times New Roman"/>
          <w:b/>
          <w:bCs/>
          <w:color w:val="auto"/>
          <w:spacing w:val="20"/>
          <w:sz w:val="32"/>
        </w:rPr>
      </w:pPr>
    </w:p>
    <w:p>
      <w:pPr>
        <w:spacing w:before="60" w:after="60"/>
        <w:ind w:firstLine="0" w:firstLineChars="0"/>
        <w:jc w:val="center"/>
        <w:rPr>
          <w:rFonts w:hint="default" w:ascii="Times New Roman" w:hAnsi="Times New Roman" w:cs="Times New Roman"/>
          <w:b/>
          <w:bCs/>
          <w:color w:val="auto"/>
          <w:spacing w:val="20"/>
          <w:sz w:val="32"/>
        </w:rPr>
      </w:pPr>
    </w:p>
    <w:p>
      <w:pPr>
        <w:spacing w:before="60" w:after="60"/>
        <w:ind w:firstLine="0" w:firstLineChars="0"/>
        <w:jc w:val="center"/>
        <w:rPr>
          <w:rFonts w:hint="default" w:ascii="Times New Roman" w:hAnsi="Times New Roman" w:cs="Times New Roman"/>
          <w:b/>
          <w:bCs/>
          <w:color w:val="auto"/>
          <w:spacing w:val="20"/>
          <w:sz w:val="32"/>
        </w:rPr>
      </w:pPr>
    </w:p>
    <w:p>
      <w:pPr>
        <w:spacing w:before="60" w:after="60"/>
        <w:ind w:firstLine="0" w:firstLineChars="0"/>
        <w:jc w:val="center"/>
        <w:rPr>
          <w:rFonts w:hint="default" w:ascii="Times New Roman" w:hAnsi="Times New Roman" w:cs="Times New Roman"/>
          <w:b/>
          <w:bCs/>
          <w:color w:val="auto"/>
          <w:spacing w:val="20"/>
          <w:sz w:val="32"/>
        </w:rPr>
      </w:pPr>
    </w:p>
    <w:p>
      <w:pPr>
        <w:spacing w:before="60" w:after="60"/>
        <w:ind w:firstLine="0" w:firstLineChars="0"/>
        <w:jc w:val="center"/>
        <w:rPr>
          <w:rFonts w:hint="default" w:ascii="Times New Roman" w:hAnsi="Times New Roman" w:cs="Times New Roman"/>
          <w:b/>
          <w:bCs/>
          <w:color w:val="auto"/>
          <w:spacing w:val="20"/>
          <w:sz w:val="32"/>
        </w:rPr>
      </w:pPr>
    </w:p>
    <w:p>
      <w:pPr>
        <w:spacing w:before="60" w:after="60"/>
        <w:ind w:firstLine="0" w:firstLineChars="0"/>
        <w:jc w:val="center"/>
        <w:rPr>
          <w:rFonts w:hint="default" w:ascii="Times New Roman" w:hAnsi="Times New Roman" w:cs="Times New Roman"/>
          <w:b/>
          <w:bCs/>
          <w:color w:val="auto"/>
          <w:spacing w:val="20"/>
          <w:sz w:val="32"/>
        </w:rPr>
      </w:pPr>
    </w:p>
    <w:p>
      <w:pPr>
        <w:spacing w:before="60" w:after="60"/>
        <w:ind w:firstLine="0" w:firstLineChars="0"/>
        <w:jc w:val="center"/>
        <w:rPr>
          <w:rFonts w:hint="default" w:ascii="Times New Roman" w:hAnsi="Times New Roman" w:cs="Times New Roman"/>
          <w:b/>
          <w:bCs/>
          <w:color w:val="auto"/>
          <w:spacing w:val="20"/>
          <w:sz w:val="32"/>
        </w:rPr>
      </w:pPr>
    </w:p>
    <w:p>
      <w:pPr>
        <w:spacing w:before="60" w:after="60"/>
        <w:ind w:firstLine="0" w:firstLineChars="0"/>
        <w:jc w:val="center"/>
        <w:rPr>
          <w:rFonts w:hint="default" w:ascii="Times New Roman" w:hAnsi="Times New Roman" w:cs="Times New Roman"/>
          <w:b/>
          <w:bCs/>
          <w:color w:val="auto"/>
          <w:spacing w:val="20"/>
          <w:sz w:val="32"/>
        </w:rPr>
      </w:pPr>
    </w:p>
    <w:p>
      <w:pPr>
        <w:spacing w:before="60" w:after="60"/>
        <w:ind w:firstLine="0" w:firstLineChars="0"/>
        <w:jc w:val="center"/>
        <w:rPr>
          <w:rFonts w:hint="default" w:ascii="Times New Roman" w:hAnsi="Times New Roman" w:cs="Times New Roman"/>
          <w:b/>
          <w:bCs/>
          <w:color w:val="auto"/>
          <w:spacing w:val="20"/>
          <w:sz w:val="32"/>
        </w:rPr>
      </w:pPr>
    </w:p>
    <w:p>
      <w:pPr>
        <w:spacing w:before="60" w:after="60"/>
        <w:ind w:firstLine="0" w:firstLineChars="0"/>
        <w:jc w:val="center"/>
        <w:rPr>
          <w:rFonts w:hint="default" w:ascii="Times New Roman" w:hAnsi="Times New Roman" w:cs="Times New Roman"/>
          <w:b/>
          <w:bCs/>
          <w:color w:val="auto"/>
          <w:spacing w:val="20"/>
          <w:sz w:val="32"/>
        </w:rPr>
      </w:pPr>
    </w:p>
    <w:p>
      <w:pPr>
        <w:spacing w:before="60" w:after="60"/>
        <w:ind w:firstLine="0" w:firstLineChars="0"/>
        <w:jc w:val="center"/>
        <w:rPr>
          <w:rFonts w:hint="default" w:ascii="Times New Roman" w:hAnsi="Times New Roman" w:cs="Times New Roman"/>
          <w:b/>
          <w:bCs/>
          <w:color w:val="auto"/>
          <w:spacing w:val="20"/>
          <w:sz w:val="32"/>
        </w:rPr>
      </w:pPr>
    </w:p>
    <w:p>
      <w:pPr>
        <w:pStyle w:val="75"/>
        <w:rPr>
          <w:rFonts w:hint="default" w:ascii="Times New Roman" w:hAnsi="Times New Roman" w:cs="Times New Roman"/>
          <w:b/>
          <w:bCs/>
          <w:color w:val="auto"/>
          <w:spacing w:val="20"/>
          <w:sz w:val="32"/>
        </w:rPr>
      </w:pPr>
    </w:p>
    <w:p>
      <w:pPr>
        <w:pStyle w:val="75"/>
        <w:rPr>
          <w:rFonts w:hint="default" w:ascii="Times New Roman" w:hAnsi="Times New Roman" w:cs="Times New Roman"/>
          <w:b/>
          <w:bCs/>
          <w:color w:val="auto"/>
          <w:spacing w:val="20"/>
          <w:sz w:val="32"/>
        </w:rPr>
      </w:pPr>
    </w:p>
    <w:p>
      <w:pPr>
        <w:pStyle w:val="75"/>
        <w:rPr>
          <w:rFonts w:hint="default" w:ascii="Times New Roman" w:hAnsi="Times New Roman" w:cs="Times New Roman"/>
          <w:b/>
          <w:bCs/>
          <w:color w:val="auto"/>
          <w:spacing w:val="20"/>
          <w:sz w:val="32"/>
        </w:rPr>
      </w:pPr>
    </w:p>
    <w:p>
      <w:pPr>
        <w:pStyle w:val="75"/>
        <w:ind w:left="0" w:leftChars="0" w:firstLine="0" w:firstLineChars="0"/>
        <w:rPr>
          <w:rFonts w:hint="default" w:ascii="Times New Roman" w:hAnsi="Times New Roman" w:cs="Times New Roman"/>
          <w:b/>
          <w:bCs/>
          <w:color w:val="auto"/>
          <w:spacing w:val="20"/>
          <w:sz w:val="32"/>
        </w:rPr>
      </w:pPr>
    </w:p>
    <w:p>
      <w:pPr>
        <w:spacing w:before="0" w:beforeLines="0" w:after="0" w:afterLines="0"/>
        <w:ind w:firstLine="0" w:firstLineChars="0"/>
        <w:jc w:val="center"/>
        <w:rPr>
          <w:rFonts w:hint="default" w:ascii="Times New Roman" w:hAnsi="Times New Roman" w:cs="Times New Roman"/>
          <w:b/>
          <w:bCs/>
          <w:color w:val="auto"/>
          <w:spacing w:val="20"/>
          <w:sz w:val="32"/>
        </w:rPr>
      </w:pPr>
      <w:r>
        <w:rPr>
          <w:rFonts w:hint="default" w:ascii="Times New Roman" w:hAnsi="Times New Roman" w:cs="Times New Roman"/>
          <w:b/>
          <w:bCs/>
          <w:color w:val="auto"/>
          <w:spacing w:val="20"/>
          <w:sz w:val="32"/>
          <w:lang w:eastAsia="zh-CN"/>
        </w:rPr>
        <w:t>湖南润美环保科技有限公司</w:t>
      </w:r>
    </w:p>
    <w:p>
      <w:pPr>
        <w:spacing w:before="0" w:beforeLines="0" w:after="0" w:afterLines="0"/>
        <w:ind w:firstLine="0" w:firstLineChars="0"/>
        <w:jc w:val="center"/>
        <w:rPr>
          <w:rFonts w:hint="default" w:ascii="Times New Roman" w:hAnsi="Times New Roman" w:cs="Times New Roman"/>
          <w:b/>
          <w:bCs/>
          <w:color w:val="auto"/>
          <w:spacing w:val="20"/>
          <w:sz w:val="32"/>
        </w:rPr>
      </w:pPr>
    </w:p>
    <w:p>
      <w:pPr>
        <w:spacing w:before="0" w:beforeLines="0" w:after="0" w:afterLines="0"/>
        <w:ind w:firstLine="0" w:firstLineChars="0"/>
        <w:jc w:val="center"/>
        <w:rPr>
          <w:rFonts w:hint="default" w:ascii="Times New Roman" w:hAnsi="Times New Roman" w:eastAsia="宋体" w:cs="Times New Roman"/>
          <w:b/>
          <w:bCs/>
          <w:color w:val="auto"/>
          <w:spacing w:val="20"/>
          <w:sz w:val="32"/>
          <w:lang w:val="en-US" w:eastAsia="zh-CN"/>
        </w:rPr>
        <w:sectPr>
          <w:footerReference r:id="rId8" w:type="default"/>
          <w:pgSz w:w="11906" w:h="16838"/>
          <w:pgMar w:top="1440" w:right="1800" w:bottom="1440" w:left="1800" w:header="851" w:footer="1077" w:gutter="0"/>
          <w:pgBorders>
            <w:top w:val="none" w:sz="0" w:space="0"/>
            <w:left w:val="none" w:sz="0" w:space="0"/>
            <w:bottom w:val="none" w:sz="0" w:space="0"/>
            <w:right w:val="none" w:sz="0" w:space="0"/>
          </w:pgBorders>
          <w:pgNumType w:fmt="decimal" w:start="78"/>
          <w:cols w:space="720" w:num="1"/>
          <w:docGrid w:linePitch="312" w:charSpace="0"/>
        </w:sectPr>
      </w:pPr>
      <w:r>
        <w:rPr>
          <w:rFonts w:hint="default" w:ascii="Times New Roman" w:hAnsi="Times New Roman" w:cs="Times New Roman"/>
          <w:b/>
          <w:bCs/>
          <w:color w:val="auto"/>
          <w:spacing w:val="20"/>
          <w:sz w:val="32"/>
        </w:rPr>
        <w:t>二〇</w:t>
      </w:r>
      <w:r>
        <w:rPr>
          <w:rFonts w:hint="default" w:ascii="Times New Roman" w:hAnsi="Times New Roman" w:cs="Times New Roman"/>
          <w:b/>
          <w:bCs/>
          <w:color w:val="auto"/>
          <w:spacing w:val="20"/>
          <w:sz w:val="32"/>
          <w:lang w:eastAsia="zh-CN"/>
        </w:rPr>
        <w:t>二</w:t>
      </w:r>
      <w:r>
        <w:rPr>
          <w:rFonts w:hint="eastAsia" w:cs="Times New Roman"/>
          <w:b/>
          <w:bCs/>
          <w:color w:val="auto"/>
          <w:spacing w:val="20"/>
          <w:sz w:val="32"/>
          <w:lang w:val="en-US" w:eastAsia="zh-CN"/>
        </w:rPr>
        <w:t>五</w:t>
      </w:r>
      <w:r>
        <w:rPr>
          <w:rFonts w:hint="default" w:ascii="Times New Roman" w:hAnsi="Times New Roman" w:cs="Times New Roman"/>
          <w:b/>
          <w:bCs/>
          <w:color w:val="auto"/>
          <w:spacing w:val="20"/>
          <w:sz w:val="32"/>
        </w:rPr>
        <w:t>年</w:t>
      </w:r>
      <w:r>
        <w:rPr>
          <w:rFonts w:hint="eastAsia" w:cs="Times New Roman"/>
          <w:b/>
          <w:bCs/>
          <w:color w:val="auto"/>
          <w:spacing w:val="20"/>
          <w:sz w:val="32"/>
          <w:lang w:val="en-US" w:eastAsia="zh-CN"/>
        </w:rPr>
        <w:t>四月</w:t>
      </w:r>
    </w:p>
    <w:p>
      <w:pPr>
        <w:keepNext w:val="0"/>
        <w:keepLines w:val="0"/>
        <w:pageBreakBefore w:val="0"/>
        <w:widowControl w:val="0"/>
        <w:kinsoku/>
        <w:wordWrap/>
        <w:overflowPunct/>
        <w:topLinePunct w:val="0"/>
        <w:autoSpaceDE/>
        <w:autoSpaceDN/>
        <w:bidi w:val="0"/>
        <w:adjustRightInd w:val="0"/>
        <w:snapToGrid w:val="0"/>
        <w:spacing w:before="0" w:beforeLines="0" w:after="164" w:afterLines="50" w:line="240" w:lineRule="auto"/>
        <w:ind w:left="0" w:leftChars="0" w:right="0" w:rightChars="0" w:firstLine="0" w:firstLineChars="0"/>
        <w:jc w:val="center"/>
        <w:textAlignment w:val="auto"/>
        <w:rPr>
          <w:color w:val="auto"/>
        </w:rPr>
      </w:pPr>
      <w:r>
        <w:rPr>
          <w:rFonts w:ascii="宋体" w:hAnsi="宋体" w:eastAsia="宋体"/>
          <w:b/>
          <w:bCs/>
          <w:color w:val="auto"/>
          <w:sz w:val="28"/>
          <w:szCs w:val="28"/>
        </w:rPr>
        <w:t>目录</w:t>
      </w:r>
      <w:r>
        <w:rPr>
          <w:color w:val="auto"/>
        </w:rPr>
        <w:fldChar w:fldCharType="begin"/>
      </w:r>
      <w:r>
        <w:rPr>
          <w:color w:val="auto"/>
        </w:rPr>
        <w:instrText xml:space="preserve">TOC \o "1-2" \h \u </w:instrText>
      </w:r>
      <w:r>
        <w:rPr>
          <w:color w:val="auto"/>
        </w:rPr>
        <w:fldChar w:fldCharType="separate"/>
      </w:r>
    </w:p>
    <w:p>
      <w:pPr>
        <w:pStyle w:val="17"/>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_Toc29359 </w:instrText>
      </w:r>
      <w:r>
        <w:rPr>
          <w:color w:val="auto"/>
        </w:rPr>
        <w:fldChar w:fldCharType="separate"/>
      </w:r>
      <w:r>
        <w:rPr>
          <w:rFonts w:ascii="Times New Roman" w:hAnsi="Times New Roman" w:eastAsia="宋体" w:cs="Times New Roman"/>
          <w:snapToGrid w:val="0"/>
          <w:color w:val="auto"/>
          <w:kern w:val="0"/>
          <w:szCs w:val="30"/>
          <w:lang w:val="en-US" w:eastAsia="zh-CN" w:bidi="ar-SA"/>
        </w:rPr>
        <w:t>1总则</w:t>
      </w:r>
      <w:r>
        <w:rPr>
          <w:color w:val="auto"/>
        </w:rPr>
        <w:tab/>
      </w:r>
      <w:r>
        <w:rPr>
          <w:color w:val="auto"/>
        </w:rPr>
        <w:fldChar w:fldCharType="begin"/>
      </w:r>
      <w:r>
        <w:rPr>
          <w:color w:val="auto"/>
        </w:rPr>
        <w:instrText xml:space="preserve"> PAGEREF _Toc29359 \h </w:instrText>
      </w:r>
      <w:r>
        <w:rPr>
          <w:color w:val="auto"/>
        </w:rPr>
        <w:fldChar w:fldCharType="separate"/>
      </w:r>
      <w:r>
        <w:rPr>
          <w:color w:val="auto"/>
        </w:rPr>
        <w:t>1</w:t>
      </w:r>
      <w:r>
        <w:rPr>
          <w:color w:val="auto"/>
        </w:rPr>
        <w:fldChar w:fldCharType="end"/>
      </w:r>
      <w:r>
        <w:rPr>
          <w:color w:val="auto"/>
        </w:rPr>
        <w:fldChar w:fldCharType="end"/>
      </w:r>
    </w:p>
    <w:p>
      <w:pPr>
        <w:pStyle w:val="18"/>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_Toc9323 </w:instrText>
      </w:r>
      <w:r>
        <w:rPr>
          <w:color w:val="auto"/>
        </w:rPr>
        <w:fldChar w:fldCharType="separate"/>
      </w:r>
      <w:r>
        <w:rPr>
          <w:rFonts w:ascii="Times New Roman" w:hAnsi="Times New Roman" w:eastAsia="宋体" w:cs="Times New Roman"/>
          <w:bCs/>
          <w:color w:val="auto"/>
          <w:kern w:val="2"/>
          <w:szCs w:val="28"/>
          <w:lang w:val="en-US" w:eastAsia="zh-CN" w:bidi="ar-SA"/>
        </w:rPr>
        <w:t>1.1项目由来</w:t>
      </w:r>
      <w:r>
        <w:rPr>
          <w:color w:val="auto"/>
        </w:rPr>
        <w:tab/>
      </w:r>
      <w:r>
        <w:rPr>
          <w:color w:val="auto"/>
        </w:rPr>
        <w:fldChar w:fldCharType="begin"/>
      </w:r>
      <w:r>
        <w:rPr>
          <w:color w:val="auto"/>
        </w:rPr>
        <w:instrText xml:space="preserve"> PAGEREF _Toc9323 \h </w:instrText>
      </w:r>
      <w:r>
        <w:rPr>
          <w:color w:val="auto"/>
        </w:rPr>
        <w:fldChar w:fldCharType="separate"/>
      </w:r>
      <w:r>
        <w:rPr>
          <w:color w:val="auto"/>
        </w:rPr>
        <w:t>1</w:t>
      </w:r>
      <w:r>
        <w:rPr>
          <w:color w:val="auto"/>
        </w:rPr>
        <w:fldChar w:fldCharType="end"/>
      </w:r>
      <w:r>
        <w:rPr>
          <w:color w:val="auto"/>
        </w:rPr>
        <w:fldChar w:fldCharType="end"/>
      </w:r>
    </w:p>
    <w:p>
      <w:pPr>
        <w:pStyle w:val="18"/>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_Toc22516 </w:instrText>
      </w:r>
      <w:r>
        <w:rPr>
          <w:color w:val="auto"/>
        </w:rPr>
        <w:fldChar w:fldCharType="separate"/>
      </w:r>
      <w:r>
        <w:rPr>
          <w:rFonts w:ascii="Times New Roman" w:hAnsi="Times New Roman" w:eastAsia="宋体" w:cs="Times New Roman"/>
          <w:bCs/>
          <w:color w:val="auto"/>
          <w:kern w:val="2"/>
          <w:szCs w:val="28"/>
          <w:lang w:val="en-US" w:eastAsia="zh-CN" w:bidi="ar-SA"/>
        </w:rPr>
        <w:t>1.2评价目的和评价原则</w:t>
      </w:r>
      <w:r>
        <w:rPr>
          <w:color w:val="auto"/>
        </w:rPr>
        <w:tab/>
      </w:r>
      <w:r>
        <w:rPr>
          <w:color w:val="auto"/>
        </w:rPr>
        <w:fldChar w:fldCharType="begin"/>
      </w:r>
      <w:r>
        <w:rPr>
          <w:color w:val="auto"/>
        </w:rPr>
        <w:instrText xml:space="preserve"> PAGEREF _Toc22516 \h </w:instrText>
      </w:r>
      <w:r>
        <w:rPr>
          <w:color w:val="auto"/>
        </w:rPr>
        <w:fldChar w:fldCharType="separate"/>
      </w:r>
      <w:r>
        <w:rPr>
          <w:color w:val="auto"/>
        </w:rPr>
        <w:t>1</w:t>
      </w:r>
      <w:r>
        <w:rPr>
          <w:color w:val="auto"/>
        </w:rPr>
        <w:fldChar w:fldCharType="end"/>
      </w:r>
      <w:r>
        <w:rPr>
          <w:color w:val="auto"/>
        </w:rPr>
        <w:fldChar w:fldCharType="end"/>
      </w:r>
    </w:p>
    <w:p>
      <w:pPr>
        <w:pStyle w:val="18"/>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_Toc7949 </w:instrText>
      </w:r>
      <w:r>
        <w:rPr>
          <w:color w:val="auto"/>
        </w:rPr>
        <w:fldChar w:fldCharType="separate"/>
      </w:r>
      <w:r>
        <w:rPr>
          <w:rFonts w:ascii="Times New Roman" w:hAnsi="Times New Roman" w:eastAsia="宋体" w:cs="Times New Roman"/>
          <w:bCs/>
          <w:color w:val="auto"/>
          <w:kern w:val="2"/>
          <w:szCs w:val="28"/>
          <w:lang w:val="en-US" w:eastAsia="zh-CN" w:bidi="ar-SA"/>
        </w:rPr>
        <w:t>1.3工作原则</w:t>
      </w:r>
      <w:r>
        <w:rPr>
          <w:color w:val="auto"/>
        </w:rPr>
        <w:tab/>
      </w:r>
      <w:r>
        <w:rPr>
          <w:color w:val="auto"/>
        </w:rPr>
        <w:fldChar w:fldCharType="begin"/>
      </w:r>
      <w:r>
        <w:rPr>
          <w:color w:val="auto"/>
        </w:rPr>
        <w:instrText xml:space="preserve"> PAGEREF _Toc7949 \h </w:instrText>
      </w:r>
      <w:r>
        <w:rPr>
          <w:color w:val="auto"/>
        </w:rPr>
        <w:fldChar w:fldCharType="separate"/>
      </w:r>
      <w:r>
        <w:rPr>
          <w:color w:val="auto"/>
        </w:rPr>
        <w:t>2</w:t>
      </w:r>
      <w:r>
        <w:rPr>
          <w:color w:val="auto"/>
        </w:rPr>
        <w:fldChar w:fldCharType="end"/>
      </w:r>
      <w:r>
        <w:rPr>
          <w:color w:val="auto"/>
        </w:rPr>
        <w:fldChar w:fldCharType="end"/>
      </w:r>
    </w:p>
    <w:p>
      <w:pPr>
        <w:pStyle w:val="18"/>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_Toc12498 </w:instrText>
      </w:r>
      <w:r>
        <w:rPr>
          <w:color w:val="auto"/>
        </w:rPr>
        <w:fldChar w:fldCharType="separate"/>
      </w:r>
      <w:r>
        <w:rPr>
          <w:rFonts w:ascii="Times New Roman" w:hAnsi="Times New Roman" w:eastAsia="宋体" w:cs="Times New Roman"/>
          <w:bCs/>
          <w:color w:val="auto"/>
          <w:kern w:val="2"/>
          <w:szCs w:val="28"/>
          <w:lang w:val="en-US" w:eastAsia="zh-CN" w:bidi="ar-SA"/>
        </w:rPr>
        <w:t>1.4评价依据</w:t>
      </w:r>
      <w:r>
        <w:rPr>
          <w:color w:val="auto"/>
        </w:rPr>
        <w:tab/>
      </w:r>
      <w:r>
        <w:rPr>
          <w:color w:val="auto"/>
        </w:rPr>
        <w:fldChar w:fldCharType="begin"/>
      </w:r>
      <w:r>
        <w:rPr>
          <w:color w:val="auto"/>
        </w:rPr>
        <w:instrText xml:space="preserve"> PAGEREF _Toc12498 \h </w:instrText>
      </w:r>
      <w:r>
        <w:rPr>
          <w:color w:val="auto"/>
        </w:rPr>
        <w:fldChar w:fldCharType="separate"/>
      </w:r>
      <w:r>
        <w:rPr>
          <w:color w:val="auto"/>
        </w:rPr>
        <w:t>2</w:t>
      </w:r>
      <w:r>
        <w:rPr>
          <w:color w:val="auto"/>
        </w:rPr>
        <w:fldChar w:fldCharType="end"/>
      </w:r>
      <w:r>
        <w:rPr>
          <w:color w:val="auto"/>
        </w:rPr>
        <w:fldChar w:fldCharType="end"/>
      </w:r>
    </w:p>
    <w:p>
      <w:pPr>
        <w:pStyle w:val="18"/>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_Toc25026 </w:instrText>
      </w:r>
      <w:r>
        <w:rPr>
          <w:color w:val="auto"/>
        </w:rPr>
        <w:fldChar w:fldCharType="separate"/>
      </w:r>
      <w:r>
        <w:rPr>
          <w:rFonts w:ascii="Times New Roman" w:hAnsi="Times New Roman" w:eastAsia="宋体" w:cs="Times New Roman"/>
          <w:bCs/>
          <w:color w:val="auto"/>
          <w:kern w:val="2"/>
          <w:szCs w:val="28"/>
          <w:lang w:val="en-US" w:eastAsia="zh-CN" w:bidi="ar-SA"/>
        </w:rPr>
        <w:t>1.5生态环境评价工作等级及范围</w:t>
      </w:r>
      <w:r>
        <w:rPr>
          <w:color w:val="auto"/>
        </w:rPr>
        <w:tab/>
      </w:r>
      <w:r>
        <w:rPr>
          <w:color w:val="auto"/>
        </w:rPr>
        <w:fldChar w:fldCharType="begin"/>
      </w:r>
      <w:r>
        <w:rPr>
          <w:color w:val="auto"/>
        </w:rPr>
        <w:instrText xml:space="preserve"> PAGEREF _Toc25026 \h </w:instrText>
      </w:r>
      <w:r>
        <w:rPr>
          <w:color w:val="auto"/>
        </w:rPr>
        <w:fldChar w:fldCharType="separate"/>
      </w:r>
      <w:r>
        <w:rPr>
          <w:color w:val="auto"/>
        </w:rPr>
        <w:t>5</w:t>
      </w:r>
      <w:r>
        <w:rPr>
          <w:color w:val="auto"/>
        </w:rPr>
        <w:fldChar w:fldCharType="end"/>
      </w:r>
      <w:r>
        <w:rPr>
          <w:color w:val="auto"/>
        </w:rPr>
        <w:fldChar w:fldCharType="end"/>
      </w:r>
    </w:p>
    <w:p>
      <w:pPr>
        <w:pStyle w:val="18"/>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_Toc2532 </w:instrText>
      </w:r>
      <w:r>
        <w:rPr>
          <w:color w:val="auto"/>
        </w:rPr>
        <w:fldChar w:fldCharType="separate"/>
      </w:r>
      <w:r>
        <w:rPr>
          <w:rFonts w:hint="eastAsia" w:ascii="Times New Roman" w:hAnsi="Times New Roman" w:eastAsia="宋体" w:cs="Times New Roman"/>
          <w:bCs/>
          <w:color w:val="auto"/>
          <w:kern w:val="2"/>
          <w:szCs w:val="28"/>
          <w:lang w:val="en-US" w:eastAsia="zh-CN" w:bidi="ar-SA"/>
        </w:rPr>
        <w:t>1.6评价因子筛选及评价重点</w:t>
      </w:r>
      <w:r>
        <w:rPr>
          <w:color w:val="auto"/>
        </w:rPr>
        <w:tab/>
      </w:r>
      <w:r>
        <w:rPr>
          <w:color w:val="auto"/>
        </w:rPr>
        <w:fldChar w:fldCharType="begin"/>
      </w:r>
      <w:r>
        <w:rPr>
          <w:color w:val="auto"/>
        </w:rPr>
        <w:instrText xml:space="preserve"> PAGEREF _Toc2532 \h </w:instrText>
      </w:r>
      <w:r>
        <w:rPr>
          <w:color w:val="auto"/>
        </w:rPr>
        <w:fldChar w:fldCharType="separate"/>
      </w:r>
      <w:r>
        <w:rPr>
          <w:color w:val="auto"/>
        </w:rPr>
        <w:t>6</w:t>
      </w:r>
      <w:r>
        <w:rPr>
          <w:color w:val="auto"/>
        </w:rPr>
        <w:fldChar w:fldCharType="end"/>
      </w:r>
      <w:r>
        <w:rPr>
          <w:color w:val="auto"/>
        </w:rPr>
        <w:fldChar w:fldCharType="end"/>
      </w:r>
    </w:p>
    <w:p>
      <w:pPr>
        <w:pStyle w:val="18"/>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_Toc22427 </w:instrText>
      </w:r>
      <w:r>
        <w:rPr>
          <w:color w:val="auto"/>
        </w:rPr>
        <w:fldChar w:fldCharType="separate"/>
      </w:r>
      <w:r>
        <w:rPr>
          <w:rFonts w:ascii="Times New Roman" w:hAnsi="Times New Roman" w:eastAsia="宋体" w:cs="Times New Roman"/>
          <w:color w:val="auto"/>
          <w:kern w:val="2"/>
          <w:szCs w:val="28"/>
          <w:lang w:val="en-US" w:eastAsia="zh-CN" w:bidi="ar-SA"/>
        </w:rPr>
        <w:t>1.</w:t>
      </w:r>
      <w:r>
        <w:rPr>
          <w:rFonts w:hint="eastAsia" w:ascii="Times New Roman" w:hAnsi="Times New Roman" w:eastAsia="宋体" w:cs="Times New Roman"/>
          <w:color w:val="auto"/>
          <w:kern w:val="2"/>
          <w:szCs w:val="28"/>
          <w:lang w:val="en-US" w:eastAsia="zh-CN" w:bidi="ar-SA"/>
        </w:rPr>
        <w:t>7</w:t>
      </w:r>
      <w:r>
        <w:rPr>
          <w:rFonts w:ascii="Times New Roman" w:hAnsi="Times New Roman" w:eastAsia="宋体" w:cs="Times New Roman"/>
          <w:color w:val="auto"/>
          <w:kern w:val="2"/>
          <w:szCs w:val="28"/>
          <w:lang w:val="en-US" w:eastAsia="zh-CN" w:bidi="ar-SA"/>
        </w:rPr>
        <w:t>生态环境保护目标</w:t>
      </w:r>
      <w:r>
        <w:rPr>
          <w:color w:val="auto"/>
        </w:rPr>
        <w:tab/>
      </w:r>
      <w:r>
        <w:rPr>
          <w:color w:val="auto"/>
        </w:rPr>
        <w:fldChar w:fldCharType="begin"/>
      </w:r>
      <w:r>
        <w:rPr>
          <w:color w:val="auto"/>
        </w:rPr>
        <w:instrText xml:space="preserve"> PAGEREF _Toc22427 \h </w:instrText>
      </w:r>
      <w:r>
        <w:rPr>
          <w:color w:val="auto"/>
        </w:rPr>
        <w:fldChar w:fldCharType="separate"/>
      </w:r>
      <w:r>
        <w:rPr>
          <w:color w:val="auto"/>
        </w:rPr>
        <w:t>7</w:t>
      </w:r>
      <w:r>
        <w:rPr>
          <w:color w:val="auto"/>
        </w:rPr>
        <w:fldChar w:fldCharType="end"/>
      </w:r>
      <w:r>
        <w:rPr>
          <w:color w:val="auto"/>
        </w:rPr>
        <w:fldChar w:fldCharType="end"/>
      </w:r>
    </w:p>
    <w:p>
      <w:pPr>
        <w:pStyle w:val="17"/>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_Toc30542 </w:instrText>
      </w:r>
      <w:r>
        <w:rPr>
          <w:color w:val="auto"/>
        </w:rPr>
        <w:fldChar w:fldCharType="separate"/>
      </w:r>
      <w:r>
        <w:rPr>
          <w:rFonts w:ascii="Times New Roman" w:hAnsi="Times New Roman" w:eastAsia="宋体" w:cs="Times New Roman"/>
          <w:snapToGrid w:val="0"/>
          <w:color w:val="auto"/>
          <w:kern w:val="0"/>
          <w:szCs w:val="30"/>
          <w:lang w:val="en-US" w:eastAsia="zh-CN" w:bidi="ar-SA"/>
        </w:rPr>
        <w:t>2项目工程分析</w:t>
      </w:r>
      <w:r>
        <w:rPr>
          <w:color w:val="auto"/>
        </w:rPr>
        <w:tab/>
      </w:r>
      <w:r>
        <w:rPr>
          <w:color w:val="auto"/>
        </w:rPr>
        <w:fldChar w:fldCharType="begin"/>
      </w:r>
      <w:r>
        <w:rPr>
          <w:color w:val="auto"/>
        </w:rPr>
        <w:instrText xml:space="preserve"> PAGEREF _Toc30542 \h </w:instrText>
      </w:r>
      <w:r>
        <w:rPr>
          <w:color w:val="auto"/>
        </w:rPr>
        <w:fldChar w:fldCharType="separate"/>
      </w:r>
      <w:r>
        <w:rPr>
          <w:color w:val="auto"/>
        </w:rPr>
        <w:t>8</w:t>
      </w:r>
      <w:r>
        <w:rPr>
          <w:color w:val="auto"/>
        </w:rPr>
        <w:fldChar w:fldCharType="end"/>
      </w:r>
      <w:r>
        <w:rPr>
          <w:color w:val="auto"/>
        </w:rPr>
        <w:fldChar w:fldCharType="end"/>
      </w:r>
    </w:p>
    <w:p>
      <w:pPr>
        <w:pStyle w:val="18"/>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_Toc11291 </w:instrText>
      </w:r>
      <w:r>
        <w:rPr>
          <w:color w:val="auto"/>
        </w:rPr>
        <w:fldChar w:fldCharType="separate"/>
      </w:r>
      <w:r>
        <w:rPr>
          <w:rFonts w:ascii="Times New Roman" w:hAnsi="Times New Roman" w:eastAsia="宋体" w:cs="Times New Roman"/>
          <w:bCs/>
          <w:color w:val="auto"/>
          <w:kern w:val="2"/>
          <w:szCs w:val="28"/>
          <w:lang w:val="en-US" w:eastAsia="zh-CN" w:bidi="ar-SA"/>
        </w:rPr>
        <w:t>2.1</w:t>
      </w:r>
      <w:r>
        <w:rPr>
          <w:rFonts w:hint="eastAsia" w:ascii="Times New Roman" w:hAnsi="Times New Roman" w:eastAsia="宋体" w:cs="Times New Roman"/>
          <w:bCs/>
          <w:color w:val="auto"/>
          <w:kern w:val="2"/>
          <w:szCs w:val="28"/>
          <w:lang w:val="en-US" w:eastAsia="zh-CN" w:bidi="ar-SA"/>
        </w:rPr>
        <w:t>项目概况</w:t>
      </w:r>
      <w:r>
        <w:rPr>
          <w:color w:val="auto"/>
        </w:rPr>
        <w:tab/>
      </w:r>
      <w:r>
        <w:rPr>
          <w:color w:val="auto"/>
        </w:rPr>
        <w:fldChar w:fldCharType="begin"/>
      </w:r>
      <w:r>
        <w:rPr>
          <w:color w:val="auto"/>
        </w:rPr>
        <w:instrText xml:space="preserve"> PAGEREF _Toc11291 \h </w:instrText>
      </w:r>
      <w:r>
        <w:rPr>
          <w:color w:val="auto"/>
        </w:rPr>
        <w:fldChar w:fldCharType="separate"/>
      </w:r>
      <w:r>
        <w:rPr>
          <w:color w:val="auto"/>
        </w:rPr>
        <w:t>8</w:t>
      </w:r>
      <w:r>
        <w:rPr>
          <w:color w:val="auto"/>
        </w:rPr>
        <w:fldChar w:fldCharType="end"/>
      </w:r>
      <w:r>
        <w:rPr>
          <w:color w:val="auto"/>
        </w:rPr>
        <w:fldChar w:fldCharType="end"/>
      </w:r>
    </w:p>
    <w:p>
      <w:pPr>
        <w:pStyle w:val="18"/>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_Toc1717 </w:instrText>
      </w:r>
      <w:r>
        <w:rPr>
          <w:color w:val="auto"/>
        </w:rPr>
        <w:fldChar w:fldCharType="separate"/>
      </w:r>
      <w:r>
        <w:rPr>
          <w:rFonts w:hint="eastAsia" w:ascii="Times New Roman" w:hAnsi="Times New Roman" w:eastAsia="宋体" w:cs="Times New Roman"/>
          <w:bCs/>
          <w:color w:val="auto"/>
          <w:kern w:val="2"/>
          <w:szCs w:val="28"/>
          <w:lang w:val="en-US" w:eastAsia="zh-CN" w:bidi="ar-SA"/>
        </w:rPr>
        <w:t>2.2</w:t>
      </w:r>
      <w:r>
        <w:rPr>
          <w:rFonts w:ascii="Times New Roman" w:hAnsi="Times New Roman" w:eastAsia="宋体" w:cs="Times New Roman"/>
          <w:bCs/>
          <w:color w:val="auto"/>
          <w:kern w:val="2"/>
          <w:szCs w:val="28"/>
          <w:lang w:val="en-US" w:eastAsia="zh-CN" w:bidi="ar-SA"/>
        </w:rPr>
        <w:t>工程建设内容</w:t>
      </w:r>
      <w:r>
        <w:rPr>
          <w:color w:val="auto"/>
        </w:rPr>
        <w:tab/>
      </w:r>
      <w:r>
        <w:rPr>
          <w:color w:val="auto"/>
        </w:rPr>
        <w:fldChar w:fldCharType="begin"/>
      </w:r>
      <w:r>
        <w:rPr>
          <w:color w:val="auto"/>
        </w:rPr>
        <w:instrText xml:space="preserve"> PAGEREF _Toc1717 \h </w:instrText>
      </w:r>
      <w:r>
        <w:rPr>
          <w:color w:val="auto"/>
        </w:rPr>
        <w:fldChar w:fldCharType="separate"/>
      </w:r>
      <w:r>
        <w:rPr>
          <w:color w:val="auto"/>
        </w:rPr>
        <w:t>8</w:t>
      </w:r>
      <w:r>
        <w:rPr>
          <w:color w:val="auto"/>
        </w:rPr>
        <w:fldChar w:fldCharType="end"/>
      </w:r>
      <w:r>
        <w:rPr>
          <w:color w:val="auto"/>
        </w:rPr>
        <w:fldChar w:fldCharType="end"/>
      </w:r>
    </w:p>
    <w:p>
      <w:pPr>
        <w:pStyle w:val="17"/>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_Toc11734 </w:instrText>
      </w:r>
      <w:r>
        <w:rPr>
          <w:color w:val="auto"/>
        </w:rPr>
        <w:fldChar w:fldCharType="separate"/>
      </w:r>
      <w:r>
        <w:rPr>
          <w:rFonts w:ascii="Times New Roman" w:hAnsi="Times New Roman" w:eastAsia="宋体" w:cs="Times New Roman"/>
          <w:bCs w:val="0"/>
          <w:snapToGrid w:val="0"/>
          <w:color w:val="auto"/>
          <w:kern w:val="0"/>
          <w:szCs w:val="30"/>
          <w:lang w:val="en-US" w:eastAsia="zh-CN" w:bidi="ar-SA"/>
        </w:rPr>
        <w:t>3生态环境现状调查与评价</w:t>
      </w:r>
      <w:r>
        <w:rPr>
          <w:color w:val="auto"/>
        </w:rPr>
        <w:tab/>
      </w:r>
      <w:r>
        <w:rPr>
          <w:color w:val="auto"/>
        </w:rPr>
        <w:fldChar w:fldCharType="begin"/>
      </w:r>
      <w:r>
        <w:rPr>
          <w:color w:val="auto"/>
        </w:rPr>
        <w:instrText xml:space="preserve"> PAGEREF _Toc11734 \h </w:instrText>
      </w:r>
      <w:r>
        <w:rPr>
          <w:color w:val="auto"/>
        </w:rPr>
        <w:fldChar w:fldCharType="separate"/>
      </w:r>
      <w:r>
        <w:rPr>
          <w:color w:val="auto"/>
        </w:rPr>
        <w:t>9</w:t>
      </w:r>
      <w:r>
        <w:rPr>
          <w:color w:val="auto"/>
        </w:rPr>
        <w:fldChar w:fldCharType="end"/>
      </w:r>
      <w:r>
        <w:rPr>
          <w:color w:val="auto"/>
        </w:rPr>
        <w:fldChar w:fldCharType="end"/>
      </w:r>
    </w:p>
    <w:p>
      <w:pPr>
        <w:pStyle w:val="18"/>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_Toc28113 </w:instrText>
      </w:r>
      <w:r>
        <w:rPr>
          <w:color w:val="auto"/>
        </w:rPr>
        <w:fldChar w:fldCharType="separate"/>
      </w:r>
      <w:r>
        <w:rPr>
          <w:rFonts w:ascii="Times New Roman" w:hAnsi="Times New Roman" w:eastAsia="宋体" w:cs="Times New Roman"/>
          <w:bCs/>
          <w:color w:val="auto"/>
          <w:kern w:val="2"/>
          <w:szCs w:val="28"/>
          <w:lang w:val="en-US" w:eastAsia="zh-CN" w:bidi="ar-SA"/>
        </w:rPr>
        <w:t>3.1</w:t>
      </w:r>
      <w:r>
        <w:rPr>
          <w:rFonts w:hint="eastAsia" w:ascii="Times New Roman" w:hAnsi="Times New Roman" w:eastAsia="宋体" w:cs="Times New Roman"/>
          <w:bCs/>
          <w:color w:val="auto"/>
          <w:kern w:val="2"/>
          <w:szCs w:val="28"/>
          <w:lang w:val="en-US" w:eastAsia="zh-CN" w:bidi="ar-SA"/>
        </w:rPr>
        <w:t>土地利用现状</w:t>
      </w:r>
      <w:r>
        <w:rPr>
          <w:color w:val="auto"/>
        </w:rPr>
        <w:tab/>
      </w:r>
      <w:r>
        <w:rPr>
          <w:color w:val="auto"/>
        </w:rPr>
        <w:fldChar w:fldCharType="begin"/>
      </w:r>
      <w:r>
        <w:rPr>
          <w:color w:val="auto"/>
        </w:rPr>
        <w:instrText xml:space="preserve"> PAGEREF _Toc28113 \h </w:instrText>
      </w:r>
      <w:r>
        <w:rPr>
          <w:color w:val="auto"/>
        </w:rPr>
        <w:fldChar w:fldCharType="separate"/>
      </w:r>
      <w:r>
        <w:rPr>
          <w:color w:val="auto"/>
        </w:rPr>
        <w:t>9</w:t>
      </w:r>
      <w:r>
        <w:rPr>
          <w:color w:val="auto"/>
        </w:rPr>
        <w:fldChar w:fldCharType="end"/>
      </w:r>
      <w:r>
        <w:rPr>
          <w:color w:val="auto"/>
        </w:rPr>
        <w:fldChar w:fldCharType="end"/>
      </w:r>
    </w:p>
    <w:p>
      <w:pPr>
        <w:pStyle w:val="18"/>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_Toc16185 </w:instrText>
      </w:r>
      <w:r>
        <w:rPr>
          <w:color w:val="auto"/>
        </w:rPr>
        <w:fldChar w:fldCharType="separate"/>
      </w:r>
      <w:r>
        <w:rPr>
          <w:rFonts w:hint="eastAsia" w:ascii="Times New Roman" w:hAnsi="Times New Roman" w:eastAsia="宋体" w:cs="Times New Roman"/>
          <w:bCs/>
          <w:color w:val="auto"/>
          <w:kern w:val="2"/>
          <w:szCs w:val="28"/>
          <w:lang w:val="en-US" w:eastAsia="zh-CN" w:bidi="ar-SA"/>
        </w:rPr>
        <w:t>3</w:t>
      </w:r>
      <w:r>
        <w:rPr>
          <w:rFonts w:hint="default" w:ascii="Times New Roman" w:hAnsi="Times New Roman" w:eastAsia="宋体" w:cs="Times New Roman"/>
          <w:bCs/>
          <w:color w:val="auto"/>
          <w:kern w:val="2"/>
          <w:szCs w:val="28"/>
          <w:lang w:val="en-US" w:eastAsia="zh-CN" w:bidi="ar-SA"/>
        </w:rPr>
        <w:t>.2生态环境</w:t>
      </w:r>
      <w:r>
        <w:rPr>
          <w:rFonts w:hint="eastAsia" w:ascii="Times New Roman" w:hAnsi="Times New Roman" w:eastAsia="宋体" w:cs="Times New Roman"/>
          <w:bCs/>
          <w:color w:val="auto"/>
          <w:kern w:val="2"/>
          <w:szCs w:val="28"/>
          <w:lang w:val="en-US" w:eastAsia="zh-CN" w:bidi="ar-SA"/>
        </w:rPr>
        <w:t>调查与评价</w:t>
      </w:r>
      <w:r>
        <w:rPr>
          <w:color w:val="auto"/>
        </w:rPr>
        <w:tab/>
      </w:r>
      <w:r>
        <w:rPr>
          <w:color w:val="auto"/>
        </w:rPr>
        <w:fldChar w:fldCharType="begin"/>
      </w:r>
      <w:r>
        <w:rPr>
          <w:color w:val="auto"/>
        </w:rPr>
        <w:instrText xml:space="preserve"> PAGEREF _Toc16185 \h </w:instrText>
      </w:r>
      <w:r>
        <w:rPr>
          <w:color w:val="auto"/>
        </w:rPr>
        <w:fldChar w:fldCharType="separate"/>
      </w:r>
      <w:r>
        <w:rPr>
          <w:color w:val="auto"/>
        </w:rPr>
        <w:t>9</w:t>
      </w:r>
      <w:r>
        <w:rPr>
          <w:color w:val="auto"/>
        </w:rPr>
        <w:fldChar w:fldCharType="end"/>
      </w:r>
      <w:r>
        <w:rPr>
          <w:color w:val="auto"/>
        </w:rPr>
        <w:fldChar w:fldCharType="end"/>
      </w:r>
    </w:p>
    <w:p>
      <w:pPr>
        <w:pStyle w:val="18"/>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_Toc17066 </w:instrText>
      </w:r>
      <w:r>
        <w:rPr>
          <w:color w:val="auto"/>
        </w:rPr>
        <w:fldChar w:fldCharType="separate"/>
      </w:r>
      <w:r>
        <w:rPr>
          <w:rFonts w:hint="eastAsia" w:ascii="Times New Roman" w:hAnsi="Times New Roman" w:eastAsia="宋体" w:cs="Times New Roman"/>
          <w:bCs/>
          <w:color w:val="auto"/>
          <w:kern w:val="2"/>
          <w:szCs w:val="28"/>
          <w:lang w:val="en-US" w:eastAsia="zh-CN" w:bidi="ar-SA"/>
        </w:rPr>
        <w:t>3</w:t>
      </w:r>
      <w:r>
        <w:rPr>
          <w:rFonts w:hint="default" w:ascii="Times New Roman" w:hAnsi="Times New Roman" w:eastAsia="宋体" w:cs="Times New Roman"/>
          <w:bCs/>
          <w:color w:val="auto"/>
          <w:kern w:val="2"/>
          <w:szCs w:val="28"/>
          <w:lang w:val="en-US" w:eastAsia="zh-CN" w:bidi="ar-SA"/>
        </w:rPr>
        <w:t>.3建设项目所在地生态环境现状</w:t>
      </w:r>
      <w:r>
        <w:rPr>
          <w:color w:val="auto"/>
        </w:rPr>
        <w:tab/>
      </w:r>
      <w:r>
        <w:rPr>
          <w:color w:val="auto"/>
        </w:rPr>
        <w:fldChar w:fldCharType="begin"/>
      </w:r>
      <w:r>
        <w:rPr>
          <w:color w:val="auto"/>
        </w:rPr>
        <w:instrText xml:space="preserve"> PAGEREF _Toc17066 \h </w:instrText>
      </w:r>
      <w:r>
        <w:rPr>
          <w:color w:val="auto"/>
        </w:rPr>
        <w:fldChar w:fldCharType="separate"/>
      </w:r>
      <w:r>
        <w:rPr>
          <w:color w:val="auto"/>
        </w:rPr>
        <w:t>10</w:t>
      </w:r>
      <w:r>
        <w:rPr>
          <w:color w:val="auto"/>
        </w:rPr>
        <w:fldChar w:fldCharType="end"/>
      </w:r>
      <w:r>
        <w:rPr>
          <w:color w:val="auto"/>
        </w:rPr>
        <w:fldChar w:fldCharType="end"/>
      </w:r>
    </w:p>
    <w:p>
      <w:pPr>
        <w:pStyle w:val="17"/>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_Toc13004 </w:instrText>
      </w:r>
      <w:r>
        <w:rPr>
          <w:color w:val="auto"/>
        </w:rPr>
        <w:fldChar w:fldCharType="separate"/>
      </w:r>
      <w:r>
        <w:rPr>
          <w:rFonts w:hint="eastAsia" w:ascii="Times New Roman" w:hAnsi="Times New Roman" w:eastAsia="宋体" w:cs="Times New Roman"/>
          <w:bCs w:val="0"/>
          <w:snapToGrid w:val="0"/>
          <w:color w:val="auto"/>
          <w:kern w:val="0"/>
          <w:szCs w:val="30"/>
          <w:lang w:val="en-US" w:eastAsia="zh-CN" w:bidi="ar-SA"/>
        </w:rPr>
        <w:t>4</w:t>
      </w:r>
      <w:r>
        <w:rPr>
          <w:rFonts w:ascii="Times New Roman" w:hAnsi="Times New Roman" w:eastAsia="宋体" w:cs="Times New Roman"/>
          <w:bCs w:val="0"/>
          <w:snapToGrid w:val="0"/>
          <w:color w:val="auto"/>
          <w:kern w:val="0"/>
          <w:szCs w:val="30"/>
          <w:lang w:val="en-US" w:eastAsia="zh-CN" w:bidi="ar-SA"/>
        </w:rPr>
        <w:t>生态环境</w:t>
      </w:r>
      <w:r>
        <w:rPr>
          <w:rFonts w:hint="eastAsia" w:ascii="Times New Roman" w:hAnsi="Times New Roman" w:eastAsia="宋体" w:cs="Times New Roman"/>
          <w:bCs w:val="0"/>
          <w:snapToGrid w:val="0"/>
          <w:color w:val="auto"/>
          <w:kern w:val="0"/>
          <w:szCs w:val="30"/>
          <w:lang w:val="en-US" w:eastAsia="zh-CN" w:bidi="ar-SA"/>
        </w:rPr>
        <w:t>影响</w:t>
      </w:r>
      <w:r>
        <w:rPr>
          <w:rFonts w:ascii="Times New Roman" w:hAnsi="Times New Roman" w:eastAsia="宋体" w:cs="Times New Roman"/>
          <w:bCs w:val="0"/>
          <w:snapToGrid w:val="0"/>
          <w:color w:val="auto"/>
          <w:kern w:val="0"/>
          <w:szCs w:val="30"/>
          <w:lang w:val="en-US" w:eastAsia="zh-CN" w:bidi="ar-SA"/>
        </w:rPr>
        <w:t>评价</w:t>
      </w:r>
      <w:r>
        <w:rPr>
          <w:color w:val="auto"/>
        </w:rPr>
        <w:tab/>
      </w:r>
      <w:r>
        <w:rPr>
          <w:color w:val="auto"/>
        </w:rPr>
        <w:fldChar w:fldCharType="begin"/>
      </w:r>
      <w:r>
        <w:rPr>
          <w:color w:val="auto"/>
        </w:rPr>
        <w:instrText xml:space="preserve"> PAGEREF _Toc13004 \h </w:instrText>
      </w:r>
      <w:r>
        <w:rPr>
          <w:color w:val="auto"/>
        </w:rPr>
        <w:fldChar w:fldCharType="separate"/>
      </w:r>
      <w:r>
        <w:rPr>
          <w:color w:val="auto"/>
        </w:rPr>
        <w:t>29</w:t>
      </w:r>
      <w:r>
        <w:rPr>
          <w:color w:val="auto"/>
        </w:rPr>
        <w:fldChar w:fldCharType="end"/>
      </w:r>
      <w:r>
        <w:rPr>
          <w:color w:val="auto"/>
        </w:rPr>
        <w:fldChar w:fldCharType="end"/>
      </w:r>
    </w:p>
    <w:p>
      <w:pPr>
        <w:pStyle w:val="18"/>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_Toc21397 </w:instrText>
      </w:r>
      <w:r>
        <w:rPr>
          <w:color w:val="auto"/>
        </w:rPr>
        <w:fldChar w:fldCharType="separate"/>
      </w:r>
      <w:r>
        <w:rPr>
          <w:rFonts w:ascii="Times New Roman" w:hAnsi="Times New Roman" w:eastAsia="宋体" w:cs="Times New Roman"/>
          <w:bCs/>
          <w:color w:val="auto"/>
          <w:kern w:val="2"/>
          <w:szCs w:val="28"/>
          <w:lang w:val="en-US" w:eastAsia="zh-CN" w:bidi="ar-SA"/>
        </w:rPr>
        <w:t xml:space="preserve">4.1 </w:t>
      </w:r>
      <w:r>
        <w:rPr>
          <w:rFonts w:hint="eastAsia" w:ascii="Times New Roman" w:hAnsi="Times New Roman" w:eastAsia="宋体" w:cs="Times New Roman"/>
          <w:bCs/>
          <w:color w:val="auto"/>
          <w:kern w:val="2"/>
          <w:szCs w:val="28"/>
          <w:lang w:val="en-US" w:eastAsia="zh-CN" w:bidi="ar-SA"/>
        </w:rPr>
        <w:t>施工期生态环境影响分析与评价</w:t>
      </w:r>
      <w:r>
        <w:rPr>
          <w:color w:val="auto"/>
        </w:rPr>
        <w:tab/>
      </w:r>
      <w:r>
        <w:rPr>
          <w:color w:val="auto"/>
        </w:rPr>
        <w:fldChar w:fldCharType="begin"/>
      </w:r>
      <w:r>
        <w:rPr>
          <w:color w:val="auto"/>
        </w:rPr>
        <w:instrText xml:space="preserve"> PAGEREF _Toc21397 \h </w:instrText>
      </w:r>
      <w:r>
        <w:rPr>
          <w:color w:val="auto"/>
        </w:rPr>
        <w:fldChar w:fldCharType="separate"/>
      </w:r>
      <w:r>
        <w:rPr>
          <w:color w:val="auto"/>
        </w:rPr>
        <w:t>34</w:t>
      </w:r>
      <w:r>
        <w:rPr>
          <w:color w:val="auto"/>
        </w:rPr>
        <w:fldChar w:fldCharType="end"/>
      </w:r>
      <w:r>
        <w:rPr>
          <w:color w:val="auto"/>
        </w:rPr>
        <w:fldChar w:fldCharType="end"/>
      </w:r>
    </w:p>
    <w:p>
      <w:pPr>
        <w:pStyle w:val="18"/>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_Toc6378 </w:instrText>
      </w:r>
      <w:r>
        <w:rPr>
          <w:color w:val="auto"/>
        </w:rPr>
        <w:fldChar w:fldCharType="separate"/>
      </w:r>
      <w:r>
        <w:rPr>
          <w:rFonts w:ascii="Times New Roman" w:hAnsi="Times New Roman" w:eastAsia="宋体" w:cs="Times New Roman"/>
          <w:bCs/>
          <w:color w:val="auto"/>
          <w:kern w:val="2"/>
          <w:szCs w:val="28"/>
          <w:lang w:val="en-US" w:eastAsia="zh-CN" w:bidi="ar-SA"/>
        </w:rPr>
        <w:t>4.</w:t>
      </w:r>
      <w:r>
        <w:rPr>
          <w:rFonts w:hint="eastAsia" w:ascii="Times New Roman" w:hAnsi="Times New Roman" w:eastAsia="宋体" w:cs="Times New Roman"/>
          <w:bCs/>
          <w:color w:val="auto"/>
          <w:kern w:val="2"/>
          <w:szCs w:val="28"/>
          <w:lang w:val="en-US" w:eastAsia="zh-CN" w:bidi="ar-SA"/>
        </w:rPr>
        <w:t>2</w:t>
      </w:r>
      <w:r>
        <w:rPr>
          <w:rFonts w:ascii="Times New Roman" w:hAnsi="Times New Roman" w:eastAsia="宋体" w:cs="Times New Roman"/>
          <w:bCs/>
          <w:color w:val="auto"/>
          <w:kern w:val="2"/>
          <w:szCs w:val="28"/>
          <w:lang w:val="en-US" w:eastAsia="zh-CN" w:bidi="ar-SA"/>
        </w:rPr>
        <w:t xml:space="preserve"> </w:t>
      </w:r>
      <w:r>
        <w:rPr>
          <w:rFonts w:hint="eastAsia" w:ascii="Times New Roman" w:hAnsi="Times New Roman" w:eastAsia="宋体" w:cs="Times New Roman"/>
          <w:bCs/>
          <w:color w:val="auto"/>
          <w:kern w:val="2"/>
          <w:szCs w:val="28"/>
          <w:lang w:val="en-US" w:eastAsia="zh-CN" w:bidi="ar-SA"/>
        </w:rPr>
        <w:t>运营期生态环境影响分析与评价</w:t>
      </w:r>
      <w:r>
        <w:rPr>
          <w:color w:val="auto"/>
        </w:rPr>
        <w:tab/>
      </w:r>
      <w:r>
        <w:rPr>
          <w:color w:val="auto"/>
        </w:rPr>
        <w:fldChar w:fldCharType="begin"/>
      </w:r>
      <w:r>
        <w:rPr>
          <w:color w:val="auto"/>
        </w:rPr>
        <w:instrText xml:space="preserve"> PAGEREF _Toc6378 \h </w:instrText>
      </w:r>
      <w:r>
        <w:rPr>
          <w:color w:val="auto"/>
        </w:rPr>
        <w:fldChar w:fldCharType="separate"/>
      </w:r>
      <w:r>
        <w:rPr>
          <w:color w:val="auto"/>
        </w:rPr>
        <w:t>37</w:t>
      </w:r>
      <w:r>
        <w:rPr>
          <w:color w:val="auto"/>
        </w:rPr>
        <w:fldChar w:fldCharType="end"/>
      </w:r>
      <w:r>
        <w:rPr>
          <w:color w:val="auto"/>
        </w:rPr>
        <w:fldChar w:fldCharType="end"/>
      </w:r>
    </w:p>
    <w:p>
      <w:pPr>
        <w:pStyle w:val="17"/>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_Toc6600 </w:instrText>
      </w:r>
      <w:r>
        <w:rPr>
          <w:color w:val="auto"/>
        </w:rPr>
        <w:fldChar w:fldCharType="separate"/>
      </w:r>
      <w:r>
        <w:rPr>
          <w:rFonts w:ascii="Times New Roman" w:hAnsi="Times New Roman" w:eastAsia="宋体" w:cs="Times New Roman"/>
          <w:bCs w:val="0"/>
          <w:snapToGrid w:val="0"/>
          <w:color w:val="auto"/>
          <w:kern w:val="0"/>
          <w:szCs w:val="30"/>
          <w:lang w:val="en-US" w:eastAsia="zh-CN" w:bidi="ar-SA"/>
        </w:rPr>
        <w:t>5生态保护对策措施</w:t>
      </w:r>
      <w:r>
        <w:rPr>
          <w:color w:val="auto"/>
        </w:rPr>
        <w:tab/>
      </w:r>
      <w:r>
        <w:rPr>
          <w:color w:val="auto"/>
        </w:rPr>
        <w:fldChar w:fldCharType="begin"/>
      </w:r>
      <w:r>
        <w:rPr>
          <w:color w:val="auto"/>
        </w:rPr>
        <w:instrText xml:space="preserve"> PAGEREF _Toc6600 \h </w:instrText>
      </w:r>
      <w:r>
        <w:rPr>
          <w:color w:val="auto"/>
        </w:rPr>
        <w:fldChar w:fldCharType="separate"/>
      </w:r>
      <w:r>
        <w:rPr>
          <w:color w:val="auto"/>
        </w:rPr>
        <w:t>39</w:t>
      </w:r>
      <w:r>
        <w:rPr>
          <w:color w:val="auto"/>
        </w:rPr>
        <w:fldChar w:fldCharType="end"/>
      </w:r>
      <w:r>
        <w:rPr>
          <w:color w:val="auto"/>
        </w:rPr>
        <w:fldChar w:fldCharType="end"/>
      </w:r>
    </w:p>
    <w:p>
      <w:pPr>
        <w:pStyle w:val="18"/>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_Toc3275 </w:instrText>
      </w:r>
      <w:r>
        <w:rPr>
          <w:color w:val="auto"/>
        </w:rPr>
        <w:fldChar w:fldCharType="separate"/>
      </w:r>
      <w:r>
        <w:rPr>
          <w:rFonts w:ascii="Times New Roman" w:hAnsi="Times New Roman" w:eastAsia="宋体" w:cs="Times New Roman"/>
          <w:bCs/>
          <w:color w:val="auto"/>
          <w:kern w:val="2"/>
          <w:szCs w:val="28"/>
          <w:lang w:val="en-US" w:eastAsia="zh-CN" w:bidi="ar-SA"/>
        </w:rPr>
        <w:t>5.1施工期生态保护措施</w:t>
      </w:r>
      <w:r>
        <w:rPr>
          <w:color w:val="auto"/>
        </w:rPr>
        <w:tab/>
      </w:r>
      <w:r>
        <w:rPr>
          <w:color w:val="auto"/>
        </w:rPr>
        <w:fldChar w:fldCharType="begin"/>
      </w:r>
      <w:r>
        <w:rPr>
          <w:color w:val="auto"/>
        </w:rPr>
        <w:instrText xml:space="preserve"> PAGEREF _Toc3275 \h </w:instrText>
      </w:r>
      <w:r>
        <w:rPr>
          <w:color w:val="auto"/>
        </w:rPr>
        <w:fldChar w:fldCharType="separate"/>
      </w:r>
      <w:r>
        <w:rPr>
          <w:color w:val="auto"/>
        </w:rPr>
        <w:t>39</w:t>
      </w:r>
      <w:r>
        <w:rPr>
          <w:color w:val="auto"/>
        </w:rPr>
        <w:fldChar w:fldCharType="end"/>
      </w:r>
      <w:r>
        <w:rPr>
          <w:color w:val="auto"/>
        </w:rPr>
        <w:fldChar w:fldCharType="end"/>
      </w:r>
    </w:p>
    <w:p>
      <w:pPr>
        <w:pStyle w:val="18"/>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_Toc23134 </w:instrText>
      </w:r>
      <w:r>
        <w:rPr>
          <w:color w:val="auto"/>
        </w:rPr>
        <w:fldChar w:fldCharType="separate"/>
      </w:r>
      <w:r>
        <w:rPr>
          <w:rFonts w:ascii="Times New Roman" w:hAnsi="Times New Roman" w:eastAsia="宋体" w:cs="Times New Roman"/>
          <w:bCs/>
          <w:color w:val="auto"/>
          <w:kern w:val="2"/>
          <w:szCs w:val="28"/>
          <w:lang w:val="en-US" w:eastAsia="zh-CN" w:bidi="ar-SA"/>
        </w:rPr>
        <w:t>5.2营运期生态保护措施</w:t>
      </w:r>
      <w:r>
        <w:rPr>
          <w:color w:val="auto"/>
        </w:rPr>
        <w:tab/>
      </w:r>
      <w:r>
        <w:rPr>
          <w:color w:val="auto"/>
        </w:rPr>
        <w:fldChar w:fldCharType="begin"/>
      </w:r>
      <w:r>
        <w:rPr>
          <w:color w:val="auto"/>
        </w:rPr>
        <w:instrText xml:space="preserve"> PAGEREF _Toc23134 \h </w:instrText>
      </w:r>
      <w:r>
        <w:rPr>
          <w:color w:val="auto"/>
        </w:rPr>
        <w:fldChar w:fldCharType="separate"/>
      </w:r>
      <w:r>
        <w:rPr>
          <w:color w:val="auto"/>
        </w:rPr>
        <w:t>41</w:t>
      </w:r>
      <w:r>
        <w:rPr>
          <w:color w:val="auto"/>
        </w:rPr>
        <w:fldChar w:fldCharType="end"/>
      </w:r>
      <w:r>
        <w:rPr>
          <w:color w:val="auto"/>
        </w:rPr>
        <w:fldChar w:fldCharType="end"/>
      </w:r>
    </w:p>
    <w:p>
      <w:pPr>
        <w:pStyle w:val="17"/>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_Toc10105 </w:instrText>
      </w:r>
      <w:r>
        <w:rPr>
          <w:color w:val="auto"/>
        </w:rPr>
        <w:fldChar w:fldCharType="separate"/>
      </w:r>
      <w:r>
        <w:rPr>
          <w:rFonts w:ascii="Times New Roman" w:hAnsi="Times New Roman" w:eastAsia="宋体" w:cs="Times New Roman"/>
          <w:snapToGrid w:val="0"/>
          <w:color w:val="auto"/>
          <w:kern w:val="0"/>
          <w:szCs w:val="30"/>
          <w:lang w:val="en-US" w:eastAsia="zh-CN" w:bidi="ar-SA"/>
        </w:rPr>
        <w:t>6评价结论和建议</w:t>
      </w:r>
      <w:r>
        <w:rPr>
          <w:color w:val="auto"/>
        </w:rPr>
        <w:tab/>
      </w:r>
      <w:r>
        <w:rPr>
          <w:color w:val="auto"/>
        </w:rPr>
        <w:fldChar w:fldCharType="begin"/>
      </w:r>
      <w:r>
        <w:rPr>
          <w:color w:val="auto"/>
        </w:rPr>
        <w:instrText xml:space="preserve"> PAGEREF _Toc10105 \h </w:instrText>
      </w:r>
      <w:r>
        <w:rPr>
          <w:color w:val="auto"/>
        </w:rPr>
        <w:fldChar w:fldCharType="separate"/>
      </w:r>
      <w:r>
        <w:rPr>
          <w:color w:val="auto"/>
        </w:rPr>
        <w:t>42</w:t>
      </w:r>
      <w:r>
        <w:rPr>
          <w:color w:val="auto"/>
        </w:rPr>
        <w:fldChar w:fldCharType="end"/>
      </w:r>
      <w:r>
        <w:rPr>
          <w:color w:val="auto"/>
        </w:rPr>
        <w:fldChar w:fldCharType="end"/>
      </w:r>
    </w:p>
    <w:p>
      <w:pPr>
        <w:pStyle w:val="18"/>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_Toc24989 </w:instrText>
      </w:r>
      <w:r>
        <w:rPr>
          <w:color w:val="auto"/>
        </w:rPr>
        <w:fldChar w:fldCharType="separate"/>
      </w:r>
      <w:r>
        <w:rPr>
          <w:rFonts w:ascii="Times New Roman" w:hAnsi="Times New Roman" w:eastAsia="宋体" w:cs="Times New Roman"/>
          <w:bCs/>
          <w:color w:val="auto"/>
          <w:kern w:val="2"/>
          <w:szCs w:val="28"/>
          <w:lang w:val="en-US" w:eastAsia="zh-CN" w:bidi="ar-SA"/>
        </w:rPr>
        <w:t>6.1评价结论</w:t>
      </w:r>
      <w:r>
        <w:rPr>
          <w:color w:val="auto"/>
        </w:rPr>
        <w:tab/>
      </w:r>
      <w:r>
        <w:rPr>
          <w:color w:val="auto"/>
        </w:rPr>
        <w:fldChar w:fldCharType="begin"/>
      </w:r>
      <w:r>
        <w:rPr>
          <w:color w:val="auto"/>
        </w:rPr>
        <w:instrText xml:space="preserve"> PAGEREF _Toc24989 \h </w:instrText>
      </w:r>
      <w:r>
        <w:rPr>
          <w:color w:val="auto"/>
        </w:rPr>
        <w:fldChar w:fldCharType="separate"/>
      </w:r>
      <w:r>
        <w:rPr>
          <w:color w:val="auto"/>
        </w:rPr>
        <w:t>42</w:t>
      </w:r>
      <w:r>
        <w:rPr>
          <w:color w:val="auto"/>
        </w:rPr>
        <w:fldChar w:fldCharType="end"/>
      </w:r>
      <w:r>
        <w:rPr>
          <w:color w:val="auto"/>
        </w:rPr>
        <w:fldChar w:fldCharType="end"/>
      </w:r>
    </w:p>
    <w:p>
      <w:pPr>
        <w:pStyle w:val="18"/>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_Toc17926 </w:instrText>
      </w:r>
      <w:r>
        <w:rPr>
          <w:color w:val="auto"/>
        </w:rPr>
        <w:fldChar w:fldCharType="separate"/>
      </w:r>
      <w:r>
        <w:rPr>
          <w:rFonts w:ascii="Times New Roman" w:hAnsi="Times New Roman" w:eastAsia="宋体" w:cs="Times New Roman"/>
          <w:bCs/>
          <w:color w:val="auto"/>
          <w:kern w:val="2"/>
          <w:szCs w:val="28"/>
          <w:lang w:val="en-US" w:eastAsia="zh-CN" w:bidi="ar-SA"/>
        </w:rPr>
        <w:t>6.2评价建议</w:t>
      </w:r>
      <w:r>
        <w:rPr>
          <w:color w:val="auto"/>
        </w:rPr>
        <w:tab/>
      </w:r>
      <w:r>
        <w:rPr>
          <w:color w:val="auto"/>
        </w:rPr>
        <w:fldChar w:fldCharType="begin"/>
      </w:r>
      <w:r>
        <w:rPr>
          <w:color w:val="auto"/>
        </w:rPr>
        <w:instrText xml:space="preserve"> PAGEREF _Toc17926 \h </w:instrText>
      </w:r>
      <w:r>
        <w:rPr>
          <w:color w:val="auto"/>
        </w:rPr>
        <w:fldChar w:fldCharType="separate"/>
      </w:r>
      <w:r>
        <w:rPr>
          <w:color w:val="auto"/>
        </w:rPr>
        <w:t>42</w:t>
      </w:r>
      <w:r>
        <w:rPr>
          <w:color w:val="auto"/>
        </w:rPr>
        <w:fldChar w:fldCharType="end"/>
      </w:r>
      <w:r>
        <w:rPr>
          <w:color w:val="auto"/>
        </w:rPr>
        <w:fldChar w:fldCharType="end"/>
      </w:r>
    </w:p>
    <w:p>
      <w:pPr>
        <w:pStyle w:val="17"/>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_Toc15039 </w:instrText>
      </w:r>
      <w:r>
        <w:rPr>
          <w:color w:val="auto"/>
        </w:rPr>
        <w:fldChar w:fldCharType="separate"/>
      </w:r>
      <w:r>
        <w:rPr>
          <w:rFonts w:ascii="Times New Roman" w:hAnsi="Times New Roman" w:eastAsia="宋体" w:cs="Times New Roman"/>
          <w:snapToGrid w:val="0"/>
          <w:color w:val="auto"/>
          <w:kern w:val="0"/>
          <w:szCs w:val="30"/>
          <w:lang w:val="en-US" w:eastAsia="zh-CN" w:bidi="ar-SA"/>
        </w:rPr>
        <w:t>生态影响评价自查表</w:t>
      </w:r>
      <w:r>
        <w:rPr>
          <w:color w:val="auto"/>
        </w:rPr>
        <w:tab/>
      </w:r>
      <w:r>
        <w:rPr>
          <w:color w:val="auto"/>
        </w:rPr>
        <w:fldChar w:fldCharType="begin"/>
      </w:r>
      <w:r>
        <w:rPr>
          <w:color w:val="auto"/>
        </w:rPr>
        <w:instrText xml:space="preserve"> PAGEREF _Toc15039 \h </w:instrText>
      </w:r>
      <w:r>
        <w:rPr>
          <w:color w:val="auto"/>
        </w:rPr>
        <w:fldChar w:fldCharType="separate"/>
      </w:r>
      <w:r>
        <w:rPr>
          <w:color w:val="auto"/>
        </w:rPr>
        <w:t>43</w:t>
      </w:r>
      <w:r>
        <w:rPr>
          <w:color w:val="auto"/>
        </w:rPr>
        <w:fldChar w:fldCharType="end"/>
      </w:r>
      <w:r>
        <w:rPr>
          <w:color w:val="auto"/>
        </w:rPr>
        <w:fldChar w:fldCharType="end"/>
      </w:r>
    </w:p>
    <w:p>
      <w:pPr>
        <w:rPr>
          <w:b/>
          <w:color w:val="auto"/>
        </w:rPr>
      </w:pPr>
      <w:r>
        <w:rPr>
          <w:color w:val="auto"/>
        </w:rPr>
        <w:fldChar w:fldCharType="end"/>
      </w:r>
    </w:p>
    <w:p>
      <w:pPr>
        <w:rPr>
          <w:b/>
          <w:color w:val="auto"/>
        </w:rPr>
        <w:sectPr>
          <w:headerReference r:id="rId9" w:type="default"/>
          <w:footerReference r:id="rId11" w:type="default"/>
          <w:headerReference r:id="rId10" w:type="even"/>
          <w:pgSz w:w="11907" w:h="16839"/>
          <w:pgMar w:top="1440" w:right="1797" w:bottom="1440" w:left="1797" w:header="851" w:footer="851" w:gutter="0"/>
          <w:pgBorders>
            <w:top w:val="none" w:sz="0" w:space="0"/>
            <w:left w:val="none" w:sz="0" w:space="0"/>
            <w:bottom w:val="none" w:sz="0" w:space="0"/>
            <w:right w:val="none" w:sz="0" w:space="0"/>
          </w:pgBorders>
          <w:pgNumType w:fmt="decimal" w:start="1"/>
          <w:cols w:space="720" w:num="1"/>
          <w:docGrid w:linePitch="326" w:charSpace="0"/>
        </w:sectPr>
      </w:pPr>
    </w:p>
    <w:p>
      <w:pPr>
        <w:widowControl/>
        <w:spacing w:before="0" w:beforeAutospacing="0" w:after="0" w:afterAutospacing="0" w:line="360" w:lineRule="auto"/>
        <w:jc w:val="left"/>
        <w:outlineLvl w:val="0"/>
        <w:rPr>
          <w:rFonts w:ascii="Times New Roman" w:hAnsi="Times New Roman" w:eastAsia="宋体" w:cs="Times New Roman"/>
          <w:b/>
          <w:snapToGrid w:val="0"/>
          <w:color w:val="auto"/>
          <w:kern w:val="0"/>
          <w:sz w:val="30"/>
          <w:szCs w:val="30"/>
          <w:lang w:val="en-US" w:eastAsia="zh-CN" w:bidi="ar-SA"/>
        </w:rPr>
      </w:pPr>
      <w:bookmarkStart w:id="119" w:name="_Toc29359"/>
      <w:bookmarkStart w:id="120" w:name="_Toc2863"/>
      <w:bookmarkStart w:id="121" w:name="_Toc24724"/>
      <w:bookmarkStart w:id="122" w:name="_Toc20133"/>
      <w:bookmarkStart w:id="123" w:name="_Toc24516"/>
      <w:bookmarkStart w:id="124" w:name="_Toc1145"/>
      <w:r>
        <w:rPr>
          <w:rFonts w:ascii="Times New Roman" w:hAnsi="Times New Roman" w:eastAsia="宋体" w:cs="Times New Roman"/>
          <w:b/>
          <w:snapToGrid w:val="0"/>
          <w:color w:val="auto"/>
          <w:kern w:val="0"/>
          <w:sz w:val="30"/>
          <w:szCs w:val="30"/>
          <w:lang w:val="en-US" w:eastAsia="zh-CN" w:bidi="ar-SA"/>
        </w:rPr>
        <w:t>1总则</w:t>
      </w:r>
      <w:bookmarkEnd w:id="119"/>
      <w:bookmarkEnd w:id="120"/>
      <w:bookmarkEnd w:id="121"/>
      <w:bookmarkEnd w:id="122"/>
      <w:bookmarkEnd w:id="123"/>
      <w:bookmarkEnd w:id="124"/>
    </w:p>
    <w:p>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lang w:val="en-US" w:eastAsia="zh-CN" w:bidi="ar-SA"/>
        </w:rPr>
      </w:pPr>
      <w:bookmarkStart w:id="125" w:name="_Toc11368"/>
      <w:bookmarkStart w:id="126" w:name="_Toc1053"/>
      <w:bookmarkStart w:id="127" w:name="_Toc25514"/>
      <w:bookmarkStart w:id="128" w:name="_Toc17584"/>
      <w:bookmarkStart w:id="129" w:name="_Toc22458"/>
      <w:bookmarkStart w:id="130" w:name="_Toc9418"/>
      <w:bookmarkStart w:id="131" w:name="_Toc22364"/>
      <w:bookmarkStart w:id="132" w:name="_Toc9323"/>
      <w:bookmarkStart w:id="133" w:name="_Toc333"/>
      <w:r>
        <w:rPr>
          <w:rFonts w:ascii="Times New Roman" w:hAnsi="Times New Roman" w:eastAsia="宋体" w:cs="Times New Roman"/>
          <w:b/>
          <w:bCs/>
          <w:color w:val="auto"/>
          <w:kern w:val="2"/>
          <w:sz w:val="28"/>
          <w:szCs w:val="28"/>
          <w:lang w:val="en-US" w:eastAsia="zh-CN" w:bidi="ar-SA"/>
        </w:rPr>
        <w:t>1.1项目由来</w:t>
      </w:r>
      <w:bookmarkEnd w:id="125"/>
      <w:bookmarkEnd w:id="126"/>
      <w:bookmarkEnd w:id="127"/>
      <w:bookmarkEnd w:id="128"/>
      <w:bookmarkEnd w:id="129"/>
      <w:bookmarkEnd w:id="130"/>
      <w:bookmarkEnd w:id="131"/>
      <w:bookmarkEnd w:id="132"/>
      <w:bookmarkEnd w:id="133"/>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2024年7月5日下午，团洲乡团北村团洲垸洞庭湖一线堤防发生堤坝决口，团洲垸92.5%的面积被淹，平均水深约5m，遭受了严重的洪涝灾害，对农业生产造成了严重影响。此次灾害是由于持续强降雨和长江水位暴涨导致的，降雨量大幅超出往年同期，致使多个堤防和河道水位超过警戒线。团洲乡地处平原，地势低洼，水流排泄不畅，导致全乡多个村庄遭受了洪水袭击，形成大面积积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团洲乡大面积农田被洪水浸泡，水稻、玉米、大豆等农作物几乎绝收，农业生产受到严重打击；部分村庄的房屋被洪水侵入，泥石流和积水导致墙体倒塌或基础损坏，部分居民不得不转移至安全地点；多条乡村道路因洪水被冲毁或严重积水，交通受阻，物资运输和救援工作难以展开；供水、电力等基础设施受到破坏，部分村庄出现停水停电的情况，生活生产受到极大影响，部分村民被迫撤离，安置点紧急搭建，提供基本生活保障；此次洪涝灾害给团洲乡带来了巨大的经济损失，农业生产和居民生活均受到严重冲击，后续需要大规模的灾后重建工作。</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在收到上级批复后，华容县迅速组织了前期研究、选址、规划等工作。项目的选址考虑了洪水灾害的影响因素，确保新建安置房地势较高，避开低洼易涝区域。同时，相关配套基础设施的规划设计也已经完成，包括供水、排水、电力、消防和道路系统，确保新建安置点具备良好的居住和生活条件。团洲垸此次洪涝灾害波及范围广、影响深远，造成了大面积农田绝收、基础设施损毁和居民房屋倒塌。受灾居民被迫转移，生活受到严重影响。为尽快恢复正常生产生活秩序，华容县政府决定启动团洲垸灾后重建安置房建设项目。</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本项目即为团洲垸灾后重建安置房建设项目中的二期工程，因项目位于湖南东洞庭湖国家级自然保护区实验区范围内，根据《建设项目环境影响报告表编制技术指南（生态影响类）》表1专项评价设置原则表，本次评价设置生态专项评价。</w:t>
      </w:r>
    </w:p>
    <w:p>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lang w:val="en-US" w:eastAsia="zh-CN" w:bidi="ar-SA"/>
        </w:rPr>
      </w:pPr>
      <w:bookmarkStart w:id="134" w:name="_Toc3286"/>
      <w:bookmarkStart w:id="135" w:name="_Toc32473"/>
      <w:bookmarkStart w:id="136" w:name="_Toc21413"/>
      <w:bookmarkStart w:id="137" w:name="_Toc22516"/>
      <w:bookmarkStart w:id="138" w:name="_Toc28784"/>
      <w:bookmarkStart w:id="139" w:name="_Toc7748"/>
      <w:bookmarkStart w:id="140" w:name="_Toc3932"/>
      <w:bookmarkStart w:id="141" w:name="_Toc23283"/>
      <w:bookmarkStart w:id="142" w:name="_Toc11539"/>
      <w:r>
        <w:rPr>
          <w:rFonts w:ascii="Times New Roman" w:hAnsi="Times New Roman" w:eastAsia="宋体" w:cs="Times New Roman"/>
          <w:b/>
          <w:bCs/>
          <w:color w:val="auto"/>
          <w:kern w:val="2"/>
          <w:sz w:val="28"/>
          <w:szCs w:val="28"/>
          <w:lang w:val="en-US" w:eastAsia="zh-CN" w:bidi="ar-SA"/>
        </w:rPr>
        <w:t>1.2评价目的和评价原则</w:t>
      </w:r>
      <w:bookmarkEnd w:id="134"/>
      <w:bookmarkEnd w:id="135"/>
      <w:bookmarkEnd w:id="136"/>
      <w:bookmarkEnd w:id="137"/>
      <w:bookmarkEnd w:id="138"/>
      <w:bookmarkEnd w:id="139"/>
      <w:bookmarkEnd w:id="140"/>
      <w:bookmarkEnd w:id="141"/>
      <w:bookmarkEnd w:id="142"/>
    </w:p>
    <w:p>
      <w:pPr>
        <w:widowControl w:val="0"/>
        <w:adjustRightInd w:val="0"/>
        <w:snapToGrid w:val="0"/>
        <w:spacing w:line="360" w:lineRule="auto"/>
        <w:ind w:firstLine="480" w:firstLineChars="200"/>
        <w:jc w:val="both"/>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以保护优先、适度开发为基本原则，认真落实科学发展观，通过对评价区以及周围生态环境的调查，并对项目周围生态环境和对景区直接或间接影响进行分析和预测，论证生态措施可行性，并提出可操作的环境减缓生态保护对策，以达到经济开发与自然保护双赢的目标。</w:t>
      </w:r>
    </w:p>
    <w:p>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lang w:val="en-US" w:eastAsia="zh-CN" w:bidi="ar-SA"/>
        </w:rPr>
      </w:pPr>
      <w:bookmarkStart w:id="143" w:name="_Toc661"/>
      <w:bookmarkStart w:id="144" w:name="_Toc1454"/>
      <w:bookmarkStart w:id="145" w:name="_Toc15346"/>
      <w:bookmarkStart w:id="146" w:name="_Toc7949"/>
      <w:bookmarkStart w:id="147" w:name="_Toc3344"/>
      <w:bookmarkStart w:id="148" w:name="_Toc25723"/>
      <w:bookmarkStart w:id="149" w:name="_Toc3301"/>
      <w:bookmarkStart w:id="150" w:name="_Toc14659"/>
      <w:bookmarkStart w:id="151" w:name="_Toc19207"/>
      <w:r>
        <w:rPr>
          <w:rFonts w:ascii="Times New Roman" w:hAnsi="Times New Roman" w:eastAsia="宋体" w:cs="Times New Roman"/>
          <w:b/>
          <w:bCs/>
          <w:color w:val="auto"/>
          <w:kern w:val="2"/>
          <w:sz w:val="28"/>
          <w:szCs w:val="28"/>
          <w:lang w:val="en-US" w:eastAsia="zh-CN" w:bidi="ar-SA"/>
        </w:rPr>
        <w:t>1.3工作原则</w:t>
      </w:r>
      <w:bookmarkEnd w:id="143"/>
      <w:bookmarkEnd w:id="144"/>
      <w:bookmarkEnd w:id="145"/>
      <w:bookmarkEnd w:id="146"/>
      <w:bookmarkEnd w:id="147"/>
      <w:bookmarkEnd w:id="148"/>
      <w:bookmarkEnd w:id="149"/>
      <w:bookmarkEnd w:id="150"/>
      <w:bookmarkEnd w:id="151"/>
    </w:p>
    <w:p>
      <w:pPr>
        <w:widowControl w:val="0"/>
        <w:adjustRightInd w:val="0"/>
        <w:snapToGrid w:val="0"/>
        <w:spacing w:line="360" w:lineRule="auto"/>
        <w:ind w:firstLine="480" w:firstLineChars="200"/>
        <w:jc w:val="both"/>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1、在构建社会主义和谐社会的重大战略思想指导下，以保护优先、适度开发为原则，落实科学发展观；</w:t>
      </w:r>
    </w:p>
    <w:p>
      <w:pPr>
        <w:widowControl w:val="0"/>
        <w:adjustRightInd w:val="0"/>
        <w:snapToGrid w:val="0"/>
        <w:spacing w:line="360" w:lineRule="auto"/>
        <w:ind w:firstLine="480" w:firstLineChars="200"/>
        <w:jc w:val="both"/>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2、紧密结合《全国生态保护纲要》、《环境影响评价技术导则 生态环境》（HJ19-2022）；</w:t>
      </w:r>
    </w:p>
    <w:p>
      <w:pPr>
        <w:widowControl w:val="0"/>
        <w:adjustRightInd w:val="0"/>
        <w:snapToGrid w:val="0"/>
        <w:spacing w:line="360" w:lineRule="auto"/>
        <w:ind w:firstLine="480" w:firstLineChars="200"/>
        <w:jc w:val="both"/>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3、优先保护生物多样性，以实现保护生态环境、保护珍稀物种；</w:t>
      </w:r>
    </w:p>
    <w:p>
      <w:pPr>
        <w:widowControl w:val="0"/>
        <w:adjustRightInd w:val="0"/>
        <w:snapToGrid w:val="0"/>
        <w:spacing w:line="360" w:lineRule="auto"/>
        <w:ind w:firstLine="480" w:firstLineChars="200"/>
        <w:jc w:val="both"/>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4、突出生态保护与补偿措施的科学性与可操作性；</w:t>
      </w:r>
    </w:p>
    <w:p>
      <w:pPr>
        <w:widowControl w:val="0"/>
        <w:adjustRightInd w:val="0"/>
        <w:snapToGrid w:val="0"/>
        <w:spacing w:line="360" w:lineRule="auto"/>
        <w:ind w:firstLine="480" w:firstLineChars="200"/>
        <w:jc w:val="both"/>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5、尽量利用现有资料，全面评估本项目对周围生态环境的影响。</w:t>
      </w:r>
    </w:p>
    <w:p>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lang w:val="en-US" w:eastAsia="zh-CN" w:bidi="ar-SA"/>
        </w:rPr>
      </w:pPr>
      <w:bookmarkStart w:id="152" w:name="_Toc26767"/>
      <w:bookmarkStart w:id="153" w:name="_Toc18759"/>
      <w:bookmarkStart w:id="154" w:name="_Toc11166"/>
      <w:bookmarkStart w:id="155" w:name="_Toc28367"/>
      <w:bookmarkStart w:id="156" w:name="_Toc30233"/>
      <w:bookmarkStart w:id="157" w:name="_Toc28586"/>
      <w:bookmarkStart w:id="158" w:name="_Toc12498"/>
      <w:bookmarkStart w:id="159" w:name="_Toc23370"/>
      <w:bookmarkStart w:id="160" w:name="_Toc31091"/>
      <w:r>
        <w:rPr>
          <w:rFonts w:ascii="Times New Roman" w:hAnsi="Times New Roman" w:eastAsia="宋体" w:cs="Times New Roman"/>
          <w:b/>
          <w:bCs/>
          <w:color w:val="auto"/>
          <w:kern w:val="2"/>
          <w:sz w:val="28"/>
          <w:szCs w:val="28"/>
          <w:lang w:val="en-US" w:eastAsia="zh-CN" w:bidi="ar-SA"/>
        </w:rPr>
        <w:t>1.4评价依据</w:t>
      </w:r>
      <w:bookmarkEnd w:id="152"/>
      <w:bookmarkEnd w:id="153"/>
      <w:bookmarkEnd w:id="154"/>
      <w:bookmarkEnd w:id="155"/>
      <w:bookmarkEnd w:id="156"/>
      <w:bookmarkEnd w:id="157"/>
      <w:bookmarkEnd w:id="158"/>
      <w:bookmarkEnd w:id="159"/>
      <w:bookmarkEnd w:id="160"/>
    </w:p>
    <w:p>
      <w:pPr>
        <w:keepNext/>
        <w:widowControl w:val="0"/>
        <w:adjustRightInd w:val="0"/>
        <w:snapToGrid w:val="0"/>
        <w:spacing w:line="360" w:lineRule="auto"/>
        <w:ind w:firstLine="0" w:firstLineChars="0"/>
        <w:jc w:val="both"/>
        <w:outlineLvl w:val="2"/>
        <w:rPr>
          <w:rFonts w:ascii="Times New Roman" w:hAnsi="Times New Roman" w:eastAsia="宋体" w:cs="Times New Roman"/>
          <w:b/>
          <w:color w:val="auto"/>
          <w:kern w:val="2"/>
          <w:sz w:val="24"/>
          <w:szCs w:val="24"/>
          <w:lang w:val="en-US" w:eastAsia="zh-CN" w:bidi="ar-SA"/>
        </w:rPr>
      </w:pPr>
      <w:bookmarkStart w:id="161" w:name="_Toc17857"/>
      <w:bookmarkStart w:id="162" w:name="_Toc2649"/>
      <w:bookmarkStart w:id="163" w:name="_Toc12619"/>
      <w:bookmarkStart w:id="164" w:name="_Toc32608"/>
      <w:bookmarkStart w:id="165" w:name="_Toc27122"/>
      <w:bookmarkStart w:id="166" w:name="_Toc23780"/>
      <w:r>
        <w:rPr>
          <w:rFonts w:ascii="Times New Roman" w:hAnsi="Times New Roman" w:eastAsia="宋体" w:cs="Times New Roman"/>
          <w:b/>
          <w:color w:val="auto"/>
          <w:kern w:val="2"/>
          <w:sz w:val="24"/>
          <w:szCs w:val="24"/>
          <w:lang w:val="en-US" w:eastAsia="zh-CN" w:bidi="ar-SA"/>
        </w:rPr>
        <w:t>1.4.1</w:t>
      </w:r>
      <w:bookmarkEnd w:id="161"/>
      <w:bookmarkEnd w:id="162"/>
      <w:bookmarkEnd w:id="163"/>
      <w:bookmarkEnd w:id="164"/>
      <w:bookmarkEnd w:id="165"/>
      <w:bookmarkEnd w:id="166"/>
      <w:r>
        <w:rPr>
          <w:rFonts w:hint="eastAsia" w:ascii="Times New Roman" w:hAnsi="Times New Roman" w:eastAsia="宋体" w:cs="Times New Roman"/>
          <w:b/>
          <w:color w:val="auto"/>
          <w:kern w:val="2"/>
          <w:sz w:val="24"/>
          <w:szCs w:val="24"/>
          <w:lang w:val="en-US" w:eastAsia="zh-CN" w:bidi="ar-SA"/>
        </w:rPr>
        <w:t>法律、法规文件</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（1）《中华人民共和国环境保护法》（2015年1月1日起施行）；</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（2）《中华人民共和国环境影响评价法》（2018年12月29日修正）；</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（3）《中华人民共和国水污染防治法》（2018年1月1日起施行）；</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（4）《中华人民共和国大气污染防治法》（2018年10月26日修正）；</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（5）《中华人民共和国环境噪声污染防治法》（2022年6月5日修改）；</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（6）</w:t>
      </w:r>
      <w:r>
        <w:rPr>
          <w:rFonts w:hint="default" w:ascii="Times New Roman" w:hAnsi="Times New Roman" w:eastAsia="宋体" w:cs="Times New Roman"/>
          <w:color w:val="auto"/>
          <w:spacing w:val="-6"/>
          <w:sz w:val="24"/>
          <w:szCs w:val="24"/>
        </w:rPr>
        <w:t>《中华人民共和国固体废物污染环境防治法》（2020年9月1日起施行）；</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（7）《中华人民共和国野生动物保护法》（2018年10月26日修改）；</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（8）《中华人民共和国森林法》（2020年7月1日起施行）；</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（9）《中华人民共和国土地管理法》（2020年1月1日起施行）</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（10）《中华人民共和国水土保持法》（2010年12月25日修订）；</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（11）《中华人民共和国野生植物保护条例》（2017年10月7日修改）；</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（12）《中华人民共和国陆生野生动物保护实施条例》（2016年2月6日</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修订）；</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（13）《中华人民共和国森林法实施条例》（2018年3月19日起实施）；</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（14）《建设项目环境保护管理条例》（2017年10月1日起施行）；</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（15）《湖南省环境保护条例》（2019年9月28日修订）；</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（16）《湖南省野生动植物资源保护条例》（2018年7月19日修正）；</w:t>
      </w:r>
    </w:p>
    <w:p>
      <w:pPr>
        <w:keepNext/>
        <w:widowControl w:val="0"/>
        <w:adjustRightInd w:val="0"/>
        <w:snapToGrid w:val="0"/>
        <w:spacing w:line="360" w:lineRule="auto"/>
        <w:ind w:firstLine="0" w:firstLineChars="0"/>
        <w:jc w:val="both"/>
        <w:outlineLvl w:val="2"/>
        <w:rPr>
          <w:rFonts w:ascii="Times New Roman" w:hAnsi="Times New Roman" w:eastAsia="宋体" w:cs="Times New Roman"/>
          <w:b/>
          <w:color w:val="auto"/>
          <w:kern w:val="2"/>
          <w:sz w:val="24"/>
          <w:szCs w:val="24"/>
          <w:lang w:val="en-US" w:eastAsia="zh-CN" w:bidi="ar-SA"/>
        </w:rPr>
      </w:pPr>
      <w:r>
        <w:rPr>
          <w:rFonts w:ascii="Times New Roman" w:hAnsi="Times New Roman" w:eastAsia="宋体" w:cs="Times New Roman"/>
          <w:b/>
          <w:color w:val="auto"/>
          <w:kern w:val="2"/>
          <w:sz w:val="24"/>
          <w:szCs w:val="24"/>
          <w:lang w:val="en-US" w:eastAsia="zh-CN" w:bidi="ar-SA"/>
        </w:rPr>
        <w:t>1.4.</w:t>
      </w:r>
      <w:r>
        <w:rPr>
          <w:rFonts w:hint="eastAsia" w:ascii="Times New Roman" w:hAnsi="Times New Roman" w:eastAsia="宋体" w:cs="Times New Roman"/>
          <w:b/>
          <w:color w:val="auto"/>
          <w:kern w:val="2"/>
          <w:sz w:val="24"/>
          <w:szCs w:val="24"/>
          <w:lang w:val="en-US" w:eastAsia="zh-CN" w:bidi="ar-SA"/>
        </w:rPr>
        <w:t>2规章、规范性文件</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（1）《建设项目使用林地审核审批管理办法》（国家林业局令35号，2015年5月1日实施）；</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）《关于进一步加强生态保护工作的意见》（环发〔2007〕37号）；</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pacing w:val="-6"/>
          <w:sz w:val="24"/>
          <w:szCs w:val="24"/>
        </w:rPr>
        <w:t>（关于进一步加强建设项目环境保护管理工作的通知）（环发[2001]19号）；</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）《湖南省生态保护红线划定工作方案》（湘环发〔2016〕9号）；</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）《湖南省建设项目环境保护管理办法》（2007年10月1日起施行）；</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pacing w:val="-6"/>
          <w:sz w:val="24"/>
          <w:szCs w:val="24"/>
        </w:rPr>
        <w:t>《湖南省实施〈中华人民共和国水土保持法〉办法》（2018年7月修订）；</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cs="Times New Roman"/>
          <w:color w:val="auto"/>
          <w:sz w:val="24"/>
          <w:szCs w:val="24"/>
          <w:lang w:eastAsia="zh-CN"/>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）《湖南省古树名木保护办法》（2022年3月12日施行）</w:t>
      </w:r>
      <w:r>
        <w:rPr>
          <w:rFonts w:hint="eastAsia" w:cs="Times New Roman"/>
          <w:color w:val="auto"/>
          <w:sz w:val="24"/>
          <w:szCs w:val="24"/>
          <w:lang w:eastAsia="zh-CN"/>
        </w:rPr>
        <w:t>；</w:t>
      </w:r>
    </w:p>
    <w:p>
      <w:pPr>
        <w:widowControl w:val="0"/>
        <w:adjustRightInd w:val="0"/>
        <w:snapToGrid w:val="0"/>
        <w:spacing w:line="360" w:lineRule="auto"/>
        <w:ind w:firstLine="480" w:firstLineChars="200"/>
        <w:jc w:val="both"/>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（8）</w:t>
      </w:r>
      <w:r>
        <w:rPr>
          <w:rFonts w:ascii="Times New Roman" w:hAnsi="Times New Roman" w:eastAsia="宋体" w:cs="Times New Roman"/>
          <w:color w:val="auto"/>
          <w:kern w:val="2"/>
          <w:sz w:val="24"/>
          <w:szCs w:val="24"/>
          <w:lang w:val="en-US" w:eastAsia="zh-CN" w:bidi="ar-SA"/>
        </w:rPr>
        <w:t>《国家重点保护野生动物名录》</w:t>
      </w:r>
      <w:r>
        <w:rPr>
          <w:rFonts w:hint="eastAsia" w:ascii="Times New Roman" w:hAnsi="Times New Roman" w:eastAsia="宋体" w:cs="Times New Roman"/>
          <w:color w:val="auto"/>
          <w:kern w:val="2"/>
          <w:sz w:val="24"/>
          <w:szCs w:val="24"/>
          <w:lang w:val="en-US" w:eastAsia="zh-CN" w:bidi="ar-SA"/>
        </w:rPr>
        <w:t>，</w:t>
      </w:r>
      <w:r>
        <w:rPr>
          <w:rFonts w:ascii="Times New Roman" w:hAnsi="Times New Roman" w:eastAsia="宋体" w:cs="Times New Roman"/>
          <w:color w:val="auto"/>
          <w:kern w:val="2"/>
          <w:sz w:val="24"/>
          <w:szCs w:val="24"/>
          <w:lang w:val="en-US" w:eastAsia="zh-CN" w:bidi="ar-SA"/>
        </w:rPr>
        <w:t>2021年2月11日施行</w:t>
      </w:r>
      <w:r>
        <w:rPr>
          <w:rFonts w:hint="eastAsia" w:ascii="Times New Roman" w:hAnsi="Times New Roman" w:eastAsia="宋体" w:cs="Times New Roman"/>
          <w:color w:val="auto"/>
          <w:kern w:val="2"/>
          <w:sz w:val="24"/>
          <w:szCs w:val="24"/>
          <w:lang w:val="en-US" w:eastAsia="zh-CN" w:bidi="ar-SA"/>
        </w:rPr>
        <w:t>；</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default" w:ascii="Times New Roman" w:hAnsi="Times New Roman" w:eastAsia="宋体" w:cs="Times New Roman"/>
          <w:b/>
          <w:color w:val="auto"/>
          <w:kern w:val="2"/>
          <w:sz w:val="24"/>
          <w:szCs w:val="24"/>
          <w:lang w:val="en-US" w:eastAsia="zh-CN" w:bidi="ar-SA"/>
        </w:rPr>
        <w:t>1.</w:t>
      </w:r>
      <w:r>
        <w:rPr>
          <w:rFonts w:hint="eastAsia" w:ascii="Times New Roman" w:hAnsi="Times New Roman" w:eastAsia="宋体" w:cs="Times New Roman"/>
          <w:b/>
          <w:color w:val="auto"/>
          <w:kern w:val="2"/>
          <w:sz w:val="24"/>
          <w:szCs w:val="24"/>
          <w:lang w:val="en-US" w:eastAsia="zh-CN" w:bidi="ar-SA"/>
        </w:rPr>
        <w:t>4</w:t>
      </w:r>
      <w:r>
        <w:rPr>
          <w:rFonts w:hint="default" w:ascii="Times New Roman" w:hAnsi="Times New Roman" w:eastAsia="宋体" w:cs="Times New Roman"/>
          <w:b/>
          <w:color w:val="auto"/>
          <w:kern w:val="2"/>
          <w:sz w:val="24"/>
          <w:szCs w:val="24"/>
          <w:lang w:val="en-US" w:eastAsia="zh-CN" w:bidi="ar-SA"/>
        </w:rPr>
        <w:t>.3区划、规划</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（1）《全国生态环境保护纲要》（国务院2000年11月26日）；</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（2）《全国生态功能区划》（修编）（2015年11月）；</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（3）《全国生态脆弱区保护规划纲要》（2008年9月）</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（4）《全国主体功能区规划》（国发〔2010〕46号）；</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（5）《中国生物多样性保护战略与行动计划》（2011~2030年）；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rPr>
        <w:t>）《湖南省主体功能区规划》（2012年11月17日）；</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）《湖南省生态功能区划》（2005年11月）；</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default" w:ascii="Times New Roman" w:hAnsi="Times New Roman" w:eastAsia="宋体" w:cs="Times New Roman"/>
          <w:b/>
          <w:color w:val="auto"/>
          <w:kern w:val="2"/>
          <w:sz w:val="24"/>
          <w:szCs w:val="24"/>
          <w:lang w:val="en-US" w:eastAsia="zh-CN" w:bidi="ar-SA"/>
        </w:rPr>
        <w:t>1.</w:t>
      </w:r>
      <w:r>
        <w:rPr>
          <w:rFonts w:hint="eastAsia" w:ascii="Times New Roman" w:hAnsi="Times New Roman" w:eastAsia="宋体" w:cs="Times New Roman"/>
          <w:b/>
          <w:color w:val="auto"/>
          <w:kern w:val="2"/>
          <w:sz w:val="24"/>
          <w:szCs w:val="24"/>
          <w:lang w:val="en-US" w:eastAsia="zh-CN" w:bidi="ar-SA"/>
        </w:rPr>
        <w:t>4</w:t>
      </w:r>
      <w:r>
        <w:rPr>
          <w:rFonts w:hint="default" w:ascii="Times New Roman" w:hAnsi="Times New Roman" w:eastAsia="宋体" w:cs="Times New Roman"/>
          <w:b/>
          <w:color w:val="auto"/>
          <w:kern w:val="2"/>
          <w:sz w:val="24"/>
          <w:szCs w:val="24"/>
          <w:lang w:val="en-US" w:eastAsia="zh-CN" w:bidi="ar-SA"/>
        </w:rPr>
        <w:t>.</w:t>
      </w:r>
      <w:r>
        <w:rPr>
          <w:rFonts w:hint="eastAsia" w:ascii="Times New Roman" w:hAnsi="Times New Roman" w:eastAsia="宋体" w:cs="Times New Roman"/>
          <w:b/>
          <w:color w:val="auto"/>
          <w:kern w:val="2"/>
          <w:sz w:val="24"/>
          <w:szCs w:val="24"/>
          <w:lang w:val="en-US" w:eastAsia="zh-CN" w:bidi="ar-SA"/>
        </w:rPr>
        <w:t>4导则、标准、技术规范</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（1）《建设项目环境影响评价技术导则</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总纲》（HJ2.1-2016）；</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（2）《环境影响评价技术导则</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生态影响》（HJ19-2022）；</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eastAsia="宋体" w:cs="Times New Roman"/>
          <w:color w:val="auto"/>
          <w:sz w:val="24"/>
          <w:szCs w:val="24"/>
          <w:lang w:val="en-US" w:eastAsia="zh-CN"/>
        </w:rPr>
        <w:t>3</w:t>
      </w:r>
      <w:r>
        <w:rPr>
          <w:rFonts w:hint="default" w:ascii="Times New Roman" w:hAnsi="Times New Roman" w:eastAsia="宋体" w:cs="Times New Roman"/>
          <w:color w:val="auto"/>
          <w:sz w:val="24"/>
          <w:szCs w:val="24"/>
        </w:rPr>
        <w:t>）《土地利用现状分类》（GB/T21010-2017）；</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eastAsia="宋体" w:cs="Times New Roman"/>
          <w:color w:val="auto"/>
          <w:sz w:val="24"/>
          <w:szCs w:val="24"/>
          <w:lang w:val="en-US" w:eastAsia="zh-CN"/>
        </w:rPr>
        <w:t>4</w:t>
      </w:r>
      <w:r>
        <w:rPr>
          <w:rFonts w:hint="default" w:ascii="Times New Roman" w:hAnsi="Times New Roman" w:eastAsia="宋体" w:cs="Times New Roman"/>
          <w:color w:val="auto"/>
          <w:sz w:val="24"/>
          <w:szCs w:val="24"/>
        </w:rPr>
        <w:t>）《生态环境状况评价技术规范》（HJ192-2015）；</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eastAsia="宋体" w:cs="Times New Roman"/>
          <w:color w:val="auto"/>
          <w:sz w:val="24"/>
          <w:szCs w:val="24"/>
          <w:lang w:val="en-US" w:eastAsia="zh-CN"/>
        </w:rPr>
        <w:t>5</w:t>
      </w:r>
      <w:r>
        <w:rPr>
          <w:rFonts w:hint="default" w:ascii="Times New Roman" w:hAnsi="Times New Roman" w:eastAsia="宋体" w:cs="Times New Roman"/>
          <w:color w:val="auto"/>
          <w:sz w:val="24"/>
          <w:szCs w:val="24"/>
        </w:rPr>
        <w:t>）《全国植物物种资源调查技术规定（试行）》（公告2010年第27号）；</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eastAsia="宋体" w:cs="Times New Roman"/>
          <w:color w:val="auto"/>
          <w:sz w:val="24"/>
          <w:szCs w:val="24"/>
          <w:lang w:val="en-US" w:eastAsia="zh-CN"/>
        </w:rPr>
        <w:t>6</w:t>
      </w:r>
      <w:r>
        <w:rPr>
          <w:rFonts w:hint="default" w:ascii="Times New Roman" w:hAnsi="Times New Roman" w:eastAsia="宋体" w:cs="Times New Roman"/>
          <w:color w:val="auto"/>
          <w:sz w:val="24"/>
          <w:szCs w:val="24"/>
        </w:rPr>
        <w:t>）《全国动物物种资源调查技术规定（试行）》（公告2010年第27号）；</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1.4.5相关技术材料</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华容县团洲垸灾后重建安置房建设项目可行性研究报告</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）华容县发展和改革局“关于同意变更华容县团洲垸灾后重建安置房建设项目可行性研究报告的批复”</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项目建设单位提供的其他相关资料。</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default" w:ascii="Times New Roman" w:hAnsi="Times New Roman" w:eastAsia="宋体" w:cs="Times New Roman"/>
          <w:b/>
          <w:color w:val="auto"/>
          <w:kern w:val="2"/>
          <w:sz w:val="24"/>
          <w:szCs w:val="24"/>
          <w:lang w:val="en-US" w:eastAsia="zh-CN" w:bidi="ar-SA"/>
        </w:rPr>
        <w:t>1.</w:t>
      </w:r>
      <w:r>
        <w:rPr>
          <w:rFonts w:hint="eastAsia" w:ascii="Times New Roman" w:hAnsi="Times New Roman" w:eastAsia="宋体" w:cs="Times New Roman"/>
          <w:b/>
          <w:color w:val="auto"/>
          <w:kern w:val="2"/>
          <w:sz w:val="24"/>
          <w:szCs w:val="24"/>
          <w:lang w:val="en-US" w:eastAsia="zh-CN" w:bidi="ar-SA"/>
        </w:rPr>
        <w:t>4</w:t>
      </w:r>
      <w:r>
        <w:rPr>
          <w:rFonts w:hint="default" w:ascii="Times New Roman" w:hAnsi="Times New Roman" w:eastAsia="宋体" w:cs="Times New Roman"/>
          <w:b/>
          <w:color w:val="auto"/>
          <w:kern w:val="2"/>
          <w:sz w:val="24"/>
          <w:szCs w:val="24"/>
          <w:lang w:val="en-US" w:eastAsia="zh-CN" w:bidi="ar-SA"/>
        </w:rPr>
        <w:t>.6参考资料</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（1）《中国植被》（科学出版社，1980年）；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（2）《中国植物志》（科学出版社，1959-2004年）；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（3）《中国高等植物图鉴》（科学出版社，1972-1983年）；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（4）《中国动物地理区划》（科学出版社，2011年）；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（5）《中国动物志》（两栖纲、爬行纲、鸟纲、哺乳纲）（科学出版社，1978-2009年）；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（6）《中国两栖动物图鉴》（费梁，1999年）；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（7）《中国两栖纲和爬行纲动物校正名录》（赵尔宓，张学文等，2000年）；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（8）《中国爬行动物图鉴》（中国野生动物保护协会，2002年）；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（9）《中国鸟类图鉴》（中国野生动物保护协会，1995年）；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（10）《中国鸟类分类与分布名录（第二版）》（科学出版社，2011年）；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（11）《中国兽类野外手册》（湖南教育出版社，2009年）；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（12）《中国哺乳动物种和亚种分类名录与分布大全》（中国林业出版社，2003年）；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（13）《中国珍稀濒危保护植物名录（第一册）》（1987年2月）；</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（14）《中国濒危珍惜动物名录》（2010年10月15日）；</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（15）《国家重点保护野生植物名录》（2021年8月7日施行）；</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（16）《国家重点保护野生动物名录》（2021年2月5日修订）。</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（17）《湖南省地方重点保护野生动物名录》（2002年9月修订）；</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（18）《湖南省地方重点保护野生植物名录》（2002年9月修订）；</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（19）《湖南植被》（湖南科学技术出版社，1990年）；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（20）《湖南植物志》（湖南科学技术出版社，2000年）；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（21）《湖南树木志》（湖南科技出版社，2000年）；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（22）《湖南种子植物总览》（湖南科学技术出版，2002年）；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（23）《湖南动物志·两栖纲》（湖南科学技术出版社，2014年）；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（24）《湖南动物志·爬行纲》（湖南科学技术出版社，2014年）；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（25）《湖南动物志·鸟纲雀形目》（湖南科学技术出版社，2013年）；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（26）《湖南省野生动物资源概况》（张启湘，易伐桂，1996年）；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（27）《湖南省爬行动物区系与地理区划》（邓学建，叶贻云，1998年）；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（28）《湖南省生物多样性调查和评价研究报告》（长沙环境保护职业技术学院，2010年1月）；</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（29）《湖南省鸟类迁徙通道示意图》（邓学建）；</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（30）《我国森林植被的生物量和净生产量》（方精云，刘国华，徐蒿龄，1996年）。</w:t>
      </w:r>
    </w:p>
    <w:p>
      <w:pPr>
        <w:keepNext/>
        <w:widowControl w:val="0"/>
        <w:adjustRightInd w:val="0"/>
        <w:snapToGrid w:val="0"/>
        <w:spacing w:line="360" w:lineRule="auto"/>
        <w:ind w:firstLine="0" w:firstLineChars="0"/>
        <w:jc w:val="both"/>
        <w:outlineLvl w:val="1"/>
        <w:rPr>
          <w:rFonts w:ascii="Times New Roman" w:hAnsi="Times New Roman" w:eastAsia="宋体" w:cs="Times New Roman"/>
          <w:b/>
          <w:color w:val="auto"/>
          <w:kern w:val="2"/>
          <w:sz w:val="24"/>
          <w:szCs w:val="28"/>
          <w:lang w:val="en-US" w:eastAsia="zh-CN" w:bidi="ar-SA"/>
        </w:rPr>
      </w:pPr>
      <w:bookmarkStart w:id="167" w:name="_Toc28262"/>
      <w:bookmarkStart w:id="168" w:name="_Toc1968"/>
      <w:bookmarkStart w:id="169" w:name="_Toc25138"/>
      <w:bookmarkStart w:id="170" w:name="_Toc25026"/>
      <w:bookmarkStart w:id="171" w:name="_Toc29023"/>
      <w:bookmarkStart w:id="172" w:name="_Toc2781"/>
      <w:bookmarkStart w:id="173" w:name="_Toc5241"/>
      <w:bookmarkStart w:id="174" w:name="_Toc31579"/>
      <w:bookmarkStart w:id="175" w:name="_Toc21178"/>
      <w:bookmarkStart w:id="176" w:name="_Toc3582"/>
      <w:bookmarkStart w:id="177" w:name="_Toc7522"/>
      <w:r>
        <w:rPr>
          <w:rFonts w:ascii="Times New Roman" w:hAnsi="Times New Roman" w:eastAsia="宋体" w:cs="Times New Roman"/>
          <w:b/>
          <w:bCs/>
          <w:color w:val="auto"/>
          <w:kern w:val="2"/>
          <w:sz w:val="28"/>
          <w:szCs w:val="28"/>
          <w:lang w:val="en-US" w:eastAsia="zh-CN" w:bidi="ar-SA"/>
        </w:rPr>
        <w:t>1.5生态环境评价工作等级及范围</w:t>
      </w:r>
      <w:bookmarkEnd w:id="167"/>
      <w:bookmarkEnd w:id="168"/>
      <w:bookmarkEnd w:id="169"/>
      <w:bookmarkEnd w:id="170"/>
      <w:bookmarkEnd w:id="171"/>
      <w:bookmarkEnd w:id="172"/>
      <w:bookmarkEnd w:id="173"/>
      <w:bookmarkEnd w:id="174"/>
      <w:bookmarkEnd w:id="175"/>
      <w:bookmarkEnd w:id="176"/>
      <w:bookmarkEnd w:id="177"/>
    </w:p>
    <w:p>
      <w:pPr>
        <w:keepNext/>
        <w:widowControl w:val="0"/>
        <w:adjustRightInd w:val="0"/>
        <w:snapToGrid w:val="0"/>
        <w:spacing w:line="360" w:lineRule="auto"/>
        <w:ind w:firstLine="0" w:firstLineChars="0"/>
        <w:jc w:val="both"/>
        <w:outlineLvl w:val="2"/>
        <w:rPr>
          <w:rFonts w:ascii="Times New Roman" w:hAnsi="Times New Roman" w:eastAsia="宋体" w:cs="Times New Roman"/>
          <w:b/>
          <w:color w:val="auto"/>
          <w:kern w:val="2"/>
          <w:sz w:val="24"/>
          <w:szCs w:val="24"/>
          <w:lang w:val="en-US" w:eastAsia="zh-CN" w:bidi="ar-SA"/>
        </w:rPr>
      </w:pPr>
      <w:bookmarkStart w:id="178" w:name="_Toc27738"/>
      <w:bookmarkStart w:id="179" w:name="_Toc18529"/>
      <w:bookmarkStart w:id="180" w:name="_Toc22349"/>
      <w:bookmarkStart w:id="181" w:name="_Toc27312"/>
      <w:bookmarkStart w:id="182" w:name="_Toc30661"/>
      <w:bookmarkStart w:id="183" w:name="_Toc19091"/>
      <w:bookmarkStart w:id="184" w:name="_Toc5193"/>
      <w:bookmarkStart w:id="185" w:name="_Toc6365"/>
      <w:r>
        <w:rPr>
          <w:rFonts w:ascii="Times New Roman" w:hAnsi="Times New Roman" w:eastAsia="宋体" w:cs="Times New Roman"/>
          <w:b/>
          <w:color w:val="auto"/>
          <w:kern w:val="2"/>
          <w:sz w:val="24"/>
          <w:szCs w:val="24"/>
          <w:lang w:val="en-US" w:eastAsia="zh-CN" w:bidi="ar-SA"/>
        </w:rPr>
        <w:t>1.5.1评价工作等级</w:t>
      </w:r>
      <w:bookmarkEnd w:id="178"/>
      <w:bookmarkEnd w:id="179"/>
      <w:bookmarkEnd w:id="180"/>
      <w:bookmarkEnd w:id="181"/>
      <w:bookmarkEnd w:id="182"/>
      <w:bookmarkEnd w:id="183"/>
      <w:bookmarkEnd w:id="184"/>
      <w:bookmarkEnd w:id="185"/>
    </w:p>
    <w:p>
      <w:pPr>
        <w:widowControl/>
        <w:adjustRightInd/>
        <w:snapToGrid/>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根据《环境影响评价技术导则-生态影响》（HJ19-2022），依据建设项目影响区域的生态敏感性和影响程度判定生态影响评价等级。</w:t>
      </w:r>
    </w:p>
    <w:p>
      <w:pPr>
        <w:autoSpaceDE w:val="0"/>
        <w:autoSpaceDN w:val="0"/>
        <w:adjustRightInd/>
        <w:snapToGrid/>
        <w:spacing w:line="240" w:lineRule="auto"/>
        <w:ind w:firstLine="0" w:firstLineChars="0"/>
        <w:jc w:val="center"/>
        <w:rPr>
          <w:rFonts w:hint="default" w:ascii="Times New Roman" w:hAnsi="Times New Roman" w:eastAsia="宋体" w:cs="Times New Roman"/>
          <w:b/>
          <w:bCs/>
          <w:iCs/>
          <w:color w:val="auto"/>
          <w:sz w:val="21"/>
          <w:szCs w:val="16"/>
        </w:rPr>
      </w:pPr>
      <w:r>
        <w:rPr>
          <w:rFonts w:hint="default" w:ascii="Times New Roman" w:hAnsi="Times New Roman" w:eastAsia="宋体" w:cs="Times New Roman"/>
          <w:b/>
          <w:bCs/>
          <w:iCs/>
          <w:color w:val="auto"/>
          <w:sz w:val="21"/>
          <w:szCs w:val="16"/>
        </w:rPr>
        <w:t>表1.</w:t>
      </w:r>
      <w:r>
        <w:rPr>
          <w:rFonts w:hint="eastAsia" w:ascii="Times New Roman" w:hAnsi="Times New Roman" w:eastAsia="宋体" w:cs="Times New Roman"/>
          <w:b/>
          <w:bCs/>
          <w:iCs/>
          <w:color w:val="auto"/>
          <w:sz w:val="21"/>
          <w:szCs w:val="16"/>
          <w:lang w:val="en-US" w:eastAsia="zh-CN"/>
        </w:rPr>
        <w:t>5</w:t>
      </w:r>
      <w:r>
        <w:rPr>
          <w:rFonts w:hint="default" w:ascii="Times New Roman" w:hAnsi="Times New Roman" w:eastAsia="宋体" w:cs="Times New Roman"/>
          <w:b/>
          <w:bCs/>
          <w:iCs/>
          <w:color w:val="auto"/>
          <w:sz w:val="21"/>
          <w:szCs w:val="16"/>
        </w:rPr>
        <w:t>-1</w:t>
      </w:r>
      <w:r>
        <w:rPr>
          <w:rFonts w:hint="eastAsia" w:ascii="Times New Roman" w:hAnsi="Times New Roman" w:eastAsia="宋体" w:cs="Times New Roman"/>
          <w:b/>
          <w:bCs/>
          <w:iCs/>
          <w:color w:val="auto"/>
          <w:sz w:val="21"/>
          <w:szCs w:val="16"/>
          <w:lang w:val="en-US" w:eastAsia="zh-CN"/>
        </w:rPr>
        <w:t xml:space="preserve">  </w:t>
      </w:r>
      <w:r>
        <w:rPr>
          <w:rFonts w:hint="default" w:ascii="Times New Roman" w:hAnsi="Times New Roman" w:eastAsia="宋体" w:cs="Times New Roman"/>
          <w:b/>
          <w:bCs/>
          <w:iCs/>
          <w:color w:val="auto"/>
          <w:sz w:val="21"/>
          <w:szCs w:val="16"/>
        </w:rPr>
        <w:t>生态影响评价工作等级划分表</w:t>
      </w:r>
    </w:p>
    <w:tbl>
      <w:tblPr>
        <w:tblStyle w:val="22"/>
        <w:tblW w:w="4999"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193"/>
        <w:gridCol w:w="6199"/>
        <w:gridCol w:w="112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0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color w:val="auto"/>
                <w:sz w:val="21"/>
                <w:szCs w:val="21"/>
                <w:u w:val="none"/>
                <w:lang w:val="en-US" w:eastAsia="zh-CN" w:bidi="ar"/>
              </w:rPr>
              <w:t>评价等级</w:t>
            </w:r>
          </w:p>
        </w:tc>
        <w:tc>
          <w:tcPr>
            <w:tcW w:w="363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color w:val="auto"/>
                <w:sz w:val="21"/>
                <w:szCs w:val="21"/>
                <w:u w:val="none"/>
                <w:lang w:val="en-US" w:eastAsia="zh-CN" w:bidi="ar"/>
              </w:rPr>
              <w:t>判定内容</w:t>
            </w:r>
          </w:p>
        </w:tc>
        <w:tc>
          <w:tcPr>
            <w:tcW w:w="66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color w:val="auto"/>
                <w:sz w:val="21"/>
                <w:szCs w:val="21"/>
                <w:u w:val="none"/>
                <w:lang w:val="en-US" w:eastAsia="zh-CN" w:bidi="ar"/>
              </w:rPr>
              <w:t>备注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0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一级</w:t>
            </w:r>
          </w:p>
        </w:tc>
        <w:tc>
          <w:tcPr>
            <w:tcW w:w="363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涉及国家公园、自然保护区、世界自然遗产、重要生境时</w:t>
            </w:r>
          </w:p>
        </w:tc>
        <w:tc>
          <w:tcPr>
            <w:tcW w:w="66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涉及</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0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二级</w:t>
            </w:r>
          </w:p>
        </w:tc>
        <w:tc>
          <w:tcPr>
            <w:tcW w:w="363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涉及自然公园</w:t>
            </w:r>
          </w:p>
        </w:tc>
        <w:tc>
          <w:tcPr>
            <w:tcW w:w="66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color w:val="auto"/>
                <w:sz w:val="21"/>
                <w:szCs w:val="21"/>
                <w:u w:val="none"/>
                <w:lang w:val="en-US" w:eastAsia="zh-CN" w:bidi="ar"/>
              </w:rPr>
              <w:t>不涉及</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401" w:hRule="atLeast"/>
          <w:jc w:val="center"/>
        </w:trPr>
        <w:tc>
          <w:tcPr>
            <w:tcW w:w="70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不低于二级</w:t>
            </w:r>
          </w:p>
        </w:tc>
        <w:tc>
          <w:tcPr>
            <w:tcW w:w="363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①涉及生态保护红线时；②根据HJ2.3判断属于水文要素影响型且地表水评价等级不低于二级的建设项目；③根据HJ610、HJ964判断地下水水位或土壤影响范围内分布有天然林、公益林、湿地等生态保护目标的建设项目；④当工程占地规模大于20km²时(包括永久和临时占用陆域和水域)。</w:t>
            </w:r>
          </w:p>
        </w:tc>
        <w:tc>
          <w:tcPr>
            <w:tcW w:w="66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不涉及</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0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三级</w:t>
            </w:r>
          </w:p>
        </w:tc>
        <w:tc>
          <w:tcPr>
            <w:tcW w:w="363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以上之外的</w:t>
            </w:r>
          </w:p>
        </w:tc>
        <w:tc>
          <w:tcPr>
            <w:tcW w:w="66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color w:val="auto"/>
                <w:lang w:val="en-US" w:eastAsia="zh-CN"/>
              </w:rPr>
              <w:t>涉及湖南东洞庭湖国家级自然保护区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0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说明</w:t>
            </w:r>
          </w:p>
        </w:tc>
        <w:tc>
          <w:tcPr>
            <w:tcW w:w="363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①改扩建项目的占地范围以新增占地(包括陆域和水域)确定；②当评价等级判定同时符合上述多种情况时，应采用其中最高的评价等级；③建设项目涉及经论证对保护生物多样性具有重要意义的区域时，可适当上调评价等级。④建设项目同时涉及陆生、水生生态影响时，可针对陆生生态、水生生态分别判定评价等级。⑤在矿山开采可能导致矿区土地利用类型明显改变，或拦河闸坝建设可能明显改变水文情势等情况下，评价等级应上调一级。⑥线性工程可分段确定评价等级。线性工程地下穿越或地表跨越生态敏感区，在生态敏感区范围内无永久、临时占地时，评价等级可下调一级。⑦涉海工程评价等级判定参照GB/T19485。</w:t>
            </w:r>
          </w:p>
        </w:tc>
        <w:tc>
          <w:tcPr>
            <w:tcW w:w="66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不涉及</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0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简单分析</w:t>
            </w:r>
          </w:p>
        </w:tc>
        <w:tc>
          <w:tcPr>
            <w:tcW w:w="363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tc>
        <w:tc>
          <w:tcPr>
            <w:tcW w:w="66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color w:val="auto"/>
                <w:sz w:val="21"/>
                <w:szCs w:val="21"/>
                <w:u w:val="none"/>
                <w:lang w:val="en-US" w:eastAsia="zh-CN" w:bidi="ar"/>
              </w:rPr>
              <w:t>不</w:t>
            </w:r>
            <w:r>
              <w:rPr>
                <w:rFonts w:hint="eastAsia" w:eastAsia="宋体" w:cs="Times New Roman"/>
                <w:color w:val="auto"/>
                <w:sz w:val="21"/>
                <w:szCs w:val="21"/>
                <w:u w:val="none"/>
                <w:lang w:val="en-US" w:eastAsia="zh-CN" w:bidi="ar"/>
              </w:rPr>
              <w:t>涉及</w:t>
            </w:r>
          </w:p>
        </w:tc>
      </w:tr>
    </w:tbl>
    <w:p>
      <w:pPr>
        <w:widowControl/>
        <w:adjustRightInd/>
        <w:snapToGrid/>
        <w:spacing w:line="360" w:lineRule="auto"/>
        <w:ind w:firstLine="480" w:firstLineChars="200"/>
        <w:rPr>
          <w:rFonts w:hint="eastAsia" w:ascii="Times New Roman" w:hAnsi="Times New Roman" w:eastAsia="宋体" w:cs="Times New Roman"/>
          <w:color w:val="auto"/>
          <w:sz w:val="24"/>
          <w:lang w:val="en-US" w:eastAsia="zh-CN"/>
        </w:rPr>
      </w:pPr>
      <w:bookmarkStart w:id="186" w:name="_Toc11056"/>
      <w:bookmarkStart w:id="187" w:name="_Toc28868"/>
      <w:bookmarkStart w:id="188" w:name="_Toc10823"/>
      <w:bookmarkStart w:id="189" w:name="_Toc20371"/>
      <w:bookmarkStart w:id="190" w:name="_Toc27736"/>
      <w:bookmarkStart w:id="191" w:name="_Toc17614"/>
      <w:bookmarkStart w:id="192" w:name="_Toc30108"/>
      <w:bookmarkStart w:id="193" w:name="_Toc18736"/>
      <w:r>
        <w:rPr>
          <w:rFonts w:hint="eastAsia" w:ascii="Times New Roman" w:hAnsi="Times New Roman" w:eastAsia="宋体" w:cs="Times New Roman"/>
          <w:color w:val="auto"/>
          <w:sz w:val="24"/>
          <w:lang w:val="en-US" w:eastAsia="zh-CN"/>
        </w:rPr>
        <w:t>根据HJ19-2022关于生态环境影响评价工作等级的划分，本项目生态环境影响评价等级应设定为一级。但参照《关于印发《涉及国家级自然保护区建设项目生态影响专题报告编制指南(试行)》的通知》(环办函[2014]1419号)“对于在国家级自然保护区范围内，生态影响较小，需要按照相关法规要求进行环境影响评价且编制环境影响报告表的建设项目，其《专题报告》应参照本指南并可适当简化。”由于本项目环评编制环境影响报告表，生态环境影响小，且本项目区域位于湖南东洞庭湖国家级自然保护区</w:t>
      </w:r>
      <w:r>
        <w:rPr>
          <w:rFonts w:hint="eastAsia" w:cs="Times New Roman"/>
          <w:color w:val="auto"/>
          <w:sz w:val="24"/>
          <w:lang w:val="en-US" w:eastAsia="zh-CN"/>
        </w:rPr>
        <w:t>整合优化后的边界范围外</w:t>
      </w:r>
      <w:r>
        <w:rPr>
          <w:rFonts w:hint="eastAsia" w:ascii="Times New Roman" w:hAnsi="Times New Roman" w:eastAsia="宋体" w:cs="Times New Roman"/>
          <w:color w:val="auto"/>
          <w:sz w:val="24"/>
          <w:lang w:val="en-US" w:eastAsia="zh-CN"/>
        </w:rPr>
        <w:t>，根据现场调查，项目周边均为农村生态系统，实际为</w:t>
      </w:r>
      <w:r>
        <w:rPr>
          <w:rFonts w:hint="eastAsia" w:cs="Times New Roman"/>
          <w:color w:val="auto"/>
          <w:sz w:val="24"/>
          <w:lang w:val="en-US" w:eastAsia="zh-CN"/>
        </w:rPr>
        <w:t>城镇</w:t>
      </w:r>
      <w:r>
        <w:rPr>
          <w:rFonts w:hint="eastAsia" w:ascii="Times New Roman" w:hAnsi="Times New Roman" w:eastAsia="宋体" w:cs="Times New Roman"/>
          <w:color w:val="auto"/>
          <w:sz w:val="24"/>
          <w:lang w:val="en-US" w:eastAsia="zh-CN"/>
        </w:rPr>
        <w:t>建成区域，生态环境实际并不敏感，所以</w:t>
      </w:r>
      <w:r>
        <w:rPr>
          <w:rFonts w:hint="eastAsia" w:cs="Times New Roman"/>
          <w:color w:val="auto"/>
          <w:sz w:val="24"/>
          <w:lang w:val="en-US" w:eastAsia="zh-CN"/>
        </w:rPr>
        <w:t>本次生态环境影响分析在参照</w:t>
      </w:r>
      <w:r>
        <w:rPr>
          <w:rFonts w:ascii="Times New Roman" w:hAnsi="Times New Roman" w:eastAsia="宋体" w:cs="Times New Roman"/>
          <w:color w:val="auto"/>
          <w:sz w:val="24"/>
        </w:rPr>
        <w:t>《环境影响评价技术导则-生态影响》（HJ19-2022）</w:t>
      </w:r>
      <w:r>
        <w:rPr>
          <w:rFonts w:hint="eastAsia" w:cs="Times New Roman"/>
          <w:color w:val="auto"/>
          <w:sz w:val="24"/>
          <w:lang w:val="en-US" w:eastAsia="zh-CN"/>
        </w:rPr>
        <w:t>的基础上适当简化</w:t>
      </w:r>
      <w:r>
        <w:rPr>
          <w:rFonts w:hint="eastAsia" w:ascii="Times New Roman" w:hAnsi="Times New Roman" w:eastAsia="宋体" w:cs="Times New Roman"/>
          <w:color w:val="auto"/>
          <w:sz w:val="24"/>
          <w:lang w:val="en-US" w:eastAsia="zh-CN"/>
        </w:rPr>
        <w:t>。</w:t>
      </w:r>
    </w:p>
    <w:p>
      <w:pPr>
        <w:keepNext/>
        <w:widowControl w:val="0"/>
        <w:adjustRightInd w:val="0"/>
        <w:snapToGrid w:val="0"/>
        <w:spacing w:line="360" w:lineRule="auto"/>
        <w:ind w:firstLine="0" w:firstLineChars="0"/>
        <w:jc w:val="both"/>
        <w:outlineLvl w:val="2"/>
        <w:rPr>
          <w:rFonts w:ascii="Times New Roman" w:hAnsi="Times New Roman" w:eastAsia="宋体" w:cs="Times New Roman"/>
          <w:b/>
          <w:color w:val="auto"/>
          <w:kern w:val="2"/>
          <w:sz w:val="24"/>
          <w:szCs w:val="24"/>
          <w:lang w:val="en-US" w:eastAsia="zh-CN" w:bidi="ar-SA"/>
        </w:rPr>
      </w:pPr>
      <w:r>
        <w:rPr>
          <w:rFonts w:ascii="Times New Roman" w:hAnsi="Times New Roman" w:eastAsia="宋体" w:cs="Times New Roman"/>
          <w:b/>
          <w:color w:val="auto"/>
          <w:kern w:val="2"/>
          <w:sz w:val="24"/>
          <w:szCs w:val="24"/>
          <w:lang w:val="en-US" w:eastAsia="zh-CN" w:bidi="ar-SA"/>
        </w:rPr>
        <w:t>1.5.2评价范围</w:t>
      </w:r>
      <w:bookmarkEnd w:id="186"/>
      <w:bookmarkEnd w:id="187"/>
      <w:bookmarkEnd w:id="188"/>
      <w:bookmarkEnd w:id="189"/>
      <w:bookmarkEnd w:id="190"/>
      <w:bookmarkEnd w:id="191"/>
      <w:bookmarkEnd w:id="192"/>
      <w:bookmarkEnd w:id="193"/>
      <w:r>
        <w:rPr>
          <w:rFonts w:hint="eastAsia" w:ascii="Times New Roman" w:hAnsi="Times New Roman" w:eastAsia="宋体" w:cs="Times New Roman"/>
          <w:b/>
          <w:color w:val="auto"/>
          <w:kern w:val="2"/>
          <w:sz w:val="24"/>
          <w:szCs w:val="24"/>
          <w:lang w:val="en-US" w:eastAsia="zh-CN" w:bidi="ar-SA"/>
        </w:rPr>
        <w:t>和时段</w:t>
      </w:r>
    </w:p>
    <w:p>
      <w:pPr>
        <w:widowControl/>
        <w:adjustRightInd/>
        <w:snapToGrid/>
        <w:spacing w:line="360" w:lineRule="auto"/>
        <w:ind w:firstLine="480" w:firstLineChars="200"/>
        <w:rPr>
          <w:rFonts w:hint="eastAsia" w:ascii="Times New Roman" w:hAnsi="Times New Roman" w:eastAsia="宋体" w:cs="Times New Roman"/>
          <w:color w:val="auto"/>
          <w:sz w:val="24"/>
          <w:u w:val="single"/>
        </w:rPr>
      </w:pPr>
      <w:r>
        <w:rPr>
          <w:rFonts w:ascii="Times New Roman" w:hAnsi="Times New Roman" w:eastAsia="宋体" w:cs="Times New Roman"/>
          <w:color w:val="auto"/>
          <w:sz w:val="24"/>
        </w:rPr>
        <w:t>根据《环境影响评价技术导则-生态影响》（HJ19-2022），生态影响评价范围应能够重复体现生态完整性，涵盖评价项目全部活动的直接影响区域和间接影响区域。本项目</w:t>
      </w:r>
      <w:r>
        <w:rPr>
          <w:rFonts w:hint="eastAsia" w:ascii="Times New Roman" w:hAnsi="Times New Roman" w:eastAsia="宋体" w:cs="Times New Roman"/>
          <w:color w:val="auto"/>
          <w:sz w:val="24"/>
          <w:lang w:eastAsia="zh-CN"/>
        </w:rPr>
        <w:t>为</w:t>
      </w:r>
      <w:r>
        <w:rPr>
          <w:rFonts w:hint="eastAsia" w:eastAsia="宋体" w:cs="Times New Roman"/>
          <w:color w:val="auto"/>
          <w:sz w:val="24"/>
          <w:lang w:val="en-US" w:eastAsia="zh-CN"/>
        </w:rPr>
        <w:t>房地产开发项目</w:t>
      </w:r>
      <w:r>
        <w:rPr>
          <w:rFonts w:hint="eastAsia" w:ascii="Times New Roman" w:hAnsi="Times New Roman" w:eastAsia="宋体" w:cs="Times New Roman"/>
          <w:color w:val="auto"/>
          <w:sz w:val="24"/>
          <w:lang w:eastAsia="zh-CN"/>
        </w:rPr>
        <w:t>，</w:t>
      </w:r>
      <w:r>
        <w:rPr>
          <w:rFonts w:hint="eastAsia" w:eastAsia="宋体" w:cs="Times New Roman"/>
          <w:color w:val="auto"/>
          <w:sz w:val="24"/>
          <w:lang w:val="en-US" w:eastAsia="zh-CN"/>
        </w:rPr>
        <w:t>占用地区涉及</w:t>
      </w:r>
      <w:r>
        <w:rPr>
          <w:rFonts w:hint="eastAsia" w:ascii="Times New Roman" w:hAnsi="Times New Roman" w:eastAsia="宋体" w:cs="Times New Roman"/>
          <w:color w:val="auto"/>
          <w:sz w:val="24"/>
          <w:lang w:eastAsia="zh-CN"/>
        </w:rPr>
        <w:t>生态敏感区，</w:t>
      </w:r>
      <w:r>
        <w:rPr>
          <w:rFonts w:hint="eastAsia" w:eastAsia="宋体" w:cs="Times New Roman"/>
          <w:color w:val="auto"/>
          <w:sz w:val="24"/>
          <w:lang w:val="en-US" w:eastAsia="zh-CN"/>
        </w:rPr>
        <w:t>因项目建设及运营过程中产生的污染较小，且结合项目周边生态敏感性</w:t>
      </w:r>
      <w:r>
        <w:rPr>
          <w:rFonts w:hint="eastAsia" w:ascii="Times New Roman" w:hAnsi="Times New Roman" w:eastAsia="宋体" w:cs="Times New Roman"/>
          <w:color w:val="auto"/>
          <w:sz w:val="24"/>
          <w:lang w:eastAsia="zh-CN"/>
        </w:rPr>
        <w:t>，项目评价范围确定为</w:t>
      </w:r>
      <w:r>
        <w:rPr>
          <w:rFonts w:hint="eastAsia" w:eastAsia="宋体" w:cs="Times New Roman"/>
          <w:color w:val="auto"/>
          <w:sz w:val="24"/>
          <w:lang w:val="en-US" w:eastAsia="zh-CN"/>
        </w:rPr>
        <w:t>项目占地边界外侧</w:t>
      </w:r>
      <w:r>
        <w:rPr>
          <w:rFonts w:hint="eastAsia" w:cs="Times New Roman"/>
          <w:color w:val="auto"/>
          <w:sz w:val="24"/>
          <w:lang w:val="en-US" w:eastAsia="zh-CN"/>
        </w:rPr>
        <w:t>100</w:t>
      </w:r>
      <w:r>
        <w:rPr>
          <w:rFonts w:hint="eastAsia" w:ascii="Times New Roman" w:hAnsi="Times New Roman" w:eastAsia="宋体" w:cs="Times New Roman"/>
          <w:color w:val="auto"/>
          <w:sz w:val="24"/>
          <w:lang w:eastAsia="zh-CN"/>
        </w:rPr>
        <w:t>0m以内的区域</w:t>
      </w:r>
      <w:r>
        <w:rPr>
          <w:rFonts w:hint="eastAsia" w:ascii="Times New Roman" w:hAnsi="Times New Roman" w:eastAsia="宋体" w:cs="Times New Roman"/>
          <w:color w:val="auto"/>
          <w:sz w:val="24"/>
          <w:u w:val="none"/>
        </w:rPr>
        <w:t>。</w:t>
      </w:r>
    </w:p>
    <w:p>
      <w:pPr>
        <w:widowControl/>
        <w:adjustRightInd/>
        <w:snapToGrid/>
        <w:spacing w:line="360" w:lineRule="auto"/>
        <w:ind w:firstLine="480" w:firstLineChars="200"/>
        <w:rPr>
          <w:rFonts w:hint="eastAsia"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评价时段为施工期及运营期，</w:t>
      </w:r>
      <w:r>
        <w:rPr>
          <w:rFonts w:hint="eastAsia" w:ascii="Times New Roman" w:hAnsi="Times New Roman" w:eastAsia="宋体" w:cs="Times New Roman"/>
          <w:color w:val="auto"/>
          <w:sz w:val="24"/>
          <w:lang w:val="en-US" w:eastAsia="zh-CN"/>
        </w:rPr>
        <w:t>因项目已建成，对施工期主要进行回顾性评价</w:t>
      </w:r>
      <w:r>
        <w:rPr>
          <w:rFonts w:hint="eastAsia" w:ascii="Times New Roman" w:hAnsi="Times New Roman" w:eastAsia="宋体" w:cs="Times New Roman"/>
          <w:color w:val="auto"/>
          <w:sz w:val="24"/>
          <w:lang w:eastAsia="zh-CN"/>
        </w:rPr>
        <w:t>。</w:t>
      </w:r>
    </w:p>
    <w:p>
      <w:pPr>
        <w:keepNext/>
        <w:widowControl w:val="0"/>
        <w:adjustRightInd w:val="0"/>
        <w:snapToGrid w:val="0"/>
        <w:spacing w:line="360" w:lineRule="auto"/>
        <w:ind w:firstLine="0" w:firstLineChars="0"/>
        <w:jc w:val="both"/>
        <w:outlineLvl w:val="1"/>
        <w:rPr>
          <w:rFonts w:hint="eastAsia" w:ascii="Times New Roman" w:hAnsi="Times New Roman" w:eastAsia="宋体" w:cs="Times New Roman"/>
          <w:b/>
          <w:bCs/>
          <w:color w:val="auto"/>
          <w:kern w:val="2"/>
          <w:sz w:val="28"/>
          <w:szCs w:val="28"/>
          <w:lang w:val="en-US" w:eastAsia="zh-CN" w:bidi="ar-SA"/>
        </w:rPr>
      </w:pPr>
      <w:bookmarkStart w:id="194" w:name="_Toc18524"/>
      <w:bookmarkStart w:id="195" w:name="_Toc2532"/>
      <w:bookmarkStart w:id="196" w:name="_Toc12559"/>
      <w:bookmarkStart w:id="197" w:name="_Toc7826"/>
      <w:bookmarkStart w:id="198" w:name="_Toc3333"/>
      <w:bookmarkStart w:id="199" w:name="_Toc28620"/>
      <w:bookmarkStart w:id="200" w:name="_Toc14248"/>
      <w:bookmarkStart w:id="201" w:name="_Toc15125"/>
      <w:bookmarkStart w:id="202" w:name="_Toc25749"/>
      <w:r>
        <w:rPr>
          <w:rFonts w:hint="eastAsia" w:ascii="Times New Roman" w:hAnsi="Times New Roman" w:eastAsia="宋体" w:cs="Times New Roman"/>
          <w:b/>
          <w:bCs/>
          <w:color w:val="auto"/>
          <w:kern w:val="2"/>
          <w:sz w:val="28"/>
          <w:szCs w:val="28"/>
          <w:lang w:val="en-US" w:eastAsia="zh-CN" w:bidi="ar-SA"/>
        </w:rPr>
        <w:t>1.6评价因子筛选及评价重点</w:t>
      </w:r>
      <w:bookmarkEnd w:id="194"/>
      <w:bookmarkEnd w:id="195"/>
      <w:bookmarkEnd w:id="196"/>
    </w:p>
    <w:p>
      <w:pPr>
        <w:widowControl w:val="0"/>
        <w:spacing w:line="360" w:lineRule="auto"/>
        <w:ind w:firstLine="480" w:firstLineChars="200"/>
        <w:jc w:val="both"/>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根据对本项目的工程特点、周边生态环境特征、工程的环境影响要素分析和识别，筛选出主要的环境影响评价因子，详见下表。</w:t>
      </w:r>
    </w:p>
    <w:p>
      <w:pPr>
        <w:widowControl w:val="0"/>
        <w:spacing w:line="360" w:lineRule="auto"/>
        <w:ind w:firstLine="422" w:firstLineChars="200"/>
        <w:jc w:val="center"/>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表1.6-1  生态影响评价因子筛选表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4"/>
        <w:gridCol w:w="1865"/>
        <w:gridCol w:w="3687"/>
        <w:gridCol w:w="866"/>
        <w:gridCol w:w="7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受影响对象</w:t>
            </w:r>
          </w:p>
        </w:tc>
        <w:tc>
          <w:tcPr>
            <w:tcW w:w="109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评价因子</w:t>
            </w:r>
          </w:p>
        </w:tc>
        <w:tc>
          <w:tcPr>
            <w:tcW w:w="216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工程内容及影响方式</w:t>
            </w:r>
          </w:p>
        </w:tc>
        <w:tc>
          <w:tcPr>
            <w:tcW w:w="50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影响</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性质</w:t>
            </w:r>
          </w:p>
        </w:tc>
        <w:tc>
          <w:tcPr>
            <w:tcW w:w="4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影响程度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物种</w:t>
            </w:r>
          </w:p>
        </w:tc>
        <w:tc>
          <w:tcPr>
            <w:tcW w:w="109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分布范围、种群数量、迁徙通道和迁徙地</w:t>
            </w:r>
          </w:p>
        </w:tc>
        <w:tc>
          <w:tcPr>
            <w:tcW w:w="216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施工活动和工程运行造成区域动物趋避、动植物数量减少，工程施工、运行导致个体直接死亡</w:t>
            </w:r>
          </w:p>
        </w:tc>
        <w:tc>
          <w:tcPr>
            <w:tcW w:w="50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短期/可逆</w:t>
            </w:r>
          </w:p>
        </w:tc>
        <w:tc>
          <w:tcPr>
            <w:tcW w:w="4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生境</w:t>
            </w:r>
          </w:p>
        </w:tc>
        <w:tc>
          <w:tcPr>
            <w:tcW w:w="109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生境面积、质量</w:t>
            </w:r>
          </w:p>
        </w:tc>
        <w:tc>
          <w:tcPr>
            <w:tcW w:w="216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工程占地包括临时、永久占地导致动植物原有生境直接破坏或丧失；工程运行对周边生境质量造成影响</w:t>
            </w:r>
          </w:p>
        </w:tc>
        <w:tc>
          <w:tcPr>
            <w:tcW w:w="50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长期/不可逆</w:t>
            </w:r>
          </w:p>
        </w:tc>
        <w:tc>
          <w:tcPr>
            <w:tcW w:w="4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生物群落</w:t>
            </w:r>
          </w:p>
        </w:tc>
        <w:tc>
          <w:tcPr>
            <w:tcW w:w="109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物种组成、群落结构等</w:t>
            </w:r>
          </w:p>
        </w:tc>
        <w:tc>
          <w:tcPr>
            <w:tcW w:w="216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施工活动引入外来植物、惊扰动物，造成区域生物群落的组成变化</w:t>
            </w:r>
          </w:p>
        </w:tc>
        <w:tc>
          <w:tcPr>
            <w:tcW w:w="50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长期/可逆</w:t>
            </w:r>
          </w:p>
        </w:tc>
        <w:tc>
          <w:tcPr>
            <w:tcW w:w="4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生态系统</w:t>
            </w:r>
          </w:p>
        </w:tc>
        <w:tc>
          <w:tcPr>
            <w:tcW w:w="109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植被覆盖度、生产力、生物量、生态系统功能、完整性</w:t>
            </w:r>
          </w:p>
        </w:tc>
        <w:tc>
          <w:tcPr>
            <w:tcW w:w="216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工程占地、施工活动对农林业生产、土壤及地貌的影响，破坏了区域原有生境，造成植被损失，使生物量、生产力减少，影响生态系统功能、生态系统的完整性</w:t>
            </w:r>
          </w:p>
        </w:tc>
        <w:tc>
          <w:tcPr>
            <w:tcW w:w="50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长期/不可逆</w:t>
            </w:r>
          </w:p>
        </w:tc>
        <w:tc>
          <w:tcPr>
            <w:tcW w:w="4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eastAsia="zh-CN"/>
              </w:rPr>
            </w:pPr>
            <w:r>
              <w:rPr>
                <w:rFonts w:hint="default" w:ascii="Times New Roman" w:hAnsi="Times New Roman" w:eastAsia="宋体" w:cs="Times New Roman"/>
                <w:i w:val="0"/>
                <w:iCs w:val="0"/>
                <w:color w:val="auto"/>
                <w:sz w:val="21"/>
                <w:szCs w:val="21"/>
                <w:u w:val="none"/>
                <w:lang w:eastAsia="zh-CN"/>
              </w:rP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生物多样性</w:t>
            </w:r>
          </w:p>
        </w:tc>
        <w:tc>
          <w:tcPr>
            <w:tcW w:w="109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物种丰富度、均匀度、优势度</w:t>
            </w:r>
          </w:p>
        </w:tc>
        <w:tc>
          <w:tcPr>
            <w:tcW w:w="216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sz w:val="21"/>
                <w:szCs w:val="21"/>
                <w:u w:val="none"/>
              </w:rPr>
              <w:t>工程占地区开挖、建设等会扰动地表，破坏地表植物及植被，弃渣场</w:t>
            </w:r>
            <w:r>
              <w:rPr>
                <w:rFonts w:hint="eastAsia" w:eastAsia="宋体" w:cs="Times New Roman"/>
                <w:i w:val="0"/>
                <w:iCs w:val="0"/>
                <w:color w:val="auto"/>
                <w:sz w:val="21"/>
                <w:szCs w:val="21"/>
                <w:u w:val="none"/>
                <w:lang w:val="en-US" w:eastAsia="zh-CN"/>
              </w:rPr>
              <w:t>以及</w:t>
            </w:r>
            <w:r>
              <w:rPr>
                <w:rFonts w:hint="default" w:ascii="Times New Roman" w:hAnsi="Times New Roman" w:eastAsia="宋体" w:cs="Times New Roman"/>
                <w:i w:val="0"/>
                <w:iCs w:val="0"/>
                <w:color w:val="auto"/>
                <w:sz w:val="21"/>
                <w:szCs w:val="21"/>
                <w:u w:val="none"/>
              </w:rPr>
              <w:t>临时施工场地</w:t>
            </w:r>
            <w:r>
              <w:rPr>
                <w:rFonts w:hint="eastAsia" w:eastAsia="宋体" w:cs="Times New Roman"/>
                <w:i w:val="0"/>
                <w:iCs w:val="0"/>
                <w:color w:val="auto"/>
                <w:sz w:val="21"/>
                <w:szCs w:val="21"/>
                <w:u w:val="none"/>
                <w:lang w:eastAsia="zh-CN"/>
              </w:rPr>
              <w:t>（</w:t>
            </w:r>
            <w:r>
              <w:rPr>
                <w:rFonts w:hint="eastAsia" w:eastAsia="宋体" w:cs="Times New Roman"/>
                <w:i w:val="0"/>
                <w:iCs w:val="0"/>
                <w:color w:val="auto"/>
                <w:sz w:val="21"/>
                <w:szCs w:val="21"/>
                <w:u w:val="none"/>
                <w:lang w:val="en-US" w:eastAsia="zh-CN"/>
              </w:rPr>
              <w:t>本项目弃渣场以及临时是哦干场地均设置于项目用地红线范围内，目前已恢复为绿化用地</w:t>
            </w:r>
            <w:r>
              <w:rPr>
                <w:rFonts w:hint="eastAsia" w:eastAsia="宋体" w:cs="Times New Roman"/>
                <w:i w:val="0"/>
                <w:iCs w:val="0"/>
                <w:color w:val="auto"/>
                <w:sz w:val="21"/>
                <w:szCs w:val="21"/>
                <w:u w:val="none"/>
                <w:lang w:eastAsia="zh-CN"/>
              </w:rPr>
              <w:t>）</w:t>
            </w:r>
            <w:r>
              <w:rPr>
                <w:rFonts w:hint="default" w:ascii="Times New Roman" w:hAnsi="Times New Roman" w:eastAsia="宋体" w:cs="Times New Roman"/>
                <w:i w:val="0"/>
                <w:iCs w:val="0"/>
                <w:color w:val="auto"/>
                <w:sz w:val="21"/>
                <w:szCs w:val="21"/>
                <w:u w:val="none"/>
              </w:rPr>
              <w:t>平整、临时施工便道修筑等工程行为使土壤裸露、地表扰动对生物多样性的影响。跨河桥梁施工对水生生态环境的影响</w:t>
            </w:r>
          </w:p>
        </w:tc>
        <w:tc>
          <w:tcPr>
            <w:tcW w:w="50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短期/可逆</w:t>
            </w:r>
          </w:p>
        </w:tc>
        <w:tc>
          <w:tcPr>
            <w:tcW w:w="4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生态敏感区</w:t>
            </w:r>
          </w:p>
        </w:tc>
        <w:tc>
          <w:tcPr>
            <w:tcW w:w="109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主要保护对象、生态功能</w:t>
            </w:r>
          </w:p>
        </w:tc>
        <w:tc>
          <w:tcPr>
            <w:tcW w:w="216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eastAsia="宋体" w:cs="Times New Roman"/>
                <w:i w:val="0"/>
                <w:iCs w:val="0"/>
                <w:color w:val="auto"/>
                <w:kern w:val="0"/>
                <w:sz w:val="21"/>
                <w:szCs w:val="21"/>
                <w:u w:val="none"/>
                <w:lang w:val="en-US" w:eastAsia="zh-CN" w:bidi="ar"/>
              </w:rPr>
              <w:t>本项目涉及</w:t>
            </w:r>
            <w:r>
              <w:rPr>
                <w:rFonts w:hint="eastAsia" w:ascii="Times New Roman" w:hAnsi="Times New Roman" w:eastAsia="宋体" w:cs="Times New Roman"/>
                <w:color w:val="auto"/>
                <w:lang w:val="en-US" w:eastAsia="zh-CN"/>
              </w:rPr>
              <w:t>湖南东洞庭湖国家级自然保护区实验区范围</w:t>
            </w:r>
          </w:p>
        </w:tc>
        <w:tc>
          <w:tcPr>
            <w:tcW w:w="50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短期/可逆</w:t>
            </w:r>
          </w:p>
        </w:tc>
        <w:tc>
          <w:tcPr>
            <w:tcW w:w="4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自然景观</w:t>
            </w:r>
          </w:p>
        </w:tc>
        <w:tc>
          <w:tcPr>
            <w:tcW w:w="109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景观质量</w:t>
            </w:r>
          </w:p>
        </w:tc>
        <w:tc>
          <w:tcPr>
            <w:tcW w:w="216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工程占地和工程运行造成区域自然景观的质量下降</w:t>
            </w:r>
          </w:p>
        </w:tc>
        <w:tc>
          <w:tcPr>
            <w:tcW w:w="50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长期/不可逆</w:t>
            </w:r>
          </w:p>
        </w:tc>
        <w:tc>
          <w:tcPr>
            <w:tcW w:w="4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土地利用</w:t>
            </w:r>
          </w:p>
        </w:tc>
        <w:tc>
          <w:tcPr>
            <w:tcW w:w="109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地类面积</w:t>
            </w:r>
          </w:p>
        </w:tc>
        <w:tc>
          <w:tcPr>
            <w:tcW w:w="216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工程占地改变了区域原有土地利用类型和分布</w:t>
            </w:r>
          </w:p>
        </w:tc>
        <w:tc>
          <w:tcPr>
            <w:tcW w:w="50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长期/不可逆</w:t>
            </w:r>
          </w:p>
        </w:tc>
        <w:tc>
          <w:tcPr>
            <w:tcW w:w="4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弱</w:t>
            </w:r>
          </w:p>
        </w:tc>
      </w:tr>
    </w:tbl>
    <w:p>
      <w:pPr>
        <w:widowControl w:val="0"/>
        <w:spacing w:line="360" w:lineRule="auto"/>
        <w:ind w:firstLine="480" w:firstLineChars="200"/>
        <w:jc w:val="both"/>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主要现状评价因子：野生动植物、植被、耕地、水土流失等。</w:t>
      </w:r>
    </w:p>
    <w:p>
      <w:pPr>
        <w:widowControl w:val="0"/>
        <w:spacing w:line="360" w:lineRule="auto"/>
        <w:ind w:firstLine="480" w:firstLineChars="200"/>
        <w:jc w:val="both"/>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主要影响评价因子：施工期为野生动物、植被、耕地、水土流失、景观、林地、土壤的影响；运营期为植被、野生动物、土地复垦及防护工程、绿化工程。</w:t>
      </w:r>
    </w:p>
    <w:p>
      <w:pPr>
        <w:keepNext/>
        <w:widowControl w:val="0"/>
        <w:adjustRightInd w:val="0"/>
        <w:snapToGrid w:val="0"/>
        <w:spacing w:line="360" w:lineRule="auto"/>
        <w:ind w:firstLine="0" w:firstLineChars="0"/>
        <w:jc w:val="both"/>
        <w:outlineLvl w:val="1"/>
        <w:rPr>
          <w:rFonts w:ascii="Times New Roman" w:hAnsi="Times New Roman" w:eastAsia="宋体" w:cs="Times New Roman"/>
          <w:b/>
          <w:color w:val="auto"/>
          <w:kern w:val="2"/>
          <w:sz w:val="24"/>
          <w:szCs w:val="28"/>
          <w:lang w:val="en-US" w:eastAsia="zh-CN" w:bidi="ar-SA"/>
        </w:rPr>
      </w:pPr>
      <w:bookmarkStart w:id="203" w:name="_Toc22427"/>
      <w:bookmarkStart w:id="204" w:name="_Toc6705"/>
      <w:bookmarkStart w:id="205" w:name="_Toc11317"/>
      <w:r>
        <w:rPr>
          <w:rFonts w:ascii="Times New Roman" w:hAnsi="Times New Roman" w:eastAsia="宋体" w:cs="Times New Roman"/>
          <w:b/>
          <w:color w:val="auto"/>
          <w:kern w:val="2"/>
          <w:sz w:val="24"/>
          <w:szCs w:val="28"/>
          <w:lang w:val="en-US" w:eastAsia="zh-CN" w:bidi="ar-SA"/>
        </w:rPr>
        <w:t>1.</w:t>
      </w:r>
      <w:r>
        <w:rPr>
          <w:rFonts w:hint="eastAsia" w:ascii="Times New Roman" w:hAnsi="Times New Roman" w:eastAsia="宋体" w:cs="Times New Roman"/>
          <w:b/>
          <w:color w:val="auto"/>
          <w:kern w:val="2"/>
          <w:sz w:val="24"/>
          <w:szCs w:val="28"/>
          <w:lang w:val="en-US" w:eastAsia="zh-CN" w:bidi="ar-SA"/>
        </w:rPr>
        <w:t>7</w:t>
      </w:r>
      <w:r>
        <w:rPr>
          <w:rFonts w:ascii="Times New Roman" w:hAnsi="Times New Roman" w:eastAsia="宋体" w:cs="Times New Roman"/>
          <w:b/>
          <w:color w:val="auto"/>
          <w:kern w:val="2"/>
          <w:sz w:val="24"/>
          <w:szCs w:val="28"/>
          <w:lang w:val="en-US" w:eastAsia="zh-CN" w:bidi="ar-SA"/>
        </w:rPr>
        <w:t>生态环境保护目标</w:t>
      </w:r>
      <w:bookmarkEnd w:id="197"/>
      <w:bookmarkEnd w:id="198"/>
      <w:bookmarkEnd w:id="199"/>
      <w:bookmarkEnd w:id="200"/>
      <w:bookmarkEnd w:id="201"/>
      <w:bookmarkEnd w:id="202"/>
      <w:bookmarkEnd w:id="203"/>
      <w:bookmarkEnd w:id="204"/>
      <w:bookmarkEnd w:id="205"/>
    </w:p>
    <w:p>
      <w:pPr>
        <w:widowControl w:val="0"/>
        <w:adjustRightInd w:val="0"/>
        <w:snapToGrid w:val="0"/>
        <w:spacing w:before="0" w:after="0" w:line="360" w:lineRule="auto"/>
        <w:ind w:right="0" w:firstLine="480" w:firstLineChars="200"/>
        <w:jc w:val="both"/>
        <w:rPr>
          <w:rFonts w:hint="eastAsia" w:ascii="Times New Roman" w:hAnsi="Times New Roman" w:eastAsia="宋体" w:cs="Times New Roman"/>
          <w:b/>
          <w:bCs/>
          <w:color w:val="auto"/>
          <w:kern w:val="13"/>
          <w:sz w:val="21"/>
          <w:szCs w:val="21"/>
          <w:lang w:val="en-US" w:eastAsia="zh-CN" w:bidi="ar-SA"/>
        </w:rPr>
      </w:pPr>
      <w:r>
        <w:rPr>
          <w:rFonts w:hint="eastAsia" w:ascii="Times New Roman" w:hAnsi="Times New Roman" w:eastAsia="宋体" w:cs="Times New Roman"/>
          <w:color w:val="auto"/>
          <w:kern w:val="13"/>
          <w:sz w:val="24"/>
          <w:szCs w:val="24"/>
          <w:lang w:val="en-US" w:eastAsia="zh-CN" w:bidi="ar-SA"/>
        </w:rPr>
        <w:t>项目生态保护目标如下。</w:t>
      </w:r>
    </w:p>
    <w:p>
      <w:pPr>
        <w:widowControl w:val="0"/>
        <w:adjustRightInd w:val="0"/>
        <w:snapToGrid w:val="0"/>
        <w:spacing w:before="0" w:after="0" w:line="360" w:lineRule="auto"/>
        <w:ind w:right="0" w:firstLine="0" w:firstLineChars="0"/>
        <w:jc w:val="center"/>
        <w:rPr>
          <w:rFonts w:ascii="Times New Roman" w:hAnsi="Times New Roman" w:eastAsia="宋体" w:cs="Times New Roman"/>
          <w:b/>
          <w:bCs/>
          <w:color w:val="auto"/>
          <w:kern w:val="2"/>
          <w:sz w:val="21"/>
          <w:szCs w:val="21"/>
          <w:lang w:val="en-US" w:eastAsia="zh-CN" w:bidi="ar-SA"/>
        </w:rPr>
      </w:pPr>
      <w:r>
        <w:rPr>
          <w:rFonts w:ascii="Times New Roman" w:hAnsi="Times New Roman" w:eastAsia="宋体" w:cs="Times New Roman"/>
          <w:b/>
          <w:bCs/>
          <w:color w:val="auto"/>
          <w:kern w:val="2"/>
          <w:sz w:val="21"/>
          <w:szCs w:val="21"/>
          <w:lang w:val="en-US" w:eastAsia="zh-CN" w:bidi="ar-SA"/>
        </w:rPr>
        <w:t>表</w:t>
      </w:r>
      <w:r>
        <w:rPr>
          <w:rFonts w:hint="eastAsia" w:ascii="Times New Roman" w:hAnsi="Times New Roman" w:eastAsia="宋体" w:cs="Times New Roman"/>
          <w:b/>
          <w:bCs/>
          <w:color w:val="auto"/>
          <w:kern w:val="2"/>
          <w:sz w:val="21"/>
          <w:szCs w:val="21"/>
          <w:lang w:val="en-US" w:eastAsia="zh-CN" w:bidi="ar-SA"/>
        </w:rPr>
        <w:t xml:space="preserve">1.7-1  </w:t>
      </w:r>
      <w:r>
        <w:rPr>
          <w:rFonts w:ascii="Times New Roman" w:hAnsi="Times New Roman" w:eastAsia="宋体" w:cs="Times New Roman"/>
          <w:b/>
          <w:bCs/>
          <w:color w:val="auto"/>
          <w:kern w:val="2"/>
          <w:sz w:val="21"/>
          <w:szCs w:val="21"/>
          <w:lang w:val="en-US" w:eastAsia="zh-CN" w:bidi="ar-SA"/>
        </w:rPr>
        <w:t>主要生态环境保护目标</w:t>
      </w:r>
    </w:p>
    <w:tbl>
      <w:tblPr>
        <w:tblStyle w:val="22"/>
        <w:tblW w:w="506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3"/>
        <w:gridCol w:w="2626"/>
        <w:gridCol w:w="2201"/>
        <w:gridCol w:w="2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658" w:type="pct"/>
            <w:noWrap w:val="0"/>
            <w:tcMar>
              <w:left w:w="0" w:type="dxa"/>
              <w:right w:w="0" w:type="dxa"/>
            </w:tcMar>
            <w:vAlign w:val="center"/>
          </w:tcPr>
          <w:p>
            <w:pPr>
              <w:pStyle w:val="73"/>
              <w:snapToGrid w:val="0"/>
              <w:spacing w:after="0" w:afterLines="0" w:line="240" w:lineRule="auto"/>
              <w:ind w:firstLine="0" w:firstLineChars="0"/>
              <w:rPr>
                <w:rFonts w:hint="default" w:ascii="Times New Roman" w:hAnsi="Times New Roman" w:cs="Times New Roman"/>
                <w:b/>
                <w:color w:val="auto"/>
                <w:sz w:val="21"/>
                <w:szCs w:val="21"/>
              </w:rPr>
            </w:pPr>
            <w:bookmarkStart w:id="206" w:name="_Toc30725"/>
            <w:bookmarkStart w:id="207" w:name="_Toc32159"/>
            <w:bookmarkStart w:id="208" w:name="_Toc2005"/>
            <w:bookmarkStart w:id="209" w:name="_Toc30772"/>
            <w:bookmarkStart w:id="210" w:name="_Toc23919"/>
            <w:r>
              <w:rPr>
                <w:rFonts w:hint="default" w:ascii="Times New Roman" w:hAnsi="Times New Roman" w:cs="Times New Roman"/>
                <w:b/>
                <w:color w:val="auto"/>
                <w:sz w:val="21"/>
                <w:szCs w:val="21"/>
                <w:lang w:eastAsia="zh-CN"/>
              </w:rPr>
              <w:t>环保</w:t>
            </w:r>
            <w:r>
              <w:rPr>
                <w:rFonts w:hint="default" w:ascii="Times New Roman" w:hAnsi="Times New Roman" w:cs="Times New Roman"/>
                <w:b/>
                <w:color w:val="auto"/>
                <w:sz w:val="21"/>
                <w:szCs w:val="21"/>
              </w:rPr>
              <w:t>目标</w:t>
            </w:r>
          </w:p>
        </w:tc>
        <w:tc>
          <w:tcPr>
            <w:tcW w:w="1539" w:type="pct"/>
            <w:noWrap w:val="0"/>
            <w:tcMar>
              <w:left w:w="0" w:type="dxa"/>
              <w:right w:w="0" w:type="dxa"/>
            </w:tcMar>
            <w:vAlign w:val="center"/>
          </w:tcPr>
          <w:p>
            <w:pPr>
              <w:pStyle w:val="73"/>
              <w:snapToGrid w:val="0"/>
              <w:spacing w:after="0" w:afterLines="0" w:line="240" w:lineRule="auto"/>
              <w:ind w:firstLine="0" w:firstLineChars="0"/>
              <w:rPr>
                <w:rFonts w:hint="default" w:ascii="Times New Roman" w:hAnsi="Times New Roman" w:eastAsia="宋体" w:cs="Times New Roman"/>
                <w:b/>
                <w:color w:val="auto"/>
                <w:sz w:val="21"/>
                <w:szCs w:val="21"/>
                <w:lang w:eastAsia="zh-CN"/>
              </w:rPr>
            </w:pPr>
            <w:r>
              <w:rPr>
                <w:rFonts w:hint="default" w:ascii="Times New Roman" w:hAnsi="Times New Roman" w:cs="Times New Roman"/>
                <w:b/>
                <w:bCs/>
                <w:color w:val="auto"/>
                <w:sz w:val="21"/>
                <w:szCs w:val="21"/>
                <w:lang w:eastAsia="zh-CN"/>
              </w:rPr>
              <w:t>与工程相对位置关系</w:t>
            </w:r>
          </w:p>
        </w:tc>
        <w:tc>
          <w:tcPr>
            <w:tcW w:w="1290" w:type="pct"/>
            <w:noWrap w:val="0"/>
            <w:tcMar>
              <w:left w:w="0" w:type="dxa"/>
              <w:right w:w="0" w:type="dxa"/>
            </w:tcMar>
            <w:vAlign w:val="center"/>
          </w:tcPr>
          <w:p>
            <w:pPr>
              <w:pStyle w:val="73"/>
              <w:snapToGrid w:val="0"/>
              <w:spacing w:after="0" w:afterLines="0" w:line="240" w:lineRule="auto"/>
              <w:ind w:firstLine="0" w:firstLineChars="0"/>
              <w:rPr>
                <w:rFonts w:hint="default" w:ascii="Times New Roman" w:hAnsi="Times New Roman" w:eastAsia="宋体" w:cs="Times New Roman"/>
                <w:b/>
                <w:color w:val="auto"/>
                <w:sz w:val="21"/>
                <w:szCs w:val="21"/>
                <w:lang w:eastAsia="zh-CN"/>
              </w:rPr>
            </w:pPr>
            <w:r>
              <w:rPr>
                <w:rFonts w:hint="default" w:ascii="Times New Roman" w:hAnsi="Times New Roman" w:cs="Times New Roman"/>
                <w:b/>
                <w:color w:val="auto"/>
                <w:sz w:val="21"/>
                <w:szCs w:val="21"/>
                <w:lang w:eastAsia="zh-CN"/>
              </w:rPr>
              <w:t>影响因素</w:t>
            </w:r>
          </w:p>
        </w:tc>
        <w:tc>
          <w:tcPr>
            <w:tcW w:w="1512" w:type="pct"/>
            <w:noWrap w:val="0"/>
            <w:vAlign w:val="center"/>
          </w:tcPr>
          <w:p>
            <w:pPr>
              <w:pStyle w:val="73"/>
              <w:snapToGrid w:val="0"/>
              <w:spacing w:after="0" w:afterLines="0" w:line="240" w:lineRule="auto"/>
              <w:ind w:firstLine="0" w:firstLineChars="0"/>
              <w:rPr>
                <w:rFonts w:hint="default" w:ascii="Times New Roman" w:hAnsi="Times New Roman" w:eastAsia="宋体" w:cs="Times New Roman"/>
                <w:b/>
                <w:color w:val="auto"/>
                <w:sz w:val="21"/>
                <w:szCs w:val="21"/>
                <w:lang w:eastAsia="zh-CN"/>
              </w:rPr>
            </w:pPr>
            <w:r>
              <w:rPr>
                <w:rFonts w:hint="default" w:ascii="Times New Roman" w:hAnsi="Times New Roman" w:cs="Times New Roman"/>
                <w:b/>
                <w:bCs/>
                <w:color w:val="auto"/>
                <w:sz w:val="21"/>
                <w:szCs w:val="21"/>
                <w:lang w:eastAsia="zh-CN"/>
              </w:rPr>
              <w:t>保护要求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pct"/>
            <w:noWrap w:val="0"/>
            <w:tcMar>
              <w:left w:w="0" w:type="dxa"/>
              <w:right w:w="0" w:type="dxa"/>
            </w:tcMar>
            <w:vAlign w:val="center"/>
          </w:tcPr>
          <w:p>
            <w:pPr>
              <w:pStyle w:val="73"/>
              <w:overflowPunct/>
              <w:autoSpaceDE/>
              <w:autoSpaceDN/>
              <w:snapToGrid w:val="0"/>
              <w:spacing w:after="0" w:afterLines="0" w:line="240" w:lineRule="auto"/>
              <w:ind w:firstLine="0" w:firstLineChars="0"/>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陆生</w:t>
            </w:r>
            <w:r>
              <w:rPr>
                <w:rFonts w:hint="default" w:ascii="Times New Roman" w:hAnsi="Times New Roman" w:cs="Times New Roman"/>
                <w:b w:val="0"/>
                <w:bCs w:val="0"/>
                <w:color w:val="auto"/>
                <w:sz w:val="21"/>
                <w:szCs w:val="21"/>
              </w:rPr>
              <w:t>植</w:t>
            </w:r>
            <w:r>
              <w:rPr>
                <w:rFonts w:hint="default" w:ascii="Times New Roman" w:hAnsi="Times New Roman" w:cs="Times New Roman"/>
                <w:b w:val="0"/>
                <w:bCs w:val="0"/>
                <w:color w:val="auto"/>
                <w:sz w:val="21"/>
                <w:szCs w:val="21"/>
                <w:lang w:eastAsia="zh-CN"/>
              </w:rPr>
              <w:t>物</w:t>
            </w:r>
          </w:p>
        </w:tc>
        <w:tc>
          <w:tcPr>
            <w:tcW w:w="1539" w:type="pct"/>
            <w:noWrap w:val="0"/>
            <w:tcMar>
              <w:left w:w="0" w:type="dxa"/>
              <w:right w:w="0" w:type="dxa"/>
            </w:tcMar>
            <w:vAlign w:val="center"/>
          </w:tcPr>
          <w:p>
            <w:pPr>
              <w:pStyle w:val="73"/>
              <w:snapToGrid w:val="0"/>
              <w:spacing w:after="0" w:afterLines="0" w:line="240" w:lineRule="auto"/>
              <w:ind w:firstLine="0" w:firstLineChars="0"/>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项目主体工程以及</w:t>
            </w:r>
            <w:r>
              <w:rPr>
                <w:rFonts w:hint="default" w:ascii="Times New Roman" w:hAnsi="Times New Roman" w:cs="Times New Roman"/>
                <w:b w:val="0"/>
                <w:bCs w:val="0"/>
                <w:color w:val="auto"/>
                <w:sz w:val="21"/>
                <w:szCs w:val="21"/>
                <w:lang w:eastAsia="zh-CN"/>
              </w:rPr>
              <w:t>施工场地、弃渣场</w:t>
            </w:r>
            <w:r>
              <w:rPr>
                <w:rFonts w:hint="default" w:ascii="Times New Roman" w:hAnsi="Times New Roman" w:cs="Times New Roman"/>
                <w:b w:val="0"/>
                <w:bCs w:val="0"/>
                <w:color w:val="auto"/>
                <w:sz w:val="21"/>
                <w:szCs w:val="21"/>
              </w:rPr>
              <w:t>周边</w:t>
            </w:r>
          </w:p>
        </w:tc>
        <w:tc>
          <w:tcPr>
            <w:tcW w:w="1290" w:type="pct"/>
            <w:noWrap w:val="0"/>
            <w:tcMar>
              <w:left w:w="0" w:type="dxa"/>
              <w:right w:w="0" w:type="dxa"/>
            </w:tcMar>
            <w:vAlign w:val="center"/>
          </w:tcPr>
          <w:p>
            <w:pPr>
              <w:pStyle w:val="73"/>
              <w:snapToGrid w:val="0"/>
              <w:spacing w:after="0" w:afterLines="0" w:line="240" w:lineRule="auto"/>
              <w:ind w:firstLine="0" w:firstLineChars="0"/>
              <w:rPr>
                <w:rFonts w:hint="default" w:ascii="Times New Roman" w:hAnsi="Times New Roman" w:eastAsia="宋体" w:cs="Times New Roman"/>
                <w:b w:val="0"/>
                <w:bCs w:val="0"/>
                <w:color w:val="auto"/>
                <w:sz w:val="21"/>
                <w:szCs w:val="21"/>
                <w:lang w:eastAsia="zh-CN"/>
              </w:rPr>
            </w:pPr>
            <w:r>
              <w:rPr>
                <w:rFonts w:hint="default" w:ascii="Times New Roman" w:hAnsi="Times New Roman" w:cs="Times New Roman"/>
                <w:b w:val="0"/>
                <w:bCs w:val="0"/>
                <w:color w:val="auto"/>
                <w:sz w:val="21"/>
                <w:szCs w:val="21"/>
              </w:rPr>
              <w:t>土地占用</w:t>
            </w:r>
            <w:r>
              <w:rPr>
                <w:rFonts w:hint="default" w:ascii="Times New Roman" w:hAnsi="Times New Roman" w:cs="Times New Roman"/>
                <w:b w:val="0"/>
                <w:bCs w:val="0"/>
                <w:color w:val="auto"/>
                <w:sz w:val="21"/>
                <w:szCs w:val="21"/>
                <w:lang w:eastAsia="zh-CN"/>
              </w:rPr>
              <w:t>、</w:t>
            </w:r>
            <w:r>
              <w:rPr>
                <w:rFonts w:hint="default" w:ascii="Times New Roman" w:hAnsi="Times New Roman" w:cs="Times New Roman"/>
                <w:b w:val="0"/>
                <w:bCs w:val="0"/>
                <w:color w:val="auto"/>
                <w:kern w:val="2"/>
                <w:sz w:val="21"/>
                <w:szCs w:val="21"/>
                <w:lang w:val="en-US" w:eastAsia="zh-CN"/>
              </w:rPr>
              <w:t>施工期挖填方及弃土</w:t>
            </w:r>
            <w:r>
              <w:rPr>
                <w:rFonts w:hint="default" w:ascii="Times New Roman" w:hAnsi="Times New Roman" w:cs="Times New Roman"/>
                <w:b w:val="0"/>
                <w:bCs w:val="0"/>
                <w:color w:val="auto"/>
                <w:sz w:val="21"/>
                <w:szCs w:val="21"/>
              </w:rPr>
              <w:t>将造成植被的</w:t>
            </w:r>
            <w:r>
              <w:rPr>
                <w:rFonts w:hint="default" w:ascii="Times New Roman" w:hAnsi="Times New Roman" w:cs="Times New Roman"/>
                <w:b w:val="0"/>
                <w:bCs w:val="0"/>
                <w:color w:val="auto"/>
                <w:sz w:val="21"/>
                <w:szCs w:val="21"/>
                <w:lang w:eastAsia="zh-CN"/>
              </w:rPr>
              <w:t>破坏及</w:t>
            </w:r>
            <w:r>
              <w:rPr>
                <w:rFonts w:hint="default" w:ascii="Times New Roman" w:hAnsi="Times New Roman" w:cs="Times New Roman"/>
                <w:b w:val="0"/>
                <w:bCs w:val="0"/>
                <w:color w:val="auto"/>
                <w:sz w:val="21"/>
                <w:szCs w:val="21"/>
              </w:rPr>
              <w:t>损失。影响时段为施工期</w:t>
            </w:r>
          </w:p>
        </w:tc>
        <w:tc>
          <w:tcPr>
            <w:tcW w:w="1512" w:type="pct"/>
            <w:noWrap w:val="0"/>
            <w:vAlign w:val="center"/>
          </w:tcPr>
          <w:p>
            <w:pPr>
              <w:pStyle w:val="73"/>
              <w:snapToGrid w:val="0"/>
              <w:spacing w:after="0" w:afterLines="0" w:line="240" w:lineRule="auto"/>
              <w:ind w:firstLine="0" w:firstLineChars="0"/>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eastAsia="zh-CN"/>
              </w:rPr>
              <w:t>加强施工环境管理和监理，优化施工方式，减少对植被破坏，</w:t>
            </w:r>
            <w:r>
              <w:rPr>
                <w:rFonts w:hint="default" w:ascii="Times New Roman" w:hAnsi="Times New Roman" w:cs="Times New Roman"/>
                <w:b w:val="0"/>
                <w:bCs w:val="0"/>
                <w:color w:val="auto"/>
                <w:kern w:val="2"/>
                <w:sz w:val="21"/>
                <w:szCs w:val="21"/>
                <w:lang w:eastAsia="zh-CN"/>
              </w:rPr>
              <w:t>施工完成后及时对临时施工场地等进行植被恢复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658" w:type="pct"/>
            <w:noWrap w:val="0"/>
            <w:tcMar>
              <w:left w:w="0" w:type="dxa"/>
              <w:right w:w="0" w:type="dxa"/>
            </w:tcMar>
            <w:vAlign w:val="center"/>
          </w:tcPr>
          <w:p>
            <w:pPr>
              <w:pStyle w:val="73"/>
              <w:snapToGrid w:val="0"/>
              <w:spacing w:after="0" w:afterLines="0" w:line="240" w:lineRule="auto"/>
              <w:ind w:firstLine="0" w:firstLineChars="0"/>
              <w:rPr>
                <w:rFonts w:hint="default" w:ascii="Times New Roman" w:hAnsi="Times New Roman" w:cs="Times New Roman"/>
                <w:b w:val="0"/>
                <w:bCs w:val="0"/>
                <w:color w:val="auto"/>
                <w:kern w:val="2"/>
                <w:sz w:val="21"/>
                <w:szCs w:val="21"/>
                <w:lang w:eastAsia="zh-CN"/>
              </w:rPr>
            </w:pPr>
            <w:r>
              <w:rPr>
                <w:rFonts w:hint="default" w:ascii="Times New Roman" w:hAnsi="Times New Roman" w:cs="Times New Roman"/>
                <w:b w:val="0"/>
                <w:bCs w:val="0"/>
                <w:color w:val="auto"/>
                <w:kern w:val="2"/>
                <w:sz w:val="21"/>
                <w:szCs w:val="21"/>
                <w:lang w:eastAsia="zh-CN"/>
              </w:rPr>
              <w:t>陆生动物</w:t>
            </w:r>
          </w:p>
        </w:tc>
        <w:tc>
          <w:tcPr>
            <w:tcW w:w="1539" w:type="pct"/>
            <w:noWrap w:val="0"/>
            <w:tcMar>
              <w:left w:w="0" w:type="dxa"/>
              <w:right w:w="0" w:type="dxa"/>
            </w:tcMar>
            <w:vAlign w:val="center"/>
          </w:tcPr>
          <w:p>
            <w:pPr>
              <w:pStyle w:val="73"/>
              <w:snapToGrid w:val="0"/>
              <w:spacing w:after="0" w:afterLines="0" w:line="240" w:lineRule="auto"/>
              <w:ind w:firstLine="0" w:firstLineChars="0"/>
              <w:rPr>
                <w:rFonts w:hint="default" w:ascii="Times New Roman" w:hAnsi="Times New Roman" w:cs="Times New Roman"/>
                <w:b w:val="0"/>
                <w:bCs w:val="0"/>
                <w:color w:val="auto"/>
                <w:kern w:val="2"/>
                <w:sz w:val="21"/>
                <w:szCs w:val="21"/>
                <w:lang w:eastAsia="zh-CN"/>
              </w:rPr>
            </w:pPr>
            <w:r>
              <w:rPr>
                <w:rFonts w:hint="default" w:ascii="Times New Roman" w:hAnsi="Times New Roman" w:cs="Times New Roman"/>
                <w:b w:val="0"/>
                <w:bCs w:val="0"/>
                <w:color w:val="auto"/>
                <w:sz w:val="21"/>
                <w:szCs w:val="21"/>
              </w:rPr>
              <w:t>项目主体工程以及</w:t>
            </w:r>
            <w:r>
              <w:rPr>
                <w:rFonts w:hint="default" w:ascii="Times New Roman" w:hAnsi="Times New Roman" w:cs="Times New Roman"/>
                <w:b w:val="0"/>
                <w:bCs w:val="0"/>
                <w:color w:val="auto"/>
                <w:sz w:val="21"/>
                <w:szCs w:val="21"/>
                <w:lang w:eastAsia="zh-CN"/>
              </w:rPr>
              <w:t>施工场地、弃渣场</w:t>
            </w:r>
            <w:r>
              <w:rPr>
                <w:rFonts w:hint="default" w:ascii="Times New Roman" w:hAnsi="Times New Roman" w:cs="Times New Roman"/>
                <w:b w:val="0"/>
                <w:bCs w:val="0"/>
                <w:color w:val="auto"/>
                <w:sz w:val="21"/>
                <w:szCs w:val="21"/>
              </w:rPr>
              <w:t>周边</w:t>
            </w:r>
          </w:p>
        </w:tc>
        <w:tc>
          <w:tcPr>
            <w:tcW w:w="1290" w:type="pct"/>
            <w:noWrap w:val="0"/>
            <w:tcMar>
              <w:left w:w="0" w:type="dxa"/>
              <w:right w:w="0" w:type="dxa"/>
            </w:tcMar>
            <w:vAlign w:val="center"/>
          </w:tcPr>
          <w:p>
            <w:pPr>
              <w:pStyle w:val="73"/>
              <w:snapToGrid w:val="0"/>
              <w:spacing w:after="0" w:afterLines="0" w:line="240" w:lineRule="auto"/>
              <w:ind w:firstLine="0" w:firstLineChars="0"/>
              <w:rPr>
                <w:rFonts w:hint="default" w:ascii="Times New Roman" w:hAnsi="Times New Roman" w:cs="Times New Roman"/>
                <w:b w:val="0"/>
                <w:bCs w:val="0"/>
                <w:color w:val="auto"/>
                <w:kern w:val="2"/>
                <w:sz w:val="21"/>
                <w:szCs w:val="21"/>
                <w:lang w:val="en-US" w:eastAsia="zh-CN"/>
              </w:rPr>
            </w:pPr>
            <w:r>
              <w:rPr>
                <w:rFonts w:hint="default" w:ascii="Times New Roman" w:hAnsi="Times New Roman" w:cs="Times New Roman"/>
                <w:b w:val="0"/>
                <w:bCs w:val="0"/>
                <w:color w:val="auto"/>
                <w:kern w:val="2"/>
                <w:sz w:val="21"/>
                <w:szCs w:val="21"/>
                <w:lang w:val="en-US" w:eastAsia="zh-CN"/>
              </w:rPr>
              <w:t>施工期对其生境的扰动</w:t>
            </w:r>
          </w:p>
        </w:tc>
        <w:tc>
          <w:tcPr>
            <w:tcW w:w="1512" w:type="pct"/>
            <w:noWrap w:val="0"/>
            <w:vAlign w:val="center"/>
          </w:tcPr>
          <w:p>
            <w:pPr>
              <w:pStyle w:val="73"/>
              <w:snapToGrid w:val="0"/>
              <w:spacing w:after="0" w:afterLines="0" w:line="240" w:lineRule="auto"/>
              <w:ind w:firstLine="0" w:firstLineChars="0"/>
              <w:rPr>
                <w:rFonts w:hint="default" w:ascii="Times New Roman" w:hAnsi="Times New Roman" w:cs="Times New Roman"/>
                <w:b w:val="0"/>
                <w:bCs w:val="0"/>
                <w:color w:val="auto"/>
                <w:kern w:val="2"/>
                <w:sz w:val="21"/>
                <w:szCs w:val="21"/>
                <w:lang w:eastAsia="zh-CN"/>
              </w:rPr>
            </w:pPr>
            <w:r>
              <w:rPr>
                <w:rFonts w:hint="default" w:ascii="Times New Roman" w:hAnsi="Times New Roman" w:cs="Times New Roman"/>
                <w:b w:val="0"/>
                <w:bCs w:val="0"/>
                <w:color w:val="auto"/>
                <w:kern w:val="2"/>
                <w:sz w:val="21"/>
                <w:szCs w:val="21"/>
                <w:lang w:eastAsia="zh-CN"/>
              </w:rPr>
              <w:t>加强施工管理，优化施工时间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658" w:type="pct"/>
            <w:noWrap w:val="0"/>
            <w:tcMar>
              <w:left w:w="0" w:type="dxa"/>
              <w:right w:w="0" w:type="dxa"/>
            </w:tcMar>
            <w:vAlign w:val="center"/>
          </w:tcPr>
          <w:p>
            <w:pPr>
              <w:pStyle w:val="73"/>
              <w:snapToGrid w:val="0"/>
              <w:spacing w:after="0" w:afterLines="0" w:line="240" w:lineRule="auto"/>
              <w:ind w:firstLine="0" w:firstLineChars="0"/>
              <w:rPr>
                <w:rFonts w:hint="default" w:ascii="Times New Roman" w:hAnsi="Times New Roman" w:cs="Times New Roman"/>
                <w:b w:val="0"/>
                <w:bCs w:val="0"/>
                <w:color w:val="auto"/>
                <w:kern w:val="2"/>
                <w:sz w:val="21"/>
                <w:szCs w:val="21"/>
              </w:rPr>
            </w:pPr>
            <w:r>
              <w:rPr>
                <w:rFonts w:hint="default" w:ascii="Times New Roman" w:hAnsi="Times New Roman" w:cs="Times New Roman"/>
                <w:b w:val="0"/>
                <w:bCs w:val="0"/>
                <w:color w:val="auto"/>
                <w:kern w:val="2"/>
                <w:sz w:val="21"/>
                <w:szCs w:val="21"/>
              </w:rPr>
              <w:t>水生生物</w:t>
            </w:r>
          </w:p>
        </w:tc>
        <w:tc>
          <w:tcPr>
            <w:tcW w:w="1539" w:type="pct"/>
            <w:noWrap w:val="0"/>
            <w:tcMar>
              <w:left w:w="0" w:type="dxa"/>
              <w:right w:w="0" w:type="dxa"/>
            </w:tcMar>
            <w:vAlign w:val="center"/>
          </w:tcPr>
          <w:p>
            <w:pPr>
              <w:pStyle w:val="73"/>
              <w:snapToGrid w:val="0"/>
              <w:spacing w:after="0" w:afterLines="0" w:line="240" w:lineRule="auto"/>
              <w:ind w:firstLine="0" w:firstLineChars="0"/>
              <w:rPr>
                <w:rFonts w:hint="default" w:ascii="Times New Roman" w:hAnsi="Times New Roman" w:eastAsia="宋体" w:cs="Times New Roman"/>
                <w:b w:val="0"/>
                <w:bCs w:val="0"/>
                <w:color w:val="auto"/>
                <w:kern w:val="2"/>
                <w:sz w:val="21"/>
                <w:szCs w:val="21"/>
                <w:lang w:val="en-US" w:eastAsia="zh-CN"/>
              </w:rPr>
            </w:pPr>
            <w:r>
              <w:rPr>
                <w:rFonts w:hint="eastAsia" w:eastAsia="宋体" w:cs="Times New Roman"/>
                <w:b w:val="0"/>
                <w:bCs w:val="0"/>
                <w:color w:val="auto"/>
                <w:kern w:val="2"/>
                <w:sz w:val="21"/>
                <w:szCs w:val="21"/>
                <w:lang w:val="en-US" w:eastAsia="zh-CN"/>
              </w:rPr>
              <w:t>本项目不涉及涉水施工</w:t>
            </w:r>
          </w:p>
        </w:tc>
        <w:tc>
          <w:tcPr>
            <w:tcW w:w="1290" w:type="pct"/>
            <w:noWrap w:val="0"/>
            <w:tcMar>
              <w:left w:w="0" w:type="dxa"/>
              <w:right w:w="0" w:type="dxa"/>
            </w:tcMar>
            <w:vAlign w:val="center"/>
          </w:tcPr>
          <w:p>
            <w:pPr>
              <w:pStyle w:val="73"/>
              <w:snapToGrid w:val="0"/>
              <w:spacing w:after="0" w:afterLines="0" w:line="240" w:lineRule="auto"/>
              <w:ind w:firstLine="0" w:firstLineChars="0"/>
              <w:rPr>
                <w:rFonts w:hint="default" w:ascii="Times New Roman" w:hAnsi="Times New Roman" w:cs="Times New Roman"/>
                <w:b w:val="0"/>
                <w:bCs w:val="0"/>
                <w:color w:val="auto"/>
                <w:kern w:val="2"/>
                <w:sz w:val="21"/>
                <w:szCs w:val="21"/>
                <w:lang w:val="en-US" w:eastAsia="zh-CN"/>
              </w:rPr>
            </w:pPr>
            <w:r>
              <w:rPr>
                <w:rFonts w:hint="eastAsia" w:cs="Times New Roman"/>
                <w:b w:val="0"/>
                <w:bCs w:val="0"/>
                <w:color w:val="auto"/>
                <w:kern w:val="2"/>
                <w:sz w:val="21"/>
                <w:szCs w:val="21"/>
                <w:lang w:val="en-US" w:eastAsia="zh-CN"/>
              </w:rPr>
              <w:t>/</w:t>
            </w:r>
          </w:p>
        </w:tc>
        <w:tc>
          <w:tcPr>
            <w:tcW w:w="1512" w:type="pct"/>
            <w:noWrap w:val="0"/>
            <w:vAlign w:val="center"/>
          </w:tcPr>
          <w:p>
            <w:pPr>
              <w:pStyle w:val="73"/>
              <w:snapToGrid w:val="0"/>
              <w:spacing w:after="0" w:afterLines="0" w:line="240" w:lineRule="auto"/>
              <w:ind w:firstLine="0" w:firstLineChars="0"/>
              <w:rPr>
                <w:rFonts w:hint="default" w:ascii="Times New Roman" w:hAnsi="Times New Roman" w:eastAsia="宋体" w:cs="Times New Roman"/>
                <w:b w:val="0"/>
                <w:bCs w:val="0"/>
                <w:color w:val="auto"/>
                <w:kern w:val="2"/>
                <w:sz w:val="21"/>
                <w:szCs w:val="21"/>
                <w:lang w:val="en-US" w:eastAsia="zh-CN"/>
              </w:rPr>
            </w:pPr>
            <w:r>
              <w:rPr>
                <w:rFonts w:hint="eastAsia" w:eastAsia="宋体" w:cs="Times New Roman"/>
                <w:b w:val="0"/>
                <w:bCs w:val="0"/>
                <w:color w:val="auto"/>
                <w:kern w:val="2"/>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1123" w:type="dxa"/>
            <w:noWrap w:val="0"/>
            <w:tcMar>
              <w:left w:w="0" w:type="dxa"/>
              <w:right w:w="0" w:type="dxa"/>
            </w:tcMar>
            <w:vAlign w:val="center"/>
          </w:tcPr>
          <w:p>
            <w:pPr>
              <w:pStyle w:val="50"/>
              <w:spacing w:before="0" w:beforeLines="0" w:after="0" w:afterLines="0"/>
              <w:jc w:val="center"/>
              <w:rPr>
                <w:rFonts w:hint="default" w:ascii="Times New Roman" w:hAnsi="Times New Roman" w:eastAsia="宋体" w:cs="Times New Roman"/>
                <w:b w:val="0"/>
                <w:bCs w:val="0"/>
                <w:color w:val="auto"/>
                <w:kern w:val="2"/>
                <w:sz w:val="21"/>
                <w:szCs w:val="21"/>
                <w:u w:val="single"/>
                <w:lang w:val="en-US" w:eastAsia="zh-CN"/>
              </w:rPr>
            </w:pPr>
            <w:r>
              <w:rPr>
                <w:rFonts w:hint="eastAsia"/>
                <w:b w:val="0"/>
                <w:bCs/>
                <w:color w:val="auto"/>
                <w:sz w:val="21"/>
                <w:szCs w:val="21"/>
                <w:lang w:val="en-US" w:eastAsia="zh-CN"/>
              </w:rPr>
              <w:t>湖南东洞庭湖国家级自然保护区实验区</w:t>
            </w:r>
          </w:p>
        </w:tc>
        <w:tc>
          <w:tcPr>
            <w:tcW w:w="2626" w:type="dxa"/>
            <w:noWrap w:val="0"/>
            <w:tcMar>
              <w:left w:w="0" w:type="dxa"/>
              <w:right w:w="0" w:type="dxa"/>
            </w:tcMar>
            <w:vAlign w:val="center"/>
          </w:tcPr>
          <w:p>
            <w:pPr>
              <w:pStyle w:val="50"/>
              <w:spacing w:before="0" w:beforeLines="0" w:after="0" w:afterLines="0"/>
              <w:jc w:val="center"/>
              <w:rPr>
                <w:rFonts w:hint="default" w:ascii="Times New Roman" w:hAnsi="Times New Roman" w:eastAsia="宋体" w:cs="Times New Roman"/>
                <w:b w:val="0"/>
                <w:bCs w:val="0"/>
                <w:color w:val="auto"/>
                <w:kern w:val="2"/>
                <w:sz w:val="21"/>
                <w:szCs w:val="21"/>
                <w:u w:val="single"/>
                <w:lang w:val="en-US" w:eastAsia="zh-CN"/>
              </w:rPr>
            </w:pPr>
            <w:r>
              <w:rPr>
                <w:rFonts w:hint="eastAsia"/>
                <w:b w:val="0"/>
                <w:bCs/>
                <w:color w:val="auto"/>
                <w:sz w:val="21"/>
                <w:szCs w:val="21"/>
                <w:lang w:val="en-US" w:eastAsia="zh-CN"/>
              </w:rPr>
              <w:t>项目位于实验区范围内</w:t>
            </w:r>
          </w:p>
        </w:tc>
        <w:tc>
          <w:tcPr>
            <w:tcW w:w="2201" w:type="dxa"/>
            <w:noWrap w:val="0"/>
            <w:tcMar>
              <w:left w:w="0" w:type="dxa"/>
              <w:right w:w="0" w:type="dxa"/>
            </w:tcMar>
            <w:vAlign w:val="center"/>
          </w:tcPr>
          <w:p>
            <w:pPr>
              <w:pStyle w:val="50"/>
              <w:spacing w:before="0" w:beforeLines="0" w:after="0" w:afterLines="0"/>
              <w:rPr>
                <w:rFonts w:hint="default" w:ascii="Times New Roman" w:hAnsi="Times New Roman" w:eastAsia="宋体" w:cs="Times New Roman"/>
                <w:b w:val="0"/>
                <w:bCs w:val="0"/>
                <w:color w:val="auto"/>
                <w:kern w:val="2"/>
                <w:sz w:val="21"/>
                <w:szCs w:val="21"/>
                <w:u w:val="single"/>
                <w:lang w:val="en-US" w:eastAsia="zh-CN"/>
              </w:rPr>
            </w:pPr>
            <w:r>
              <w:rPr>
                <w:rFonts w:hint="default" w:ascii="Times New Roman" w:hAnsi="Times New Roman" w:cs="Times New Roman"/>
                <w:b w:val="0"/>
                <w:bCs w:val="0"/>
                <w:color w:val="auto"/>
                <w:kern w:val="2"/>
                <w:sz w:val="21"/>
                <w:szCs w:val="21"/>
                <w:lang w:val="en-US" w:eastAsia="zh-CN"/>
              </w:rPr>
              <w:t>施工期对其</w:t>
            </w:r>
            <w:r>
              <w:rPr>
                <w:rFonts w:hint="eastAsia" w:ascii="Times New Roman" w:hAnsi="Times New Roman" w:cs="Times New Roman"/>
                <w:b w:val="0"/>
                <w:bCs w:val="0"/>
                <w:color w:val="auto"/>
                <w:kern w:val="2"/>
                <w:sz w:val="21"/>
                <w:szCs w:val="21"/>
                <w:lang w:val="en-US" w:eastAsia="zh-CN"/>
              </w:rPr>
              <w:t>自然环境的破坏</w:t>
            </w:r>
          </w:p>
        </w:tc>
        <w:tc>
          <w:tcPr>
            <w:tcW w:w="2580" w:type="dxa"/>
            <w:noWrap w:val="0"/>
            <w:vAlign w:val="center"/>
          </w:tcPr>
          <w:p>
            <w:pPr>
              <w:pStyle w:val="50"/>
              <w:spacing w:before="0" w:beforeLines="0" w:after="0" w:afterLines="0"/>
              <w:rPr>
                <w:rFonts w:hint="default" w:ascii="Times New Roman" w:hAnsi="Times New Roman" w:cs="Times New Roman"/>
                <w:b w:val="0"/>
                <w:bCs w:val="0"/>
                <w:color w:val="auto"/>
                <w:kern w:val="2"/>
                <w:sz w:val="21"/>
                <w:szCs w:val="21"/>
                <w:u w:val="single"/>
                <w:lang w:val="en-US" w:eastAsia="zh-CN"/>
              </w:rPr>
            </w:pPr>
            <w:r>
              <w:rPr>
                <w:rFonts w:hint="default"/>
                <w:b w:val="0"/>
                <w:bCs/>
                <w:color w:val="auto"/>
                <w:sz w:val="21"/>
                <w:szCs w:val="21"/>
                <w:lang w:val="en-US" w:eastAsia="zh-CN"/>
              </w:rPr>
              <w:t>有效保护</w:t>
            </w:r>
            <w:r>
              <w:rPr>
                <w:rFonts w:hint="eastAsia"/>
                <w:b w:val="0"/>
                <w:bCs/>
                <w:color w:val="auto"/>
                <w:sz w:val="21"/>
                <w:szCs w:val="21"/>
                <w:lang w:val="en-US" w:eastAsia="zh-CN"/>
              </w:rPr>
              <w:t>周边</w:t>
            </w:r>
            <w:r>
              <w:rPr>
                <w:rFonts w:hint="default"/>
                <w:b w:val="0"/>
                <w:bCs/>
                <w:color w:val="auto"/>
                <w:sz w:val="21"/>
                <w:szCs w:val="21"/>
                <w:lang w:val="en-US" w:eastAsia="zh-CN"/>
              </w:rPr>
              <w:t>生态环境</w:t>
            </w:r>
            <w:r>
              <w:rPr>
                <w:rFonts w:hint="eastAsia"/>
                <w:b w:val="0"/>
                <w:bCs/>
                <w:color w:val="auto"/>
                <w:sz w:val="21"/>
                <w:szCs w:val="21"/>
                <w:lang w:val="en-US" w:eastAsia="zh-CN"/>
              </w:rPr>
              <w:t>不受本项目影响</w:t>
            </w:r>
          </w:p>
        </w:tc>
      </w:tr>
    </w:tbl>
    <w:p>
      <w:pPr>
        <w:widowControl/>
        <w:adjustRightInd w:val="0"/>
        <w:snapToGrid w:val="0"/>
        <w:spacing w:before="0" w:beforeAutospacing="0" w:after="0" w:afterAutospacing="0" w:line="360" w:lineRule="auto"/>
        <w:jc w:val="left"/>
        <w:outlineLvl w:val="0"/>
        <w:rPr>
          <w:rFonts w:ascii="Times New Roman" w:hAnsi="Times New Roman" w:eastAsia="宋体" w:cs="Times New Roman"/>
          <w:b/>
          <w:snapToGrid w:val="0"/>
          <w:color w:val="auto"/>
          <w:kern w:val="0"/>
          <w:sz w:val="30"/>
          <w:szCs w:val="30"/>
          <w:lang w:val="en-US" w:eastAsia="zh-CN" w:bidi="ar-SA"/>
        </w:rPr>
        <w:sectPr>
          <w:footerReference r:id="rId12" w:type="default"/>
          <w:pgSz w:w="11906" w:h="16838"/>
          <w:pgMar w:top="1440" w:right="1800" w:bottom="1440" w:left="1800" w:header="851" w:footer="1077" w:gutter="0"/>
          <w:pgBorders>
            <w:top w:val="none" w:sz="0" w:space="0"/>
            <w:left w:val="none" w:sz="0" w:space="0"/>
            <w:bottom w:val="none" w:sz="0" w:space="0"/>
            <w:right w:val="none" w:sz="0" w:space="0"/>
          </w:pgBorders>
          <w:pgNumType w:start="1"/>
          <w:cols w:space="720" w:num="1"/>
          <w:docGrid w:linePitch="312" w:charSpace="0"/>
        </w:sectPr>
      </w:pPr>
    </w:p>
    <w:p>
      <w:pPr>
        <w:widowControl/>
        <w:adjustRightInd w:val="0"/>
        <w:snapToGrid w:val="0"/>
        <w:spacing w:before="0" w:beforeAutospacing="0" w:after="0" w:afterAutospacing="0" w:line="360" w:lineRule="auto"/>
        <w:jc w:val="left"/>
        <w:outlineLvl w:val="0"/>
        <w:rPr>
          <w:rFonts w:ascii="Times New Roman" w:hAnsi="Times New Roman" w:eastAsia="宋体" w:cs="Times New Roman"/>
          <w:b/>
          <w:snapToGrid w:val="0"/>
          <w:color w:val="auto"/>
          <w:kern w:val="0"/>
          <w:sz w:val="30"/>
          <w:szCs w:val="30"/>
          <w:lang w:val="en-US" w:eastAsia="zh-CN" w:bidi="ar-SA"/>
        </w:rPr>
      </w:pPr>
      <w:bookmarkStart w:id="211" w:name="_Toc12867"/>
      <w:bookmarkStart w:id="212" w:name="_Toc24344"/>
      <w:bookmarkStart w:id="213" w:name="_Toc30542"/>
      <w:r>
        <w:rPr>
          <w:rFonts w:ascii="Times New Roman" w:hAnsi="Times New Roman" w:eastAsia="宋体" w:cs="Times New Roman"/>
          <w:b/>
          <w:snapToGrid w:val="0"/>
          <w:color w:val="auto"/>
          <w:kern w:val="0"/>
          <w:sz w:val="30"/>
          <w:szCs w:val="30"/>
          <w:lang w:val="en-US" w:eastAsia="zh-CN" w:bidi="ar-SA"/>
        </w:rPr>
        <w:t>2项目工程分析</w:t>
      </w:r>
      <w:bookmarkEnd w:id="206"/>
      <w:bookmarkEnd w:id="207"/>
      <w:bookmarkEnd w:id="208"/>
      <w:bookmarkEnd w:id="211"/>
      <w:bookmarkEnd w:id="212"/>
      <w:bookmarkEnd w:id="213"/>
    </w:p>
    <w:p>
      <w:pPr>
        <w:keepNext/>
        <w:widowControl w:val="0"/>
        <w:adjustRightInd w:val="0"/>
        <w:snapToGrid w:val="0"/>
        <w:spacing w:line="360" w:lineRule="auto"/>
        <w:ind w:firstLine="0" w:firstLineChars="0"/>
        <w:jc w:val="both"/>
        <w:outlineLvl w:val="1"/>
        <w:rPr>
          <w:rFonts w:hint="eastAsia" w:ascii="Times New Roman" w:hAnsi="Times New Roman" w:eastAsia="宋体" w:cs="Times New Roman"/>
          <w:b/>
          <w:bCs/>
          <w:color w:val="auto"/>
          <w:kern w:val="2"/>
          <w:sz w:val="28"/>
          <w:szCs w:val="28"/>
          <w:lang w:val="en-US" w:eastAsia="zh-CN" w:bidi="ar-SA"/>
        </w:rPr>
      </w:pPr>
      <w:bookmarkStart w:id="214" w:name="_Toc19403"/>
      <w:bookmarkStart w:id="215" w:name="_Toc27036"/>
      <w:bookmarkStart w:id="216" w:name="_Toc11291"/>
      <w:bookmarkStart w:id="217" w:name="_Toc6415"/>
      <w:bookmarkStart w:id="218" w:name="_Toc20161"/>
      <w:bookmarkStart w:id="219" w:name="_Toc1117"/>
      <w:bookmarkStart w:id="220" w:name="_Toc18260"/>
      <w:bookmarkStart w:id="221" w:name="_Toc15832"/>
      <w:r>
        <w:rPr>
          <w:rFonts w:ascii="Times New Roman" w:hAnsi="Times New Roman" w:eastAsia="宋体" w:cs="Times New Roman"/>
          <w:b/>
          <w:bCs/>
          <w:color w:val="auto"/>
          <w:kern w:val="2"/>
          <w:sz w:val="28"/>
          <w:szCs w:val="28"/>
          <w:lang w:val="en-US" w:eastAsia="zh-CN" w:bidi="ar-SA"/>
        </w:rPr>
        <w:t>2.1</w:t>
      </w:r>
      <w:r>
        <w:rPr>
          <w:rFonts w:hint="eastAsia" w:ascii="Times New Roman" w:hAnsi="Times New Roman" w:eastAsia="宋体" w:cs="Times New Roman"/>
          <w:b/>
          <w:bCs/>
          <w:color w:val="auto"/>
          <w:kern w:val="2"/>
          <w:sz w:val="28"/>
          <w:szCs w:val="28"/>
          <w:lang w:val="en-US" w:eastAsia="zh-CN" w:bidi="ar-SA"/>
        </w:rPr>
        <w:t>项目概况</w:t>
      </w:r>
      <w:bookmarkEnd w:id="214"/>
      <w:bookmarkEnd w:id="215"/>
      <w:bookmarkEnd w:id="216"/>
    </w:p>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firstLine="480" w:firstLineChars="200"/>
        <w:jc w:val="both"/>
        <w:textAlignment w:val="auto"/>
        <w:rPr>
          <w:rFonts w:hint="eastAsia" w:ascii="仿宋" w:hAnsi="仿宋" w:eastAsia="仿宋" w:cs="仿宋"/>
          <w:b w:val="0"/>
          <w:bCs w:val="0"/>
          <w:color w:val="auto"/>
          <w:spacing w:val="0"/>
          <w:kern w:val="0"/>
          <w:sz w:val="28"/>
          <w:szCs w:val="28"/>
          <w:lang w:val="en-US" w:eastAsia="zh-CN" w:bidi="ar"/>
        </w:rPr>
      </w:pPr>
      <w:r>
        <w:rPr>
          <w:rFonts w:hint="eastAsia" w:cs="宋体"/>
          <w:bCs/>
          <w:color w:val="auto"/>
          <w:sz w:val="24"/>
          <w:szCs w:val="21"/>
        </w:rPr>
        <w:t>项目名称：</w:t>
      </w:r>
      <w:r>
        <w:rPr>
          <w:rFonts w:hint="eastAsia" w:ascii="Times New Roman" w:hAnsi="Times New Roman" w:eastAsia="宋体" w:cs="宋体"/>
          <w:bCs/>
          <w:color w:val="auto"/>
          <w:sz w:val="24"/>
          <w:szCs w:val="21"/>
          <w:lang w:val="en-US" w:eastAsia="zh-CN"/>
        </w:rPr>
        <w:t>华容县团洲垸灾后重建安置房建设项目</w:t>
      </w:r>
      <w:r>
        <w:rPr>
          <w:rFonts w:hint="eastAsia" w:cs="宋体"/>
          <w:bCs/>
          <w:color w:val="auto"/>
          <w:sz w:val="24"/>
          <w:szCs w:val="21"/>
          <w:lang w:val="en-US" w:eastAsia="zh-CN"/>
        </w:rPr>
        <w:t>（二期）</w:t>
      </w:r>
      <w:r>
        <w:rPr>
          <w:rFonts w:hint="eastAsia" w:cs="宋体"/>
          <w:bCs/>
          <w:color w:val="auto"/>
          <w:sz w:val="24"/>
          <w:szCs w:val="28"/>
          <w:vertAlign w:val="baseli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cs="宋体"/>
          <w:bCs/>
          <w:color w:val="auto"/>
          <w:sz w:val="24"/>
          <w:szCs w:val="21"/>
        </w:rPr>
      </w:pPr>
      <w:r>
        <w:rPr>
          <w:rFonts w:hint="eastAsia" w:cs="宋体"/>
          <w:bCs/>
          <w:color w:val="auto"/>
          <w:sz w:val="24"/>
          <w:szCs w:val="21"/>
        </w:rPr>
        <w:t>建设性质：新建</w:t>
      </w:r>
      <w:r>
        <w:rPr>
          <w:rFonts w:hint="eastAsia" w:cs="宋体"/>
          <w:bCs/>
          <w:color w:val="auto"/>
          <w:sz w:val="24"/>
          <w:szCs w:val="28"/>
          <w:vertAlign w:val="baseli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eastAsia="宋体" w:cs="宋体"/>
          <w:bCs/>
          <w:color w:val="auto"/>
          <w:sz w:val="24"/>
          <w:szCs w:val="21"/>
          <w:lang w:val="en-US" w:eastAsia="zh-CN"/>
        </w:rPr>
      </w:pPr>
      <w:r>
        <w:rPr>
          <w:rFonts w:hint="eastAsia" w:cs="宋体"/>
          <w:bCs/>
          <w:color w:val="auto"/>
          <w:sz w:val="24"/>
          <w:szCs w:val="21"/>
        </w:rPr>
        <w:t>建设</w:t>
      </w:r>
      <w:r>
        <w:rPr>
          <w:rFonts w:hint="eastAsia" w:ascii="Times New Roman" w:hAnsi="Times New Roman" w:eastAsia="宋体" w:cs="宋体"/>
          <w:bCs/>
          <w:color w:val="auto"/>
          <w:sz w:val="24"/>
          <w:szCs w:val="21"/>
        </w:rPr>
        <w:t>单位：</w:t>
      </w:r>
      <w:r>
        <w:rPr>
          <w:rFonts w:hint="eastAsia" w:cs="宋体"/>
          <w:bCs/>
          <w:color w:val="auto"/>
          <w:sz w:val="24"/>
          <w:szCs w:val="21"/>
          <w:lang w:val="en-US" w:eastAsia="zh-CN"/>
        </w:rPr>
        <w:t>华容县城乡建设事务中心</w:t>
      </w:r>
      <w:r>
        <w:rPr>
          <w:rFonts w:hint="eastAsia" w:cs="宋体"/>
          <w:bCs/>
          <w:color w:val="auto"/>
          <w:sz w:val="24"/>
          <w:szCs w:val="28"/>
          <w:vertAlign w:val="baseli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cs="宋体"/>
          <w:bCs/>
          <w:color w:val="auto"/>
          <w:sz w:val="24"/>
          <w:szCs w:val="21"/>
        </w:rPr>
        <w:t>建设地点：</w:t>
      </w:r>
      <w:r>
        <w:rPr>
          <w:rFonts w:hint="eastAsia" w:ascii="Times New Roman" w:hAnsi="Times New Roman" w:eastAsia="宋体" w:cs="宋体"/>
          <w:bCs/>
          <w:color w:val="auto"/>
          <w:sz w:val="24"/>
          <w:szCs w:val="21"/>
          <w:lang w:val="en-US" w:eastAsia="zh-CN"/>
        </w:rPr>
        <w:t>项目建设地点位于华容县团洲安全垸内团洲花园小区</w:t>
      </w:r>
      <w:r>
        <w:rPr>
          <w:rFonts w:hint="eastAsia" w:cs="宋体"/>
          <w:bCs/>
          <w:color w:val="auto"/>
          <w:sz w:val="24"/>
          <w:szCs w:val="21"/>
          <w:lang w:val="en-US" w:eastAsia="zh-CN"/>
        </w:rPr>
        <w:t>东</w:t>
      </w:r>
      <w:r>
        <w:rPr>
          <w:rFonts w:hint="eastAsia" w:ascii="Times New Roman" w:hAnsi="Times New Roman" w:eastAsia="宋体" w:cs="宋体"/>
          <w:bCs/>
          <w:color w:val="auto"/>
          <w:sz w:val="24"/>
          <w:szCs w:val="21"/>
          <w:lang w:val="en-US" w:eastAsia="zh-CN"/>
        </w:rPr>
        <w:t>侧</w:t>
      </w:r>
      <w:r>
        <w:rPr>
          <w:rFonts w:hint="eastAsia" w:cs="宋体"/>
          <w:bCs/>
          <w:color w:val="auto"/>
          <w:sz w:val="24"/>
          <w:szCs w:val="21"/>
          <w:lang w:val="en-US" w:eastAsia="zh-CN"/>
        </w:rPr>
        <w:t>，南电排渠西侧</w:t>
      </w:r>
      <w:r>
        <w:rPr>
          <w:rFonts w:hint="eastAsia" w:cs="宋体"/>
          <w:bCs/>
          <w:color w:val="auto"/>
          <w:sz w:val="24"/>
          <w:szCs w:val="28"/>
          <w:vertAlign w:val="baseli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s="宋体"/>
          <w:bCs/>
          <w:color w:val="auto"/>
          <w:sz w:val="24"/>
          <w:szCs w:val="21"/>
          <w:lang w:eastAsia="zh-CN"/>
        </w:rPr>
      </w:pPr>
      <w:r>
        <w:rPr>
          <w:rFonts w:hint="eastAsia" w:ascii="Times New Roman" w:hAnsi="Times New Roman" w:eastAsia="宋体" w:cs="宋体"/>
          <w:bCs/>
          <w:color w:val="auto"/>
          <w:sz w:val="24"/>
          <w:szCs w:val="21"/>
          <w:lang w:val="en-US" w:eastAsia="zh-CN"/>
        </w:rPr>
        <w:t>中心坐标：</w:t>
      </w:r>
      <w:r>
        <w:rPr>
          <w:rFonts w:hint="eastAsia" w:ascii="Times New Roman" w:hAnsi="Times New Roman" w:cs="宋体"/>
          <w:color w:val="auto"/>
          <w:sz w:val="24"/>
          <w:szCs w:val="21"/>
          <w:highlight w:val="none"/>
          <w:lang w:val="en-US" w:eastAsia="zh-CN"/>
        </w:rPr>
        <w:t>东经 112.</w:t>
      </w:r>
      <w:r>
        <w:rPr>
          <w:rFonts w:hint="eastAsia" w:cs="宋体"/>
          <w:color w:val="auto"/>
          <w:sz w:val="24"/>
          <w:szCs w:val="21"/>
          <w:highlight w:val="none"/>
          <w:lang w:val="en-US" w:eastAsia="zh-CN"/>
        </w:rPr>
        <w:t>798150E</w:t>
      </w:r>
      <w:r>
        <w:rPr>
          <w:rFonts w:hint="eastAsia" w:ascii="Times New Roman" w:hAnsi="Times New Roman" w:cs="宋体"/>
          <w:color w:val="auto"/>
          <w:sz w:val="24"/>
          <w:szCs w:val="21"/>
          <w:highlight w:val="none"/>
          <w:lang w:val="en-US" w:eastAsia="zh-CN"/>
        </w:rPr>
        <w:t>；北纬2</w:t>
      </w:r>
      <w:r>
        <w:rPr>
          <w:rFonts w:hint="eastAsia" w:cs="宋体"/>
          <w:color w:val="auto"/>
          <w:sz w:val="24"/>
          <w:szCs w:val="21"/>
          <w:highlight w:val="none"/>
          <w:lang w:val="en-US" w:eastAsia="zh-CN"/>
        </w:rPr>
        <w:t>9.336444N</w:t>
      </w:r>
      <w:r>
        <w:rPr>
          <w:rFonts w:hint="eastAsia" w:cs="宋体"/>
          <w:bCs/>
          <w:color w:val="auto"/>
          <w:sz w:val="24"/>
          <w:szCs w:val="28"/>
          <w:vertAlign w:val="baseli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1"/>
        </w:rPr>
      </w:pPr>
      <w:r>
        <w:rPr>
          <w:rFonts w:hint="eastAsia" w:cs="宋体"/>
          <w:bCs/>
          <w:color w:val="auto"/>
          <w:sz w:val="24"/>
          <w:szCs w:val="21"/>
        </w:rPr>
        <w:t>项目投资：总投</w:t>
      </w:r>
      <w:r>
        <w:rPr>
          <w:rFonts w:hint="eastAsia" w:cs="宋体"/>
          <w:bCs/>
          <w:color w:val="auto"/>
          <w:sz w:val="24"/>
          <w:szCs w:val="21"/>
          <w:lang w:val="en-US" w:eastAsia="zh-CN"/>
        </w:rPr>
        <w:t>资19995万元，其中环保投资</w:t>
      </w:r>
      <w:r>
        <w:rPr>
          <w:rFonts w:hint="eastAsia" w:cs="宋体"/>
          <w:bCs/>
          <w:color w:val="auto"/>
          <w:sz w:val="24"/>
          <w:szCs w:val="21"/>
          <w:highlight w:val="none"/>
          <w:lang w:val="en-US" w:eastAsia="zh-CN"/>
        </w:rPr>
        <w:t>158万元，占</w:t>
      </w:r>
      <w:r>
        <w:rPr>
          <w:rFonts w:hint="eastAsia" w:cs="宋体"/>
          <w:bCs/>
          <w:color w:val="auto"/>
          <w:sz w:val="24"/>
          <w:szCs w:val="21"/>
          <w:lang w:val="en-US" w:eastAsia="zh-CN"/>
        </w:rPr>
        <w:t>总投资的0.79%，本项目的资金来源由县财政整合相关救灾补助资金、危房改造项目资金、社会捐赠资金和受灾群众部分自筹组成</w:t>
      </w:r>
      <w:r>
        <w:rPr>
          <w:rFonts w:hint="eastAsia" w:cs="宋体"/>
          <w:bCs/>
          <w:color w:val="auto"/>
          <w:sz w:val="24"/>
          <w:szCs w:val="28"/>
          <w:vertAlign w:val="baseli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cs="宋体"/>
          <w:bCs/>
          <w:color w:val="auto"/>
          <w:sz w:val="24"/>
          <w:szCs w:val="21"/>
        </w:rPr>
      </w:pPr>
      <w:r>
        <w:rPr>
          <w:rFonts w:hint="eastAsia" w:cs="宋体"/>
          <w:bCs/>
          <w:color w:val="auto"/>
          <w:sz w:val="24"/>
          <w:szCs w:val="21"/>
        </w:rPr>
        <w:t>占地面积：约</w:t>
      </w:r>
      <w:r>
        <w:rPr>
          <w:rFonts w:hint="eastAsia" w:cs="宋体"/>
          <w:bCs/>
          <w:color w:val="auto"/>
          <w:sz w:val="24"/>
          <w:szCs w:val="21"/>
          <w:lang w:val="en-US" w:eastAsia="zh-CN"/>
        </w:rPr>
        <w:t>57672</w:t>
      </w:r>
      <w:r>
        <w:rPr>
          <w:rFonts w:hint="eastAsia" w:cs="宋体"/>
          <w:bCs/>
          <w:color w:val="auto"/>
          <w:sz w:val="24"/>
          <w:szCs w:val="21"/>
        </w:rPr>
        <w:t>m</w:t>
      </w:r>
      <w:r>
        <w:rPr>
          <w:rFonts w:hint="eastAsia" w:cs="宋体"/>
          <w:bCs/>
          <w:color w:val="auto"/>
          <w:sz w:val="24"/>
          <w:szCs w:val="28"/>
          <w:vertAlign w:val="superscript"/>
        </w:rPr>
        <w:t>2</w:t>
      </w:r>
      <w:r>
        <w:rPr>
          <w:rFonts w:hint="eastAsia" w:cs="宋体"/>
          <w:bCs/>
          <w:color w:val="auto"/>
          <w:sz w:val="24"/>
          <w:szCs w:val="21"/>
        </w:rPr>
        <w:t>，总建筑面积约</w:t>
      </w:r>
      <w:r>
        <w:rPr>
          <w:rFonts w:hint="eastAsia" w:cs="宋体"/>
          <w:bCs/>
          <w:color w:val="auto"/>
          <w:sz w:val="24"/>
          <w:szCs w:val="21"/>
          <w:lang w:val="en-US" w:eastAsia="zh-CN"/>
        </w:rPr>
        <w:t>79862.49</w:t>
      </w:r>
      <w:r>
        <w:rPr>
          <w:rFonts w:hint="eastAsia" w:cs="宋体"/>
          <w:bCs/>
          <w:color w:val="auto"/>
          <w:sz w:val="24"/>
          <w:szCs w:val="21"/>
        </w:rPr>
        <w:t>m</w:t>
      </w:r>
      <w:r>
        <w:rPr>
          <w:rFonts w:hint="eastAsia" w:cs="宋体"/>
          <w:bCs/>
          <w:color w:val="auto"/>
          <w:sz w:val="24"/>
          <w:szCs w:val="28"/>
          <w:vertAlign w:val="superscript"/>
        </w:rPr>
        <w:t>2</w:t>
      </w:r>
      <w:r>
        <w:rPr>
          <w:rFonts w:hint="eastAsia" w:cs="宋体"/>
          <w:bCs/>
          <w:color w:val="auto"/>
          <w:sz w:val="24"/>
          <w:szCs w:val="28"/>
          <w:vertAlign w:val="baseline"/>
          <w:lang w:eastAsia="zh-CN"/>
        </w:rPr>
        <w:t>。</w:t>
      </w:r>
    </w:p>
    <w:p>
      <w:pPr>
        <w:widowControl w:val="0"/>
        <w:adjustRightInd w:val="0"/>
        <w:snapToGrid w:val="0"/>
        <w:spacing w:line="360" w:lineRule="auto"/>
        <w:ind w:firstLine="480" w:firstLineChars="200"/>
        <w:jc w:val="both"/>
        <w:rPr>
          <w:rFonts w:hint="eastAsia"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宋体"/>
          <w:bCs/>
          <w:color w:val="auto"/>
          <w:sz w:val="24"/>
          <w:szCs w:val="21"/>
          <w:lang w:val="en-US" w:eastAsia="zh-CN"/>
        </w:rPr>
        <w:t>建设进度：</w:t>
      </w:r>
      <w:r>
        <w:rPr>
          <w:rFonts w:hint="eastAsia" w:ascii="Times New Roman" w:hAnsi="Times New Roman" w:eastAsia="宋体" w:cs="宋体"/>
          <w:bCs/>
          <w:color w:val="auto"/>
          <w:sz w:val="24"/>
          <w:szCs w:val="21"/>
          <w:lang w:val="en-US" w:eastAsia="zh-CN"/>
        </w:rPr>
        <w:t>项目为灾后重建应急工程，为尽快使受灾人民恢复正常生产生活秩序，项目已提前施工，目前项目已建成，目前暂没有住户入住</w:t>
      </w:r>
      <w:r>
        <w:rPr>
          <w:rFonts w:hint="default" w:ascii="Times New Roman" w:hAnsi="Times New Roman" w:eastAsia="宋体" w:cs="Times New Roman"/>
          <w:color w:val="auto"/>
          <w:kern w:val="2"/>
          <w:sz w:val="24"/>
          <w:szCs w:val="24"/>
          <w:u w:val="none"/>
          <w:lang w:val="en-US" w:eastAsia="zh-CN" w:bidi="ar-SA"/>
        </w:rPr>
        <w:t>。</w:t>
      </w:r>
    </w:p>
    <w:p>
      <w:pPr>
        <w:keepNext/>
        <w:widowControl w:val="0"/>
        <w:adjustRightInd w:val="0"/>
        <w:snapToGrid w:val="0"/>
        <w:spacing w:line="360" w:lineRule="auto"/>
        <w:ind w:firstLine="0" w:firstLineChars="0"/>
        <w:jc w:val="both"/>
        <w:outlineLvl w:val="1"/>
        <w:rPr>
          <w:rFonts w:ascii="Times New Roman" w:hAnsi="Times New Roman" w:eastAsia="宋体" w:cs="Times New Roman"/>
          <w:b/>
          <w:bCs/>
          <w:color w:val="auto"/>
          <w:kern w:val="2"/>
          <w:sz w:val="28"/>
          <w:szCs w:val="28"/>
          <w:lang w:val="en-US" w:eastAsia="zh-CN" w:bidi="ar-SA"/>
        </w:rPr>
      </w:pPr>
      <w:bookmarkStart w:id="222" w:name="_Toc1717"/>
      <w:bookmarkStart w:id="223" w:name="_Toc25875"/>
      <w:bookmarkStart w:id="224" w:name="_Toc1418"/>
      <w:r>
        <w:rPr>
          <w:rFonts w:hint="eastAsia" w:ascii="Times New Roman" w:hAnsi="Times New Roman" w:eastAsia="宋体" w:cs="Times New Roman"/>
          <w:b/>
          <w:bCs/>
          <w:color w:val="auto"/>
          <w:kern w:val="2"/>
          <w:sz w:val="28"/>
          <w:szCs w:val="28"/>
          <w:lang w:val="en-US" w:eastAsia="zh-CN" w:bidi="ar-SA"/>
        </w:rPr>
        <w:t>2.2</w:t>
      </w:r>
      <w:r>
        <w:rPr>
          <w:rFonts w:ascii="Times New Roman" w:hAnsi="Times New Roman" w:eastAsia="宋体" w:cs="Times New Roman"/>
          <w:b/>
          <w:bCs/>
          <w:color w:val="auto"/>
          <w:kern w:val="2"/>
          <w:sz w:val="28"/>
          <w:szCs w:val="28"/>
          <w:lang w:val="en-US" w:eastAsia="zh-CN" w:bidi="ar-SA"/>
        </w:rPr>
        <w:t>工程建设内容</w:t>
      </w:r>
      <w:bookmarkEnd w:id="217"/>
      <w:bookmarkEnd w:id="218"/>
      <w:bookmarkEnd w:id="219"/>
      <w:bookmarkEnd w:id="220"/>
      <w:bookmarkEnd w:id="221"/>
      <w:bookmarkEnd w:id="222"/>
      <w:bookmarkEnd w:id="223"/>
      <w:bookmarkEnd w:id="224"/>
    </w:p>
    <w:p>
      <w:pPr>
        <w:adjustRightInd w:val="0"/>
        <w:snapToGrid w:val="0"/>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rPr>
        <w:t>项目工程建设内容</w:t>
      </w:r>
      <w:r>
        <w:rPr>
          <w:rFonts w:ascii="Times New Roman" w:hAnsi="Times New Roman" w:eastAsia="宋体" w:cs="Times New Roman"/>
          <w:color w:val="auto"/>
          <w:sz w:val="24"/>
        </w:rPr>
        <w:t>详见</w:t>
      </w:r>
      <w:r>
        <w:rPr>
          <w:rFonts w:hint="eastAsia" w:ascii="Times New Roman" w:hAnsi="Times New Roman" w:eastAsia="宋体" w:cs="Times New Roman"/>
          <w:color w:val="auto"/>
          <w:sz w:val="24"/>
        </w:rPr>
        <w:t>本</w:t>
      </w:r>
      <w:r>
        <w:rPr>
          <w:rFonts w:ascii="Times New Roman" w:hAnsi="Times New Roman" w:eastAsia="宋体" w:cs="Times New Roman"/>
          <w:color w:val="auto"/>
          <w:sz w:val="24"/>
        </w:rPr>
        <w:t>报告表中第二章节。</w:t>
      </w:r>
    </w:p>
    <w:p>
      <w:pPr>
        <w:keepNext/>
        <w:widowControl w:val="0"/>
        <w:overflowPunct w:val="0"/>
        <w:adjustRightInd w:val="0"/>
        <w:snapToGrid w:val="0"/>
        <w:spacing w:before="0" w:after="0" w:line="360" w:lineRule="auto"/>
        <w:ind w:left="0" w:firstLine="0"/>
        <w:jc w:val="both"/>
        <w:outlineLvl w:val="0"/>
        <w:rPr>
          <w:rFonts w:ascii="Times New Roman" w:hAnsi="Times New Roman" w:eastAsia="黑体" w:cs="Times New Roman"/>
          <w:b/>
          <w:bCs/>
          <w:color w:val="auto"/>
          <w:kern w:val="44"/>
          <w:sz w:val="30"/>
          <w:szCs w:val="30"/>
          <w:u w:val="single"/>
          <w:lang w:val="en-US" w:eastAsia="zh-CN" w:bidi="ar-SA"/>
        </w:rPr>
      </w:pPr>
      <w:r>
        <w:rPr>
          <w:rFonts w:ascii="Times New Roman" w:hAnsi="Times New Roman" w:eastAsia="黑体" w:cs="Times New Roman"/>
          <w:b/>
          <w:bCs/>
          <w:color w:val="auto"/>
          <w:kern w:val="44"/>
          <w:sz w:val="30"/>
          <w:szCs w:val="30"/>
          <w:lang w:val="en-US" w:eastAsia="zh-CN" w:bidi="ar-SA"/>
        </w:rPr>
        <w:br w:type="page"/>
      </w:r>
      <w:bookmarkStart w:id="225" w:name="_Toc1655"/>
      <w:bookmarkStart w:id="226" w:name="_Toc17428"/>
      <w:bookmarkStart w:id="227" w:name="_Toc2504"/>
      <w:bookmarkStart w:id="228" w:name="_Toc26877"/>
      <w:bookmarkStart w:id="229" w:name="_Toc11734"/>
      <w:bookmarkStart w:id="230" w:name="_Toc28057"/>
      <w:r>
        <w:rPr>
          <w:rFonts w:ascii="Times New Roman" w:hAnsi="Times New Roman" w:eastAsia="宋体" w:cs="Times New Roman"/>
          <w:b/>
          <w:bCs w:val="0"/>
          <w:snapToGrid w:val="0"/>
          <w:color w:val="auto"/>
          <w:kern w:val="0"/>
          <w:sz w:val="30"/>
          <w:szCs w:val="30"/>
          <w:lang w:val="en-US" w:eastAsia="zh-CN" w:bidi="ar-SA"/>
        </w:rPr>
        <w:t>3生态环境现状调查与评价</w:t>
      </w:r>
      <w:bookmarkEnd w:id="209"/>
      <w:bookmarkEnd w:id="210"/>
      <w:bookmarkEnd w:id="225"/>
      <w:bookmarkEnd w:id="226"/>
      <w:bookmarkEnd w:id="227"/>
      <w:bookmarkEnd w:id="228"/>
      <w:bookmarkEnd w:id="229"/>
      <w:bookmarkEnd w:id="230"/>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bookmarkStart w:id="231" w:name="_Toc28113"/>
      <w:bookmarkStart w:id="232" w:name="_Toc24962"/>
      <w:bookmarkStart w:id="233" w:name="_Toc1083"/>
      <w:bookmarkStart w:id="234" w:name="_Toc3320"/>
      <w:bookmarkStart w:id="235" w:name="_Toc32502"/>
      <w:bookmarkStart w:id="236" w:name="_Toc21211"/>
      <w:bookmarkStart w:id="237" w:name="_Toc19759"/>
      <w:bookmarkStart w:id="238" w:name="_Toc25187"/>
      <w:bookmarkStart w:id="239" w:name="_Toc2011"/>
      <w:r>
        <w:rPr>
          <w:rFonts w:hint="eastAsia" w:ascii="Times New Roman" w:hAnsi="Times New Roman" w:eastAsia="宋体" w:cs="宋体"/>
          <w:bCs/>
          <w:color w:val="auto"/>
          <w:sz w:val="24"/>
          <w:szCs w:val="21"/>
          <w:lang w:val="en-US" w:eastAsia="zh-CN"/>
        </w:rPr>
        <w:t>本项目与2025年3月委托湖南</w:t>
      </w:r>
      <w:r>
        <w:rPr>
          <w:rFonts w:hint="default" w:ascii="Times New Roman" w:hAnsi="Times New Roman" w:eastAsia="宋体" w:cs="宋体"/>
          <w:bCs/>
          <w:color w:val="auto"/>
          <w:sz w:val="24"/>
          <w:szCs w:val="21"/>
          <w:lang w:val="en-US" w:eastAsia="zh-CN"/>
        </w:rPr>
        <w:t>绿湘生态科技有限公司</w:t>
      </w:r>
      <w:r>
        <w:rPr>
          <w:rFonts w:hint="eastAsia" w:ascii="Times New Roman" w:hAnsi="Times New Roman" w:eastAsia="宋体" w:cs="宋体"/>
          <w:bCs/>
          <w:color w:val="auto"/>
          <w:sz w:val="24"/>
          <w:szCs w:val="21"/>
          <w:lang w:val="en-US" w:eastAsia="zh-CN"/>
        </w:rPr>
        <w:t>进行了《</w:t>
      </w:r>
      <w:r>
        <w:rPr>
          <w:rFonts w:hint="default" w:ascii="Times New Roman" w:hAnsi="Times New Roman" w:eastAsia="宋体" w:cs="宋体"/>
          <w:bCs/>
          <w:color w:val="auto"/>
          <w:sz w:val="24"/>
          <w:szCs w:val="21"/>
          <w:lang w:val="en-US" w:eastAsia="zh-CN"/>
        </w:rPr>
        <w:t>华容县团洲垸决口灾后农村居民集中安置房项目</w:t>
      </w:r>
      <w:r>
        <w:rPr>
          <w:rFonts w:hint="eastAsia" w:ascii="Times New Roman" w:hAnsi="Times New Roman" w:eastAsia="宋体" w:cs="宋体"/>
          <w:bCs/>
          <w:color w:val="auto"/>
          <w:sz w:val="24"/>
          <w:szCs w:val="21"/>
          <w:lang w:val="en-US" w:eastAsia="zh-CN"/>
        </w:rPr>
        <w:t>对湖南东洞庭湖国家级自然保护区生物多样性影响评价报告》并已通过湖南省林业局审查（详见附件</w:t>
      </w:r>
      <w:r>
        <w:rPr>
          <w:rFonts w:hint="eastAsia" w:cs="宋体"/>
          <w:bCs/>
          <w:color w:val="auto"/>
          <w:sz w:val="24"/>
          <w:szCs w:val="21"/>
          <w:lang w:val="en-US" w:eastAsia="zh-CN"/>
        </w:rPr>
        <w:t>中</w:t>
      </w:r>
      <w:r>
        <w:rPr>
          <w:rFonts w:hint="eastAsia" w:ascii="Times New Roman" w:hAnsi="Times New Roman" w:eastAsia="宋体" w:cs="宋体"/>
          <w:bCs/>
          <w:color w:val="auto"/>
          <w:sz w:val="24"/>
          <w:szCs w:val="21"/>
          <w:lang w:val="en-US" w:eastAsia="zh-CN"/>
        </w:rPr>
        <w:t xml:space="preserve"> </w:t>
      </w:r>
      <w:r>
        <w:rPr>
          <w:rFonts w:hint="default" w:ascii="Times New Roman" w:hAnsi="Times New Roman" w:eastAsia="宋体" w:cs="宋体"/>
          <w:bCs/>
          <w:color w:val="auto"/>
          <w:sz w:val="24"/>
          <w:szCs w:val="21"/>
          <w:lang w:val="en-US" w:eastAsia="zh-CN"/>
        </w:rPr>
        <w:t>湘林保函〔2025〕13号</w:t>
      </w:r>
      <w:r>
        <w:rPr>
          <w:rFonts w:hint="eastAsia" w:cs="宋体"/>
          <w:bCs/>
          <w:color w:val="auto"/>
          <w:sz w:val="24"/>
          <w:szCs w:val="21"/>
          <w:lang w:val="en-US" w:eastAsia="zh-CN"/>
        </w:rPr>
        <w:t>文件</w:t>
      </w:r>
      <w:r>
        <w:rPr>
          <w:rFonts w:hint="eastAsia" w:ascii="Times New Roman" w:hAnsi="Times New Roman" w:eastAsia="宋体" w:cs="宋体"/>
          <w:bCs/>
          <w:color w:val="auto"/>
          <w:sz w:val="24"/>
          <w:szCs w:val="21"/>
          <w:lang w:val="en-US" w:eastAsia="zh-CN"/>
        </w:rPr>
        <w:t>），本次</w:t>
      </w:r>
      <w:r>
        <w:rPr>
          <w:rFonts w:hint="eastAsia" w:cs="宋体"/>
          <w:bCs/>
          <w:color w:val="auto"/>
          <w:sz w:val="24"/>
          <w:szCs w:val="21"/>
          <w:lang w:val="en-US" w:eastAsia="zh-CN"/>
        </w:rPr>
        <w:t>生态环境现状</w:t>
      </w:r>
      <w:r>
        <w:rPr>
          <w:rFonts w:hint="eastAsia" w:ascii="Times New Roman" w:hAnsi="Times New Roman" w:eastAsia="宋体" w:cs="宋体"/>
          <w:bCs/>
          <w:color w:val="auto"/>
          <w:sz w:val="24"/>
          <w:szCs w:val="21"/>
          <w:lang w:val="en-US" w:eastAsia="zh-CN"/>
        </w:rPr>
        <w:t>评价部分引用</w:t>
      </w:r>
      <w:r>
        <w:rPr>
          <w:rFonts w:hint="eastAsia" w:cs="宋体"/>
          <w:bCs/>
          <w:color w:val="auto"/>
          <w:sz w:val="24"/>
          <w:szCs w:val="21"/>
          <w:lang w:val="en-US" w:eastAsia="zh-CN"/>
        </w:rPr>
        <w:t>该</w:t>
      </w:r>
      <w:r>
        <w:rPr>
          <w:rFonts w:hint="eastAsia" w:ascii="Times New Roman" w:hAnsi="Times New Roman" w:eastAsia="宋体" w:cs="宋体"/>
          <w:bCs/>
          <w:color w:val="auto"/>
          <w:sz w:val="24"/>
          <w:szCs w:val="21"/>
          <w:lang w:val="en-US" w:eastAsia="zh-CN"/>
        </w:rPr>
        <w:t>评价报告中相关内容</w:t>
      </w:r>
    </w:p>
    <w:p>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lang w:val="en-US" w:eastAsia="zh-CN" w:bidi="ar-SA"/>
        </w:rPr>
      </w:pPr>
      <w:bookmarkStart w:id="240" w:name="_Toc16249"/>
      <w:r>
        <w:rPr>
          <w:rFonts w:ascii="Times New Roman" w:hAnsi="Times New Roman" w:eastAsia="宋体" w:cs="Times New Roman"/>
          <w:b/>
          <w:bCs/>
          <w:color w:val="auto"/>
          <w:kern w:val="2"/>
          <w:sz w:val="28"/>
          <w:szCs w:val="28"/>
          <w:lang w:val="en-US" w:eastAsia="zh-CN" w:bidi="ar-SA"/>
        </w:rPr>
        <w:t>3.1</w:t>
      </w:r>
      <w:r>
        <w:rPr>
          <w:rFonts w:hint="eastAsia" w:ascii="Times New Roman" w:hAnsi="Times New Roman" w:eastAsia="宋体" w:cs="Times New Roman"/>
          <w:b/>
          <w:bCs/>
          <w:color w:val="auto"/>
          <w:kern w:val="2"/>
          <w:sz w:val="28"/>
          <w:szCs w:val="28"/>
          <w:lang w:val="en-US" w:eastAsia="zh-CN" w:bidi="ar-SA"/>
        </w:rPr>
        <w:t>土地利用现状</w:t>
      </w:r>
      <w:bookmarkEnd w:id="231"/>
      <w:bookmarkEnd w:id="232"/>
      <w:bookmarkEnd w:id="240"/>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highlight w:val="none"/>
          <w:lang w:val="en-US" w:eastAsia="zh-CN"/>
        </w:rPr>
      </w:pPr>
      <w:bookmarkStart w:id="241" w:name="_Toc16185"/>
      <w:bookmarkStart w:id="242" w:name="_Toc20615"/>
      <w:r>
        <w:rPr>
          <w:rFonts w:hint="default" w:ascii="Times New Roman" w:hAnsi="Times New Roman" w:eastAsia="宋体" w:cs="宋体"/>
          <w:bCs/>
          <w:color w:val="auto"/>
          <w:sz w:val="24"/>
          <w:szCs w:val="21"/>
          <w:highlight w:val="none"/>
          <w:lang w:val="en-US" w:eastAsia="zh-CN"/>
        </w:rPr>
        <w:t>根据规划，本工程项目永久占地</w:t>
      </w:r>
      <w:r>
        <w:rPr>
          <w:rFonts w:hint="eastAsia" w:cs="宋体"/>
          <w:bCs/>
          <w:color w:val="auto"/>
          <w:sz w:val="24"/>
          <w:szCs w:val="21"/>
          <w:highlight w:val="none"/>
          <w:lang w:val="en-US" w:eastAsia="zh-CN"/>
        </w:rPr>
        <w:t>57672</w:t>
      </w:r>
      <w:r>
        <w:rPr>
          <w:rFonts w:hint="default" w:ascii="Times New Roman" w:hAnsi="Times New Roman" w:eastAsia="宋体" w:cs="宋体"/>
          <w:bCs/>
          <w:color w:val="auto"/>
          <w:sz w:val="24"/>
          <w:szCs w:val="21"/>
          <w:highlight w:val="none"/>
          <w:lang w:val="en-US" w:eastAsia="zh-CN"/>
        </w:rPr>
        <w:t>m</w:t>
      </w:r>
      <w:r>
        <w:rPr>
          <w:rFonts w:hint="default" w:ascii="Times New Roman" w:hAnsi="Times New Roman" w:eastAsia="宋体" w:cs="宋体"/>
          <w:bCs/>
          <w:color w:val="auto"/>
          <w:sz w:val="24"/>
          <w:szCs w:val="21"/>
          <w:highlight w:val="none"/>
          <w:vertAlign w:val="superscript"/>
          <w:lang w:val="en-US" w:eastAsia="zh-CN"/>
        </w:rPr>
        <w:t>2</w:t>
      </w:r>
      <w:r>
        <w:rPr>
          <w:rFonts w:hint="default" w:ascii="Times New Roman" w:hAnsi="Times New Roman" w:eastAsia="宋体" w:cs="宋体"/>
          <w:bCs/>
          <w:color w:val="auto"/>
          <w:sz w:val="24"/>
          <w:szCs w:val="21"/>
          <w:highlight w:val="none"/>
          <w:lang w:val="en-US" w:eastAsia="zh-CN"/>
        </w:rPr>
        <w:t>，占地类型主要为</w:t>
      </w:r>
      <w:r>
        <w:rPr>
          <w:rFonts w:hint="eastAsia" w:cs="宋体"/>
          <w:bCs/>
          <w:color w:val="auto"/>
          <w:sz w:val="24"/>
          <w:szCs w:val="21"/>
          <w:highlight w:val="none"/>
          <w:lang w:val="en-US" w:eastAsia="zh-CN"/>
        </w:rPr>
        <w:t>耕地</w:t>
      </w:r>
      <w:r>
        <w:rPr>
          <w:rFonts w:hint="default" w:ascii="Times New Roman" w:hAnsi="Times New Roman" w:eastAsia="宋体" w:cs="宋体"/>
          <w:bCs/>
          <w:color w:val="auto"/>
          <w:sz w:val="24"/>
          <w:szCs w:val="21"/>
          <w:highlight w:val="none"/>
          <w:lang w:val="en-US" w:eastAsia="zh-CN"/>
        </w:rPr>
        <w:t>，</w:t>
      </w:r>
      <w:r>
        <w:rPr>
          <w:rFonts w:hint="eastAsia" w:cs="宋体"/>
          <w:bCs/>
          <w:color w:val="auto"/>
          <w:sz w:val="24"/>
          <w:szCs w:val="21"/>
          <w:highlight w:val="none"/>
          <w:lang w:val="en-US" w:eastAsia="zh-CN"/>
        </w:rPr>
        <w:t>占用面积约47898</w:t>
      </w:r>
      <w:r>
        <w:rPr>
          <w:rFonts w:hint="default" w:ascii="Times New Roman" w:hAnsi="Times New Roman" w:eastAsia="宋体" w:cs="宋体"/>
          <w:bCs/>
          <w:color w:val="auto"/>
          <w:sz w:val="24"/>
          <w:szCs w:val="21"/>
          <w:highlight w:val="none"/>
          <w:lang w:val="en-US" w:eastAsia="zh-CN"/>
        </w:rPr>
        <w:t>m</w:t>
      </w:r>
      <w:r>
        <w:rPr>
          <w:rFonts w:hint="default" w:ascii="Times New Roman" w:hAnsi="Times New Roman" w:eastAsia="宋体" w:cs="宋体"/>
          <w:bCs/>
          <w:color w:val="auto"/>
          <w:sz w:val="24"/>
          <w:szCs w:val="21"/>
          <w:highlight w:val="none"/>
          <w:vertAlign w:val="superscript"/>
          <w:lang w:val="en-US" w:eastAsia="zh-CN"/>
        </w:rPr>
        <w:t>2</w:t>
      </w:r>
      <w:r>
        <w:rPr>
          <w:rFonts w:hint="eastAsia" w:cs="宋体"/>
          <w:bCs/>
          <w:color w:val="auto"/>
          <w:sz w:val="24"/>
          <w:szCs w:val="21"/>
          <w:highlight w:val="none"/>
          <w:vertAlign w:val="baseline"/>
          <w:lang w:val="en-US" w:eastAsia="zh-CN"/>
        </w:rPr>
        <w:t>，其次为林地8577</w:t>
      </w:r>
      <w:r>
        <w:rPr>
          <w:rFonts w:hint="default" w:ascii="Times New Roman" w:hAnsi="Times New Roman" w:eastAsia="宋体" w:cs="宋体"/>
          <w:bCs/>
          <w:color w:val="auto"/>
          <w:sz w:val="24"/>
          <w:szCs w:val="21"/>
          <w:highlight w:val="none"/>
          <w:lang w:val="en-US" w:eastAsia="zh-CN"/>
        </w:rPr>
        <w:t>m</w:t>
      </w:r>
      <w:r>
        <w:rPr>
          <w:rFonts w:hint="default" w:ascii="Times New Roman" w:hAnsi="Times New Roman" w:eastAsia="宋体" w:cs="宋体"/>
          <w:bCs/>
          <w:color w:val="auto"/>
          <w:sz w:val="24"/>
          <w:szCs w:val="21"/>
          <w:highlight w:val="none"/>
          <w:vertAlign w:val="superscript"/>
          <w:lang w:val="en-US" w:eastAsia="zh-CN"/>
        </w:rPr>
        <w:t>2</w:t>
      </w:r>
      <w:r>
        <w:rPr>
          <w:rFonts w:hint="eastAsia" w:cs="宋体"/>
          <w:bCs/>
          <w:color w:val="auto"/>
          <w:sz w:val="24"/>
          <w:szCs w:val="21"/>
          <w:highlight w:val="none"/>
          <w:vertAlign w:val="baseline"/>
          <w:lang w:val="en-US" w:eastAsia="zh-CN"/>
        </w:rPr>
        <w:t>，农业设施用地1035</w:t>
      </w:r>
      <w:r>
        <w:rPr>
          <w:rFonts w:hint="default" w:ascii="Times New Roman" w:hAnsi="Times New Roman" w:eastAsia="宋体" w:cs="宋体"/>
          <w:bCs/>
          <w:color w:val="auto"/>
          <w:sz w:val="24"/>
          <w:szCs w:val="21"/>
          <w:highlight w:val="none"/>
          <w:lang w:val="en-US" w:eastAsia="zh-CN"/>
        </w:rPr>
        <w:t>m</w:t>
      </w:r>
      <w:r>
        <w:rPr>
          <w:rFonts w:hint="default" w:ascii="Times New Roman" w:hAnsi="Times New Roman" w:eastAsia="宋体" w:cs="宋体"/>
          <w:bCs/>
          <w:color w:val="auto"/>
          <w:sz w:val="24"/>
          <w:szCs w:val="21"/>
          <w:highlight w:val="none"/>
          <w:vertAlign w:val="superscript"/>
          <w:lang w:val="en-US" w:eastAsia="zh-CN"/>
        </w:rPr>
        <w:t>2</w:t>
      </w:r>
      <w:r>
        <w:rPr>
          <w:rFonts w:hint="eastAsia" w:cs="宋体"/>
          <w:bCs/>
          <w:color w:val="auto"/>
          <w:sz w:val="24"/>
          <w:szCs w:val="21"/>
          <w:highlight w:val="none"/>
          <w:vertAlign w:val="baseline"/>
          <w:lang w:val="en-US" w:eastAsia="zh-CN"/>
        </w:rPr>
        <w:t>、居住用地867</w:t>
      </w:r>
      <w:r>
        <w:rPr>
          <w:rFonts w:hint="default" w:ascii="Times New Roman" w:hAnsi="Times New Roman" w:eastAsia="宋体" w:cs="宋体"/>
          <w:bCs/>
          <w:color w:val="auto"/>
          <w:sz w:val="24"/>
          <w:szCs w:val="21"/>
          <w:highlight w:val="none"/>
          <w:lang w:val="en-US" w:eastAsia="zh-CN"/>
        </w:rPr>
        <w:t>m</w:t>
      </w:r>
      <w:r>
        <w:rPr>
          <w:rFonts w:hint="default" w:ascii="Times New Roman" w:hAnsi="Times New Roman" w:eastAsia="宋体" w:cs="宋体"/>
          <w:bCs/>
          <w:color w:val="auto"/>
          <w:sz w:val="24"/>
          <w:szCs w:val="21"/>
          <w:highlight w:val="none"/>
          <w:vertAlign w:val="superscript"/>
          <w:lang w:val="en-US" w:eastAsia="zh-CN"/>
        </w:rPr>
        <w:t>2</w:t>
      </w:r>
      <w:r>
        <w:rPr>
          <w:rFonts w:hint="eastAsia" w:cs="宋体"/>
          <w:bCs/>
          <w:color w:val="auto"/>
          <w:sz w:val="24"/>
          <w:szCs w:val="21"/>
          <w:highlight w:val="none"/>
          <w:vertAlign w:val="baseline"/>
          <w:lang w:val="en-US" w:eastAsia="zh-CN"/>
        </w:rPr>
        <w:t>以及少量的公共管理与公共服务用地、绿地与开敞空间用地，占用面积不到15</w:t>
      </w:r>
      <w:r>
        <w:rPr>
          <w:rFonts w:hint="default" w:ascii="Times New Roman" w:hAnsi="Times New Roman" w:eastAsia="宋体" w:cs="宋体"/>
          <w:bCs/>
          <w:color w:val="auto"/>
          <w:sz w:val="24"/>
          <w:szCs w:val="21"/>
          <w:highlight w:val="none"/>
          <w:lang w:val="en-US" w:eastAsia="zh-CN"/>
        </w:rPr>
        <w:t>m</w:t>
      </w:r>
      <w:r>
        <w:rPr>
          <w:rFonts w:hint="default" w:ascii="Times New Roman" w:hAnsi="Times New Roman" w:eastAsia="宋体" w:cs="宋体"/>
          <w:bCs/>
          <w:color w:val="auto"/>
          <w:sz w:val="24"/>
          <w:szCs w:val="21"/>
          <w:highlight w:val="none"/>
          <w:vertAlign w:val="superscript"/>
          <w:lang w:val="en-US" w:eastAsia="zh-CN"/>
        </w:rPr>
        <w:t>2</w:t>
      </w:r>
      <w:r>
        <w:rPr>
          <w:rFonts w:hint="eastAsia" w:cs="宋体"/>
          <w:bCs/>
          <w:color w:val="auto"/>
          <w:sz w:val="24"/>
          <w:szCs w:val="21"/>
          <w:highlight w:val="none"/>
          <w:vertAlign w:val="baseline"/>
          <w:lang w:val="en-US" w:eastAsia="zh-CN"/>
        </w:rPr>
        <w:t>。</w:t>
      </w:r>
      <w:r>
        <w:rPr>
          <w:rFonts w:hint="default" w:ascii="Times New Roman" w:hAnsi="Times New Roman" w:eastAsia="宋体" w:cs="宋体"/>
          <w:bCs/>
          <w:color w:val="auto"/>
          <w:sz w:val="24"/>
          <w:szCs w:val="21"/>
          <w:highlight w:val="none"/>
          <w:lang w:val="en-US" w:eastAsia="zh-CN"/>
        </w:rPr>
        <w:t>项目施工场地、施工便道及弃渣场等临时工程</w:t>
      </w:r>
      <w:r>
        <w:rPr>
          <w:rFonts w:hint="eastAsia" w:ascii="Times New Roman" w:hAnsi="Times New Roman" w:eastAsia="宋体" w:cs="宋体"/>
          <w:bCs/>
          <w:color w:val="auto"/>
          <w:sz w:val="24"/>
          <w:szCs w:val="21"/>
          <w:highlight w:val="none"/>
          <w:lang w:val="en-US" w:eastAsia="zh-CN"/>
        </w:rPr>
        <w:t>均设置本项目用地红线范围内（现已恢复为安置区内绿化用地）</w:t>
      </w:r>
      <w:r>
        <w:rPr>
          <w:rFonts w:hint="default" w:ascii="Times New Roman" w:hAnsi="Times New Roman" w:eastAsia="宋体" w:cs="宋体"/>
          <w:bCs/>
          <w:color w:val="auto"/>
          <w:sz w:val="24"/>
          <w:szCs w:val="21"/>
          <w:highlight w:val="none"/>
          <w:lang w:val="en-US" w:eastAsia="zh-CN"/>
        </w:rPr>
        <w:t>，</w:t>
      </w:r>
      <w:r>
        <w:rPr>
          <w:rFonts w:hint="eastAsia" w:ascii="Times New Roman" w:hAnsi="Times New Roman" w:eastAsia="宋体" w:cs="宋体"/>
          <w:bCs/>
          <w:color w:val="auto"/>
          <w:sz w:val="24"/>
          <w:szCs w:val="21"/>
          <w:highlight w:val="none"/>
          <w:lang w:val="en-US" w:eastAsia="zh-CN"/>
        </w:rPr>
        <w:t>未额外占用土地等</w:t>
      </w:r>
      <w:r>
        <w:rPr>
          <w:rFonts w:hint="default" w:ascii="Times New Roman" w:hAnsi="Times New Roman" w:eastAsia="宋体" w:cs="宋体"/>
          <w:bCs/>
          <w:color w:val="auto"/>
          <w:sz w:val="24"/>
          <w:szCs w:val="21"/>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eastAsia" w:cs="宋体"/>
          <w:bCs/>
          <w:color w:val="auto"/>
          <w:sz w:val="24"/>
          <w:szCs w:val="21"/>
          <w:lang w:val="en-US" w:eastAsia="zh-CN"/>
        </w:rPr>
        <w:t>项目</w:t>
      </w:r>
      <w:r>
        <w:rPr>
          <w:rFonts w:hint="default" w:ascii="Times New Roman" w:hAnsi="Times New Roman" w:eastAsia="宋体" w:cs="宋体"/>
          <w:bCs/>
          <w:color w:val="auto"/>
          <w:sz w:val="24"/>
          <w:szCs w:val="21"/>
          <w:lang w:val="en-US" w:eastAsia="zh-CN"/>
        </w:rPr>
        <w:t>不涉及国家公园、风景名胜区、饮用水水源保护区、</w:t>
      </w:r>
      <w:r>
        <w:rPr>
          <w:rFonts w:hint="eastAsia" w:ascii="Times New Roman" w:hAnsi="Times New Roman" w:eastAsia="宋体" w:cs="宋体"/>
          <w:bCs/>
          <w:color w:val="auto"/>
          <w:sz w:val="24"/>
          <w:szCs w:val="21"/>
          <w:lang w:val="en-US" w:eastAsia="zh-CN"/>
        </w:rPr>
        <w:t>永久</w:t>
      </w:r>
      <w:r>
        <w:rPr>
          <w:rFonts w:hint="default" w:ascii="Times New Roman" w:hAnsi="Times New Roman" w:eastAsia="宋体" w:cs="宋体"/>
          <w:bCs/>
          <w:color w:val="auto"/>
          <w:sz w:val="24"/>
          <w:szCs w:val="21"/>
          <w:lang w:val="en-US" w:eastAsia="zh-CN"/>
        </w:rPr>
        <w:t>基本农田</w:t>
      </w:r>
      <w:r>
        <w:rPr>
          <w:rFonts w:hint="eastAsia" w:ascii="Times New Roman" w:hAnsi="Times New Roman" w:eastAsia="宋体" w:cs="宋体"/>
          <w:bCs/>
          <w:color w:val="auto"/>
          <w:sz w:val="24"/>
          <w:szCs w:val="21"/>
          <w:lang w:val="en-US" w:eastAsia="zh-CN"/>
        </w:rPr>
        <w:t>、</w:t>
      </w:r>
      <w:r>
        <w:rPr>
          <w:rFonts w:hint="default" w:ascii="Times New Roman" w:hAnsi="Times New Roman" w:eastAsia="宋体" w:cs="宋体"/>
          <w:bCs/>
          <w:color w:val="auto"/>
          <w:sz w:val="24"/>
          <w:szCs w:val="21"/>
          <w:lang w:val="en-US" w:eastAsia="zh-CN"/>
        </w:rPr>
        <w:t>基本草原、自然公园（森林公园、地质公园</w:t>
      </w:r>
      <w:r>
        <w:rPr>
          <w:rFonts w:hint="eastAsia" w:cs="宋体"/>
          <w:bCs/>
          <w:color w:val="auto"/>
          <w:sz w:val="24"/>
          <w:szCs w:val="21"/>
          <w:lang w:val="en-US" w:eastAsia="zh-CN"/>
        </w:rPr>
        <w:t>、海洋公园等</w:t>
      </w:r>
      <w:r>
        <w:rPr>
          <w:rFonts w:hint="default" w:ascii="Times New Roman" w:hAnsi="Times New Roman" w:eastAsia="宋体" w:cs="宋体"/>
          <w:bCs/>
          <w:color w:val="auto"/>
          <w:sz w:val="24"/>
          <w:szCs w:val="21"/>
          <w:lang w:val="en-US" w:eastAsia="zh-CN"/>
        </w:rPr>
        <w:t>）、重要湿地、天然林、重点保护野生动物栖息地、重点保护野生植物生长繁殖地等，</w:t>
      </w:r>
      <w:r>
        <w:rPr>
          <w:rFonts w:hint="eastAsia" w:ascii="Times New Roman" w:hAnsi="Times New Roman" w:eastAsia="宋体" w:cs="宋体"/>
          <w:bCs/>
          <w:color w:val="auto"/>
          <w:sz w:val="24"/>
          <w:szCs w:val="21"/>
          <w:lang w:val="en-US" w:eastAsia="zh-CN"/>
        </w:rPr>
        <w:t>不占用国家一级生态公益林。主要涉及生态敏感目标为湖南东洞庭湖国家级自然保护区实验区。</w:t>
      </w:r>
    </w:p>
    <w:p>
      <w:pPr>
        <w:keepNext/>
        <w:keepLines/>
        <w:widowControl w:val="0"/>
        <w:adjustRightInd w:val="0"/>
        <w:snapToGrid w:val="0"/>
        <w:spacing w:before="0" w:after="0" w:line="360" w:lineRule="auto"/>
        <w:jc w:val="both"/>
        <w:outlineLvl w:val="1"/>
        <w:rPr>
          <w:rFonts w:hint="default" w:ascii="Times New Roman" w:hAnsi="Times New Roman" w:eastAsia="宋体" w:cs="Times New Roman"/>
          <w:b/>
          <w:bCs/>
          <w:color w:val="auto"/>
          <w:kern w:val="2"/>
          <w:sz w:val="28"/>
          <w:szCs w:val="28"/>
          <w:lang w:val="en-US" w:eastAsia="zh-CN" w:bidi="ar-SA"/>
        </w:rPr>
      </w:pPr>
      <w:bookmarkStart w:id="243" w:name="_Toc13037"/>
      <w:r>
        <w:rPr>
          <w:rFonts w:hint="eastAsia" w:ascii="Times New Roman" w:hAnsi="Times New Roman" w:eastAsia="宋体" w:cs="Times New Roman"/>
          <w:b/>
          <w:bCs/>
          <w:color w:val="auto"/>
          <w:kern w:val="2"/>
          <w:sz w:val="28"/>
          <w:szCs w:val="28"/>
          <w:lang w:val="en-US" w:eastAsia="zh-CN" w:bidi="ar-SA"/>
        </w:rPr>
        <w:t>3</w:t>
      </w:r>
      <w:r>
        <w:rPr>
          <w:rFonts w:hint="default" w:ascii="Times New Roman" w:hAnsi="Times New Roman" w:eastAsia="宋体" w:cs="Times New Roman"/>
          <w:b/>
          <w:bCs/>
          <w:color w:val="auto"/>
          <w:kern w:val="2"/>
          <w:sz w:val="28"/>
          <w:szCs w:val="28"/>
          <w:lang w:val="en-US" w:eastAsia="zh-CN" w:bidi="ar-SA"/>
        </w:rPr>
        <w:t>.2生态环境</w:t>
      </w:r>
      <w:r>
        <w:rPr>
          <w:rFonts w:hint="eastAsia" w:ascii="Times New Roman" w:hAnsi="Times New Roman" w:eastAsia="宋体" w:cs="Times New Roman"/>
          <w:b/>
          <w:bCs/>
          <w:color w:val="auto"/>
          <w:kern w:val="2"/>
          <w:sz w:val="28"/>
          <w:szCs w:val="28"/>
          <w:lang w:val="en-US" w:eastAsia="zh-CN" w:bidi="ar-SA"/>
        </w:rPr>
        <w:t>调查与评价</w:t>
      </w:r>
      <w:bookmarkEnd w:id="241"/>
      <w:bookmarkEnd w:id="242"/>
      <w:bookmarkEnd w:id="243"/>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本项目位于</w:t>
      </w:r>
      <w:r>
        <w:rPr>
          <w:rFonts w:hint="eastAsia" w:ascii="Times New Roman" w:hAnsi="Times New Roman" w:eastAsia="宋体" w:cs="宋体"/>
          <w:bCs/>
          <w:color w:val="auto"/>
          <w:sz w:val="24"/>
          <w:szCs w:val="21"/>
          <w:lang w:val="en-US" w:eastAsia="zh-CN"/>
        </w:rPr>
        <w:t>华容县团洲乡</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用地范围</w:t>
      </w:r>
      <w:r>
        <w:rPr>
          <w:rFonts w:hint="default" w:ascii="Times New Roman" w:hAnsi="Times New Roman" w:eastAsia="宋体" w:cs="宋体"/>
          <w:bCs/>
          <w:color w:val="auto"/>
          <w:sz w:val="24"/>
          <w:szCs w:val="21"/>
          <w:lang w:val="en-US" w:eastAsia="zh-CN"/>
        </w:rPr>
        <w:t>位于低山地带，项目区域所在区域以农村生态系统为主，受人类活动影响相对较大，评价范围内主要为农作物和村落</w:t>
      </w:r>
      <w:r>
        <w:rPr>
          <w:rFonts w:hint="eastAsia" w:ascii="Times New Roman" w:hAnsi="Times New Roman" w:eastAsia="宋体" w:cs="宋体"/>
          <w:bCs/>
          <w:color w:val="auto"/>
          <w:sz w:val="24"/>
          <w:szCs w:val="21"/>
          <w:lang w:val="en-US" w:eastAsia="zh-CN"/>
        </w:rPr>
        <w:t>，</w:t>
      </w:r>
      <w:r>
        <w:rPr>
          <w:rFonts w:hint="default" w:ascii="Times New Roman" w:hAnsi="Times New Roman" w:eastAsia="宋体" w:cs="宋体"/>
          <w:bCs/>
          <w:color w:val="auto"/>
          <w:sz w:val="24"/>
          <w:szCs w:val="21"/>
          <w:lang w:val="en-US" w:eastAsia="zh-CN"/>
        </w:rPr>
        <w:t>区域无珍稀野生动植物分布。整体上，项目区域生态环境现状呈现农业生态特征，生态环境敏感度一般。</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3.2.1生态现状评价方法</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总体评价采用实地野外考察与室内资料分析相结合、全线普查与重点取样相结合，并走访</w:t>
      </w:r>
      <w:r>
        <w:rPr>
          <w:rFonts w:hint="eastAsia" w:ascii="Times New Roman" w:hAnsi="Times New Roman" w:eastAsia="宋体" w:cs="宋体"/>
          <w:bCs/>
          <w:color w:val="auto"/>
          <w:sz w:val="24"/>
          <w:szCs w:val="21"/>
          <w:lang w:val="en-US" w:eastAsia="zh-CN"/>
        </w:rPr>
        <w:t>周边</w:t>
      </w:r>
      <w:r>
        <w:rPr>
          <w:rFonts w:hint="default" w:ascii="Times New Roman" w:hAnsi="Times New Roman" w:eastAsia="宋体" w:cs="宋体"/>
          <w:bCs/>
          <w:color w:val="auto"/>
          <w:sz w:val="24"/>
          <w:szCs w:val="21"/>
          <w:lang w:val="en-US" w:eastAsia="zh-CN"/>
        </w:rPr>
        <w:t>村民和</w:t>
      </w:r>
      <w:r>
        <w:rPr>
          <w:rFonts w:hint="eastAsia" w:ascii="Times New Roman" w:hAnsi="Times New Roman" w:eastAsia="宋体" w:cs="宋体"/>
          <w:bCs/>
          <w:color w:val="auto"/>
          <w:sz w:val="24"/>
          <w:szCs w:val="21"/>
          <w:lang w:val="en-US" w:eastAsia="zh-CN"/>
        </w:rPr>
        <w:t>政府单位</w:t>
      </w:r>
      <w:r>
        <w:rPr>
          <w:rFonts w:hint="default" w:ascii="Times New Roman" w:hAnsi="Times New Roman" w:eastAsia="宋体" w:cs="宋体"/>
          <w:bCs/>
          <w:color w:val="auto"/>
          <w:sz w:val="24"/>
          <w:szCs w:val="21"/>
          <w:lang w:val="en-US" w:eastAsia="zh-CN"/>
        </w:rPr>
        <w:t>工作者，利用已有的各类资料和野外考察的资料分区分段对评价区生态环境现状和工程建设施工及运营过程中将对</w:t>
      </w:r>
      <w:r>
        <w:rPr>
          <w:rFonts w:hint="eastAsia" w:ascii="Times New Roman" w:hAnsi="Times New Roman" w:eastAsia="宋体" w:cs="宋体"/>
          <w:bCs/>
          <w:color w:val="auto"/>
          <w:sz w:val="24"/>
          <w:szCs w:val="21"/>
          <w:lang w:val="en-US" w:eastAsia="zh-CN"/>
        </w:rPr>
        <w:t>周边</w:t>
      </w:r>
      <w:r>
        <w:rPr>
          <w:rFonts w:hint="default" w:ascii="Times New Roman" w:hAnsi="Times New Roman" w:eastAsia="宋体" w:cs="宋体"/>
          <w:bCs/>
          <w:color w:val="auto"/>
          <w:sz w:val="24"/>
          <w:szCs w:val="21"/>
          <w:lang w:val="en-US" w:eastAsia="zh-CN"/>
        </w:rPr>
        <w:t>植被、植物资源、珍稀植物资源、动物资源、珍稀保护动物资源等生态环境因素的影响进行评价。</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宋体"/>
          <w:b/>
          <w:bCs w:val="0"/>
          <w:color w:val="auto"/>
          <w:sz w:val="24"/>
          <w:szCs w:val="21"/>
          <w:lang w:val="en-US" w:eastAsia="zh-CN"/>
        </w:rPr>
      </w:pPr>
      <w:r>
        <w:rPr>
          <w:rFonts w:hint="eastAsia" w:ascii="Times New Roman" w:hAnsi="Times New Roman" w:eastAsia="宋体" w:cs="宋体"/>
          <w:b/>
          <w:bCs w:val="0"/>
          <w:color w:val="auto"/>
          <w:sz w:val="24"/>
          <w:szCs w:val="21"/>
          <w:lang w:val="en-US" w:eastAsia="zh-CN"/>
        </w:rPr>
        <w:t>1、资料收集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收集整理评价区及邻近地区的现有生物多样性资料，在综合分析现有资料的基础上，确定实地考察的重点区域及考察路线。</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宋体"/>
          <w:b/>
          <w:bCs w:val="0"/>
          <w:color w:val="auto"/>
          <w:sz w:val="24"/>
          <w:szCs w:val="21"/>
          <w:lang w:val="en-US" w:eastAsia="zh-CN"/>
        </w:rPr>
      </w:pPr>
      <w:bookmarkStart w:id="244" w:name="_Toc17066"/>
      <w:bookmarkStart w:id="245" w:name="_Toc30250"/>
      <w:r>
        <w:rPr>
          <w:rFonts w:hint="eastAsia" w:ascii="Times New Roman" w:hAnsi="Times New Roman" w:eastAsia="宋体" w:cs="宋体"/>
          <w:b/>
          <w:bCs w:val="0"/>
          <w:color w:val="auto"/>
          <w:sz w:val="24"/>
          <w:szCs w:val="21"/>
          <w:lang w:val="en-US" w:eastAsia="zh-CN"/>
        </w:rPr>
        <w:t>2、</w:t>
      </w:r>
      <w:r>
        <w:rPr>
          <w:rFonts w:hint="default" w:ascii="Times New Roman" w:hAnsi="Times New Roman" w:eastAsia="宋体" w:cs="宋体"/>
          <w:b/>
          <w:bCs w:val="0"/>
          <w:color w:val="auto"/>
          <w:sz w:val="24"/>
          <w:szCs w:val="21"/>
          <w:lang w:val="en-US" w:eastAsia="zh-CN"/>
        </w:rPr>
        <w:t>现场调查</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eastAsia" w:cs="宋体"/>
          <w:bCs/>
          <w:color w:val="auto"/>
          <w:sz w:val="24"/>
          <w:szCs w:val="21"/>
          <w:lang w:val="en-US" w:eastAsia="zh-CN"/>
        </w:rPr>
        <w:t>现场调查方法及相关内容主要引用于</w:t>
      </w:r>
      <w:r>
        <w:rPr>
          <w:rFonts w:hint="eastAsia" w:ascii="Times New Roman" w:hAnsi="Times New Roman" w:eastAsia="宋体" w:cs="宋体"/>
          <w:bCs/>
          <w:color w:val="auto"/>
          <w:sz w:val="24"/>
          <w:szCs w:val="21"/>
          <w:lang w:val="en-US" w:eastAsia="zh-CN"/>
        </w:rPr>
        <w:t>《</w:t>
      </w:r>
      <w:r>
        <w:rPr>
          <w:rFonts w:hint="default" w:ascii="Times New Roman" w:hAnsi="Times New Roman" w:eastAsia="宋体" w:cs="宋体"/>
          <w:bCs/>
          <w:color w:val="auto"/>
          <w:sz w:val="24"/>
          <w:szCs w:val="21"/>
          <w:lang w:val="en-US" w:eastAsia="zh-CN"/>
        </w:rPr>
        <w:t>华容县团洲垸决口灾后农村居民集中安置房项目</w:t>
      </w:r>
      <w:r>
        <w:rPr>
          <w:rFonts w:hint="eastAsia" w:ascii="Times New Roman" w:hAnsi="Times New Roman" w:eastAsia="宋体" w:cs="宋体"/>
          <w:bCs/>
          <w:color w:val="auto"/>
          <w:sz w:val="24"/>
          <w:szCs w:val="21"/>
          <w:lang w:val="en-US" w:eastAsia="zh-CN"/>
        </w:rPr>
        <w:t>对湖南东洞庭湖国家级自然保护区生物多样性影响评价报告》</w:t>
      </w:r>
      <w:r>
        <w:rPr>
          <w:rFonts w:hint="eastAsia" w:cs="宋体"/>
          <w:bCs/>
          <w:color w:val="auto"/>
          <w:sz w:val="24"/>
          <w:szCs w:val="21"/>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（1）植物群落调查</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由于</w:t>
      </w:r>
      <w:r>
        <w:rPr>
          <w:rFonts w:hint="eastAsia" w:cs="宋体"/>
          <w:bCs/>
          <w:color w:val="auto"/>
          <w:sz w:val="24"/>
          <w:szCs w:val="21"/>
          <w:lang w:val="en-US" w:eastAsia="zh-CN"/>
        </w:rPr>
        <w:t>项目占用区</w:t>
      </w:r>
      <w:r>
        <w:rPr>
          <w:rFonts w:hint="default" w:ascii="Times New Roman" w:hAnsi="Times New Roman" w:eastAsia="宋体" w:cs="宋体"/>
          <w:bCs/>
          <w:color w:val="auto"/>
          <w:sz w:val="24"/>
          <w:szCs w:val="21"/>
          <w:lang w:val="en-US" w:eastAsia="zh-CN"/>
        </w:rPr>
        <w:t>植被多为次生植被，主要为农作物和村落</w:t>
      </w:r>
      <w:r>
        <w:rPr>
          <w:rFonts w:hint="eastAsia" w:ascii="Times New Roman" w:hAnsi="Times New Roman" w:eastAsia="宋体" w:cs="宋体"/>
          <w:bCs/>
          <w:color w:val="auto"/>
          <w:sz w:val="24"/>
          <w:szCs w:val="21"/>
          <w:lang w:val="en-US" w:eastAsia="zh-CN"/>
        </w:rPr>
        <w:t>，均为常见人工植物群落，无自然植物群落存在，本次未</w:t>
      </w:r>
      <w:r>
        <w:rPr>
          <w:rFonts w:hint="eastAsia" w:cs="宋体"/>
          <w:bCs/>
          <w:color w:val="auto"/>
          <w:sz w:val="24"/>
          <w:szCs w:val="21"/>
          <w:lang w:val="en-US" w:eastAsia="zh-CN"/>
        </w:rPr>
        <w:t>对项目占用区内</w:t>
      </w:r>
      <w:r>
        <w:rPr>
          <w:rFonts w:hint="eastAsia" w:ascii="Times New Roman" w:hAnsi="Times New Roman" w:eastAsia="宋体" w:cs="宋体"/>
          <w:bCs/>
          <w:color w:val="auto"/>
          <w:sz w:val="24"/>
          <w:szCs w:val="21"/>
          <w:lang w:val="en-US" w:eastAsia="zh-CN"/>
        </w:rPr>
        <w:t>进行群落调查</w:t>
      </w:r>
      <w:r>
        <w:rPr>
          <w:rFonts w:hint="default" w:ascii="Times New Roman" w:hAnsi="Times New Roman" w:eastAsia="宋体" w:cs="宋体"/>
          <w:bCs/>
          <w:color w:val="auto"/>
          <w:sz w:val="24"/>
          <w:szCs w:val="21"/>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cs="宋体"/>
          <w:bCs/>
          <w:color w:val="auto"/>
          <w:sz w:val="24"/>
          <w:szCs w:val="21"/>
          <w:lang w:val="en-US" w:eastAsia="zh-CN"/>
        </w:rPr>
        <w:t>项目占用区外评价范围内</w:t>
      </w:r>
      <w:r>
        <w:rPr>
          <w:rFonts w:hint="eastAsia" w:ascii="Times New Roman" w:hAnsi="Times New Roman" w:eastAsia="宋体" w:cs="宋体"/>
          <w:bCs/>
          <w:color w:val="auto"/>
          <w:sz w:val="24"/>
          <w:szCs w:val="21"/>
          <w:lang w:val="en-US" w:eastAsia="zh-CN"/>
        </w:rPr>
        <w:t xml:space="preserve">植被调查采用样方和样线相结合的调查方法。首先在评价区 </w:t>
      </w:r>
      <w:r>
        <w:rPr>
          <w:rFonts w:hint="default" w:ascii="Times New Roman" w:hAnsi="Times New Roman" w:eastAsia="宋体" w:cs="宋体"/>
          <w:bCs/>
          <w:color w:val="auto"/>
          <w:sz w:val="24"/>
          <w:szCs w:val="21"/>
          <w:lang w:val="en-US" w:eastAsia="zh-CN"/>
        </w:rPr>
        <w:t xml:space="preserve">1:1 </w:t>
      </w:r>
      <w:r>
        <w:rPr>
          <w:rFonts w:hint="eastAsia" w:ascii="Times New Roman" w:hAnsi="Times New Roman" w:eastAsia="宋体" w:cs="宋体"/>
          <w:bCs/>
          <w:color w:val="auto"/>
          <w:sz w:val="24"/>
          <w:szCs w:val="21"/>
          <w:lang w:val="en-US" w:eastAsia="zh-CN"/>
        </w:rPr>
        <w:t>万的地形图结合无人机航片初步确定野外调查样线及样方，然后实地调查。每种植被类型均采用法瑞学派样方调查法，乔木取</w:t>
      </w:r>
      <w:r>
        <w:rPr>
          <w:rFonts w:hint="default" w:ascii="Times New Roman" w:hAnsi="Times New Roman" w:eastAsia="宋体" w:cs="宋体"/>
          <w:bCs/>
          <w:color w:val="auto"/>
          <w:sz w:val="24"/>
          <w:szCs w:val="21"/>
          <w:lang w:val="en-US" w:eastAsia="zh-CN"/>
        </w:rPr>
        <w:t>200</w:t>
      </w:r>
      <w:r>
        <w:rPr>
          <w:rFonts w:hint="eastAsia" w:ascii="Times New Roman" w:hAnsi="Times New Roman" w:eastAsia="宋体" w:cs="宋体"/>
          <w:bCs/>
          <w:color w:val="auto"/>
          <w:sz w:val="24"/>
          <w:szCs w:val="21"/>
          <w:lang w:val="en-US" w:eastAsia="zh-CN"/>
        </w:rPr>
        <w:t>～</w:t>
      </w:r>
      <w:r>
        <w:rPr>
          <w:rFonts w:hint="default" w:ascii="Times New Roman" w:hAnsi="Times New Roman" w:eastAsia="宋体" w:cs="宋体"/>
          <w:bCs/>
          <w:color w:val="auto"/>
          <w:sz w:val="24"/>
          <w:szCs w:val="21"/>
          <w:lang w:val="en-US" w:eastAsia="zh-CN"/>
        </w:rPr>
        <w:t>40 m</w:t>
      </w:r>
      <w:r>
        <w:rPr>
          <w:rFonts w:hint="default" w:ascii="Times New Roman" w:hAnsi="Times New Roman" w:eastAsia="宋体" w:cs="宋体"/>
          <w:bCs/>
          <w:color w:val="auto"/>
          <w:sz w:val="24"/>
          <w:szCs w:val="21"/>
          <w:vertAlign w:val="superscript"/>
          <w:lang w:val="en-US" w:eastAsia="zh-CN"/>
        </w:rPr>
        <w:t>2</w:t>
      </w:r>
      <w:r>
        <w:rPr>
          <w:rFonts w:hint="eastAsia" w:ascii="Times New Roman" w:hAnsi="Times New Roman" w:eastAsia="宋体" w:cs="宋体"/>
          <w:bCs/>
          <w:color w:val="auto"/>
          <w:sz w:val="24"/>
          <w:szCs w:val="21"/>
          <w:lang w:val="en-US" w:eastAsia="zh-CN"/>
        </w:rPr>
        <w:t>的样方调查，灌丛取</w:t>
      </w:r>
      <w:r>
        <w:rPr>
          <w:rFonts w:hint="default" w:ascii="Times New Roman" w:hAnsi="Times New Roman" w:eastAsia="宋体" w:cs="宋体"/>
          <w:bCs/>
          <w:color w:val="auto"/>
          <w:sz w:val="24"/>
          <w:szCs w:val="21"/>
          <w:lang w:val="en-US" w:eastAsia="zh-CN"/>
        </w:rPr>
        <w:t>25</w:t>
      </w:r>
      <w:r>
        <w:rPr>
          <w:rFonts w:hint="eastAsia" w:ascii="Times New Roman" w:hAnsi="Times New Roman" w:eastAsia="宋体" w:cs="宋体"/>
          <w:bCs/>
          <w:color w:val="auto"/>
          <w:sz w:val="24"/>
          <w:szCs w:val="21"/>
          <w:lang w:val="en-US" w:eastAsia="zh-CN"/>
        </w:rPr>
        <w:t>～</w:t>
      </w:r>
      <w:r>
        <w:rPr>
          <w:rFonts w:hint="default" w:ascii="Times New Roman" w:hAnsi="Times New Roman" w:eastAsia="宋体" w:cs="宋体"/>
          <w:bCs/>
          <w:color w:val="auto"/>
          <w:sz w:val="24"/>
          <w:szCs w:val="21"/>
          <w:lang w:val="en-US" w:eastAsia="zh-CN"/>
        </w:rPr>
        <w:t>100 m</w:t>
      </w:r>
      <w:r>
        <w:rPr>
          <w:rFonts w:hint="default" w:ascii="Times New Roman" w:hAnsi="Times New Roman" w:eastAsia="宋体" w:cs="宋体"/>
          <w:bCs/>
          <w:color w:val="auto"/>
          <w:sz w:val="24"/>
          <w:szCs w:val="21"/>
          <w:vertAlign w:val="superscript"/>
          <w:lang w:val="en-US" w:eastAsia="zh-CN"/>
        </w:rPr>
        <w:t>2</w:t>
      </w:r>
      <w:r>
        <w:rPr>
          <w:rFonts w:hint="eastAsia" w:ascii="Times New Roman" w:hAnsi="Times New Roman" w:eastAsia="宋体" w:cs="宋体"/>
          <w:bCs/>
          <w:color w:val="auto"/>
          <w:sz w:val="24"/>
          <w:szCs w:val="21"/>
          <w:lang w:val="en-US" w:eastAsia="zh-CN"/>
        </w:rPr>
        <w:t>的样方调查，草丛取</w:t>
      </w:r>
      <w:r>
        <w:rPr>
          <w:rFonts w:hint="default" w:ascii="Times New Roman" w:hAnsi="Times New Roman" w:eastAsia="宋体" w:cs="宋体"/>
          <w:bCs/>
          <w:color w:val="auto"/>
          <w:sz w:val="24"/>
          <w:szCs w:val="21"/>
          <w:lang w:val="en-US" w:eastAsia="zh-CN"/>
        </w:rPr>
        <w:t>1</w:t>
      </w:r>
      <w:r>
        <w:rPr>
          <w:rFonts w:hint="eastAsia" w:ascii="Times New Roman" w:hAnsi="Times New Roman" w:eastAsia="宋体" w:cs="宋体"/>
          <w:bCs/>
          <w:color w:val="auto"/>
          <w:sz w:val="24"/>
          <w:szCs w:val="21"/>
          <w:lang w:val="en-US" w:eastAsia="zh-CN"/>
        </w:rPr>
        <w:t>～</w:t>
      </w:r>
      <w:r>
        <w:rPr>
          <w:rFonts w:hint="default" w:ascii="Times New Roman" w:hAnsi="Times New Roman" w:eastAsia="宋体" w:cs="宋体"/>
          <w:bCs/>
          <w:color w:val="auto"/>
          <w:sz w:val="24"/>
          <w:szCs w:val="21"/>
          <w:lang w:val="en-US" w:eastAsia="zh-CN"/>
        </w:rPr>
        <w:t>4 m</w:t>
      </w:r>
      <w:r>
        <w:rPr>
          <w:rFonts w:hint="eastAsia" w:ascii="Times New Roman" w:hAnsi="Times New Roman" w:eastAsia="宋体" w:cs="宋体"/>
          <w:bCs/>
          <w:color w:val="auto"/>
          <w:sz w:val="24"/>
          <w:szCs w:val="21"/>
          <w:lang w:val="en-US" w:eastAsia="zh-CN"/>
        </w:rPr>
        <w:t xml:space="preserve">的样方调查，记录样方内的所有植物种类、物种优势度、群落平均高度、群落郁闭度或盖度 等，并用 </w:t>
      </w:r>
      <w:r>
        <w:rPr>
          <w:rFonts w:hint="default" w:ascii="Times New Roman" w:hAnsi="Times New Roman" w:eastAsia="宋体" w:cs="宋体"/>
          <w:bCs/>
          <w:color w:val="auto"/>
          <w:sz w:val="24"/>
          <w:szCs w:val="21"/>
          <w:lang w:val="en-US" w:eastAsia="zh-CN"/>
        </w:rPr>
        <w:t>GPS</w:t>
      </w:r>
      <w:r>
        <w:rPr>
          <w:rFonts w:hint="eastAsia" w:ascii="Times New Roman" w:hAnsi="Times New Roman" w:eastAsia="宋体" w:cs="宋体"/>
          <w:bCs/>
          <w:color w:val="auto"/>
          <w:sz w:val="24"/>
          <w:szCs w:val="21"/>
          <w:lang w:val="en-US" w:eastAsia="zh-CN"/>
        </w:rPr>
        <w:t xml:space="preserve">确定样方地理坐标。通过分析统计样方调查数据，划分评价区内的植被类型，找出评价区内分布最典型的植被类型，并对其植物群落结构组成进行描述分析。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w:t>
      </w:r>
      <w:r>
        <w:rPr>
          <w:rFonts w:hint="default" w:ascii="Times New Roman" w:hAnsi="Times New Roman" w:eastAsia="宋体" w:cs="宋体"/>
          <w:bCs/>
          <w:color w:val="auto"/>
          <w:sz w:val="24"/>
          <w:szCs w:val="21"/>
          <w:lang w:val="en-US" w:eastAsia="zh-CN"/>
        </w:rPr>
        <w:t>2</w:t>
      </w:r>
      <w:r>
        <w:rPr>
          <w:rFonts w:hint="eastAsia" w:ascii="Times New Roman" w:hAnsi="Times New Roman" w:eastAsia="宋体" w:cs="宋体"/>
          <w:bCs/>
          <w:color w:val="auto"/>
          <w:sz w:val="24"/>
          <w:szCs w:val="21"/>
          <w:lang w:val="en-US" w:eastAsia="zh-CN"/>
        </w:rPr>
        <w:t xml:space="preserve">）植物多样性调查方法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植物多样性调查采用基础资料收集与野外调查相结合的调查方法，野外实地调查时采用样线法和样方法，记录植物的种类、多度、生境特点等信息。重点调查划定工程区的植物多样性，一般调查划定工程区之外的评价区的植物多样性。主要调查内容包括维管植物、珍稀保护植物和古树名木等。发现国家和省级重点保护野生植物、</w:t>
      </w:r>
      <w:r>
        <w:rPr>
          <w:rFonts w:hint="default" w:ascii="Times New Roman" w:hAnsi="Times New Roman" w:eastAsia="宋体" w:cs="宋体"/>
          <w:bCs/>
          <w:color w:val="auto"/>
          <w:sz w:val="24"/>
          <w:szCs w:val="21"/>
          <w:lang w:val="en-US" w:eastAsia="zh-CN"/>
        </w:rPr>
        <w:t xml:space="preserve">IUCN </w:t>
      </w:r>
      <w:r>
        <w:rPr>
          <w:rFonts w:hint="eastAsia" w:ascii="Times New Roman" w:hAnsi="Times New Roman" w:eastAsia="宋体" w:cs="宋体"/>
          <w:bCs/>
          <w:color w:val="auto"/>
          <w:sz w:val="24"/>
          <w:szCs w:val="21"/>
          <w:lang w:val="en-US" w:eastAsia="zh-CN"/>
        </w:rPr>
        <w:t>红皮书附录植物以及省级特有植物，准确记录地理坐标，并对其进行数量统计和生境描述。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（3）陆生</w:t>
      </w:r>
      <w:r>
        <w:rPr>
          <w:rFonts w:hint="eastAsia" w:ascii="Times New Roman" w:hAnsi="Times New Roman" w:eastAsia="宋体" w:cs="宋体"/>
          <w:bCs/>
          <w:color w:val="auto"/>
          <w:sz w:val="24"/>
          <w:szCs w:val="21"/>
          <w:lang w:val="en-US" w:eastAsia="zh-CN"/>
        </w:rPr>
        <w:t>野生</w:t>
      </w:r>
      <w:r>
        <w:rPr>
          <w:rFonts w:hint="default" w:ascii="Times New Roman" w:hAnsi="Times New Roman" w:eastAsia="宋体" w:cs="宋体"/>
          <w:bCs/>
          <w:color w:val="auto"/>
          <w:sz w:val="24"/>
          <w:szCs w:val="21"/>
          <w:lang w:val="en-US" w:eastAsia="zh-CN"/>
        </w:rPr>
        <w:t>动物调查</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1</w:t>
      </w:r>
      <w:r>
        <w:rPr>
          <w:rFonts w:hint="eastAsia" w:ascii="Times New Roman" w:hAnsi="Times New Roman" w:eastAsia="宋体" w:cs="宋体"/>
          <w:bCs/>
          <w:color w:val="auto"/>
          <w:sz w:val="24"/>
          <w:szCs w:val="21"/>
          <w:lang w:val="en-US" w:eastAsia="zh-CN"/>
        </w:rPr>
        <w:t xml:space="preserve">）文献资料查阅法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 xml:space="preserve">查阅当地的有关科学研究和野外调查资料。比照相应的地理纬度和海拔高度，对照相关的研究资料，核查和收集当地及相邻地区的相关资料。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并且结合国家林业和草原局中南调查规划设计院编写的《湖南东洞庭湖国 家级自然保护区总体规划（</w:t>
      </w:r>
      <w:r>
        <w:rPr>
          <w:rFonts w:hint="default" w:ascii="Times New Roman" w:hAnsi="Times New Roman" w:eastAsia="宋体" w:cs="宋体"/>
          <w:bCs/>
          <w:color w:val="auto"/>
          <w:sz w:val="24"/>
          <w:szCs w:val="21"/>
          <w:lang w:val="en-US" w:eastAsia="zh-CN"/>
        </w:rPr>
        <w:t>2016</w:t>
      </w:r>
      <w:r>
        <w:rPr>
          <w:rFonts w:hint="eastAsia" w:ascii="Times New Roman" w:hAnsi="Times New Roman" w:eastAsia="宋体" w:cs="宋体"/>
          <w:bCs/>
          <w:color w:val="auto"/>
          <w:sz w:val="24"/>
          <w:szCs w:val="21"/>
          <w:lang w:val="en-US" w:eastAsia="zh-CN"/>
        </w:rPr>
        <w:t>～</w:t>
      </w:r>
      <w:r>
        <w:rPr>
          <w:rFonts w:hint="default" w:ascii="Times New Roman" w:hAnsi="Times New Roman" w:eastAsia="宋体" w:cs="宋体"/>
          <w:bCs/>
          <w:color w:val="auto"/>
          <w:sz w:val="24"/>
          <w:szCs w:val="21"/>
          <w:lang w:val="en-US" w:eastAsia="zh-CN"/>
        </w:rPr>
        <w:t>2025</w:t>
      </w:r>
      <w:r>
        <w:rPr>
          <w:rFonts w:hint="eastAsia" w:ascii="Times New Roman" w:hAnsi="Times New Roman" w:eastAsia="宋体" w:cs="宋体"/>
          <w:bCs/>
          <w:color w:val="auto"/>
          <w:sz w:val="24"/>
          <w:szCs w:val="21"/>
          <w:lang w:val="en-US" w:eastAsia="zh-CN"/>
        </w:rPr>
        <w:t>）》，</w:t>
      </w:r>
      <w:r>
        <w:rPr>
          <w:rFonts w:hint="default" w:ascii="Times New Roman" w:hAnsi="Times New Roman" w:eastAsia="宋体" w:cs="宋体"/>
          <w:bCs/>
          <w:color w:val="auto"/>
          <w:sz w:val="24"/>
          <w:szCs w:val="21"/>
          <w:lang w:val="en-US" w:eastAsia="zh-CN"/>
        </w:rPr>
        <w:t>参考《湖南省两栖动物区系与地理区划》、《湖南省爬行动物区系与地理区划》、《湖南鸟类名录》、《湖南省重点保护兽类种类及分布》等系列论文及当地的区、县市志和林业志等书籍，再结合本次进行的野外考察以及对当地村民和林业工作者的访问，确认评价范围内的野生动物种类及资源现状。</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 xml:space="preserve">拟定评价区野生动物名录。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2</w:t>
      </w:r>
      <w:r>
        <w:rPr>
          <w:rFonts w:hint="eastAsia" w:ascii="Times New Roman" w:hAnsi="Times New Roman" w:eastAsia="宋体" w:cs="宋体"/>
          <w:bCs/>
          <w:color w:val="auto"/>
          <w:sz w:val="24"/>
          <w:szCs w:val="21"/>
          <w:lang w:val="en-US" w:eastAsia="zh-CN"/>
        </w:rPr>
        <w:t xml:space="preserve">）访问调查法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 xml:space="preserve">访问调查对象主要是对脊椎动物识别有一定经验当地居民和保护区工作人员，通过询问他们近 </w:t>
      </w:r>
      <w:r>
        <w:rPr>
          <w:rFonts w:hint="default" w:ascii="Times New Roman" w:hAnsi="Times New Roman" w:eastAsia="宋体" w:cs="宋体"/>
          <w:bCs/>
          <w:color w:val="auto"/>
          <w:sz w:val="24"/>
          <w:szCs w:val="21"/>
          <w:lang w:val="en-US" w:eastAsia="zh-CN"/>
        </w:rPr>
        <w:t xml:space="preserve">5 </w:t>
      </w:r>
      <w:r>
        <w:rPr>
          <w:rFonts w:hint="eastAsia" w:ascii="Times New Roman" w:hAnsi="Times New Roman" w:eastAsia="宋体" w:cs="宋体"/>
          <w:bCs/>
          <w:color w:val="auto"/>
          <w:sz w:val="24"/>
          <w:szCs w:val="21"/>
          <w:lang w:val="en-US" w:eastAsia="zh-CN"/>
        </w:rPr>
        <w:t xml:space="preserve">年在项目评价区观察到的动物实体和活动痕迹，采用对照野生动物图谱、生物学特征等相关识别手段进行判定。调查农贸市场、餐馆、了解物种种类后，再根据特征进行物种判定或查阅资料确定访问到的物种。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w:t>
      </w:r>
      <w:r>
        <w:rPr>
          <w:rFonts w:hint="default" w:ascii="Times New Roman" w:hAnsi="Times New Roman" w:eastAsia="宋体" w:cs="宋体"/>
          <w:bCs/>
          <w:color w:val="auto"/>
          <w:sz w:val="24"/>
          <w:szCs w:val="21"/>
          <w:lang w:val="en-US" w:eastAsia="zh-CN"/>
        </w:rPr>
        <w:t>3</w:t>
      </w:r>
      <w:r>
        <w:rPr>
          <w:rFonts w:hint="eastAsia" w:ascii="Times New Roman" w:hAnsi="Times New Roman" w:eastAsia="宋体" w:cs="宋体"/>
          <w:bCs/>
          <w:color w:val="auto"/>
          <w:sz w:val="24"/>
          <w:szCs w:val="21"/>
          <w:lang w:val="en-US" w:eastAsia="zh-CN"/>
        </w:rPr>
        <w:t xml:space="preserve">）样带调查法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 xml:space="preserve">①两栖爬行动物调查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两栖、爬行动物调查主要采用常规路线调查，同时辅以样带法、访问法等。在不同生境设置长度不等的样带，晚上用手电、头灯等照明工具沿固定样线进行调查。记录发现点生境特征及样带长度，并用专业数码相机对物种及生境进行拍照，供物种鉴定和内业整理时参考。根据《中国两栖动物及其分布彩色图鉴》</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费梁，</w:t>
      </w:r>
      <w:r>
        <w:rPr>
          <w:rFonts w:hint="default" w:ascii="Times New Roman" w:hAnsi="Times New Roman" w:eastAsia="宋体" w:cs="宋体"/>
          <w:bCs/>
          <w:color w:val="auto"/>
          <w:sz w:val="24"/>
          <w:szCs w:val="21"/>
          <w:lang w:val="en-US" w:eastAsia="zh-CN"/>
        </w:rPr>
        <w:t>2012)</w:t>
      </w:r>
      <w:r>
        <w:rPr>
          <w:rFonts w:hint="eastAsia" w:ascii="Times New Roman" w:hAnsi="Times New Roman" w:eastAsia="宋体" w:cs="宋体"/>
          <w:bCs/>
          <w:color w:val="auto"/>
          <w:sz w:val="24"/>
          <w:szCs w:val="21"/>
          <w:lang w:val="en-US" w:eastAsia="zh-CN"/>
        </w:rPr>
        <w:t>，湖南动物志</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两栖纲</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沈猷慧等</w:t>
      </w:r>
      <w:r>
        <w:rPr>
          <w:rFonts w:hint="default" w:ascii="Times New Roman" w:hAnsi="Times New Roman" w:eastAsia="宋体" w:cs="宋体"/>
          <w:bCs/>
          <w:color w:val="auto"/>
          <w:sz w:val="24"/>
          <w:szCs w:val="21"/>
          <w:lang w:val="en-US" w:eastAsia="zh-CN"/>
        </w:rPr>
        <w:t>, 2014)</w:t>
      </w:r>
      <w:r>
        <w:rPr>
          <w:rFonts w:hint="eastAsia" w:ascii="Times New Roman" w:hAnsi="Times New Roman" w:eastAsia="宋体" w:cs="宋体"/>
          <w:bCs/>
          <w:color w:val="auto"/>
          <w:sz w:val="24"/>
          <w:szCs w:val="21"/>
          <w:lang w:val="en-US" w:eastAsia="zh-CN"/>
        </w:rPr>
        <w:t>，《中国蛇类》</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上、下册</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、湖南动物志</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爬行纲</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、《中国爬行动物图鉴》，《湖南省两栖、爬行动物物种多样性及其受危等级评估》（高志10伟，</w:t>
      </w:r>
      <w:r>
        <w:rPr>
          <w:rFonts w:hint="default" w:ascii="Times New Roman" w:hAnsi="Times New Roman" w:eastAsia="宋体" w:cs="宋体"/>
          <w:bCs/>
          <w:color w:val="auto"/>
          <w:sz w:val="24"/>
          <w:szCs w:val="21"/>
          <w:lang w:val="en-US" w:eastAsia="zh-CN"/>
        </w:rPr>
        <w:t>2022</w:t>
      </w:r>
      <w:r>
        <w:rPr>
          <w:rFonts w:hint="eastAsia" w:ascii="Times New Roman" w:hAnsi="Times New Roman" w:eastAsia="宋体" w:cs="宋体"/>
          <w:bCs/>
          <w:color w:val="auto"/>
          <w:sz w:val="24"/>
          <w:szCs w:val="21"/>
          <w:lang w:val="en-US" w:eastAsia="zh-CN"/>
        </w:rPr>
        <w:t>）等参考书对物种进行鉴定分类，地理区划参考《湖南省两栖动物调查及区系分析》</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沈猷慧，</w:t>
      </w:r>
      <w:r>
        <w:rPr>
          <w:rFonts w:hint="default" w:ascii="Times New Roman" w:hAnsi="Times New Roman" w:eastAsia="宋体" w:cs="宋体"/>
          <w:bCs/>
          <w:color w:val="auto"/>
          <w:sz w:val="24"/>
          <w:szCs w:val="21"/>
          <w:lang w:val="en-US" w:eastAsia="zh-CN"/>
        </w:rPr>
        <w:t>1983)</w:t>
      </w:r>
      <w:r>
        <w:rPr>
          <w:rFonts w:hint="eastAsia" w:ascii="Times New Roman" w:hAnsi="Times New Roman" w:eastAsia="宋体" w:cs="宋体"/>
          <w:bCs/>
          <w:color w:val="auto"/>
          <w:sz w:val="24"/>
          <w:szCs w:val="21"/>
          <w:lang w:val="en-US" w:eastAsia="zh-CN"/>
        </w:rPr>
        <w:t>和《中国动物地理》</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张荣祖，</w:t>
      </w:r>
      <w:r>
        <w:rPr>
          <w:rFonts w:hint="default" w:ascii="Times New Roman" w:hAnsi="Times New Roman" w:eastAsia="宋体" w:cs="宋体"/>
          <w:bCs/>
          <w:color w:val="auto"/>
          <w:sz w:val="24"/>
          <w:szCs w:val="21"/>
          <w:lang w:val="en-US" w:eastAsia="zh-CN"/>
        </w:rPr>
        <w:t>2011)</w:t>
      </w:r>
      <w:r>
        <w:rPr>
          <w:rFonts w:hint="eastAsia" w:ascii="Times New Roman" w:hAnsi="Times New Roman" w:eastAsia="宋体" w:cs="宋体"/>
          <w:bCs/>
          <w:color w:val="auto"/>
          <w:sz w:val="24"/>
          <w:szCs w:val="21"/>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 xml:space="preserve">②鸟类调查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鸟类调查主要采用样带法，结合样点法和访问调查法。样线法主要采用可变距离样带法，根据调查区域的地形地貌和鸟类栖息地类型，设置不同长度的样带沿布设的固定样线徒步行走，对观察到的鸟类使用专业数码相机对其生境及物种进行拍照，并用平板电脑中的奥维软件记录样线起点、终点坐标和样线长度等信息。同时访问当地有经验的老猎人和村民，详细了解该地区鸟类资源状况。根据《中国鸟类图鉴》、《湖南省动物志</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鸟纲雀形目》、《中国鸟类分类与分布名录》</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第四版</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 xml:space="preserve">等参考书对物种进行鉴定。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 xml:space="preserve">③兽类调查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 xml:space="preserve">兽类调查主要采用样带法、访问调查法和文献查阅法。依据不同的海拔、不同生境选取观察路线，统计路线两边兽类的足迹、粪便、叫声、活动迹象以及活体的活动情况等。同时走访当地有经验的居民和保护区工作人员，根据访问调查结果再结合相关文献来确定兽类物种名录。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 xml:space="preserve">④鱼类调查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首先查阅相关文献，了解项目评价区内的水文等自然条件，同时走访当地村民和农贸市场，确定鱼类名录。</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（4）景观调查</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利用地形图、近期卫星影像图、无人机航片与</w:t>
      </w:r>
      <w:r>
        <w:rPr>
          <w:rFonts w:hint="default" w:ascii="Times New Roman" w:hAnsi="Times New Roman" w:eastAsia="宋体" w:cs="宋体"/>
          <w:bCs/>
          <w:color w:val="auto"/>
          <w:sz w:val="24"/>
          <w:szCs w:val="21"/>
          <w:lang w:val="en-US" w:eastAsia="zh-CN"/>
        </w:rPr>
        <w:t>2022</w:t>
      </w:r>
      <w:r>
        <w:rPr>
          <w:rFonts w:hint="eastAsia" w:ascii="Times New Roman" w:hAnsi="Times New Roman" w:eastAsia="宋体" w:cs="宋体"/>
          <w:bCs/>
          <w:color w:val="auto"/>
          <w:sz w:val="24"/>
          <w:szCs w:val="21"/>
          <w:lang w:val="en-US" w:eastAsia="zh-CN"/>
        </w:rPr>
        <w:t>年林草湿“一张图”，对项目区与影响评价区的景观类型进行区划，并记录。</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3.2.2 项目区域生态环境现状</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（1）</w:t>
      </w:r>
      <w:r>
        <w:rPr>
          <w:rFonts w:hint="default" w:ascii="Times New Roman" w:hAnsi="Times New Roman" w:eastAsia="宋体" w:cs="宋体"/>
          <w:bCs/>
          <w:color w:val="auto"/>
          <w:sz w:val="24"/>
          <w:szCs w:val="21"/>
          <w:lang w:val="en-US" w:eastAsia="zh-CN"/>
        </w:rPr>
        <w:t>主体功能区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根据《湖南省主体功能区规划》，本工程位于国家级重点开发区，项目占地涉及建设项目环境影响评价分类管理名录（2021 年版）中提及的生态环境敏感区</w:t>
      </w:r>
      <w:r>
        <w:rPr>
          <w:rFonts w:hint="eastAsia" w:ascii="Times New Roman" w:hAnsi="Times New Roman" w:eastAsia="宋体" w:cs="宋体"/>
          <w:bCs/>
          <w:color w:val="auto"/>
          <w:sz w:val="24"/>
          <w:szCs w:val="21"/>
          <w:lang w:val="en-US" w:eastAsia="zh-CN"/>
        </w:rPr>
        <w:t>：第三条（一）中的全部区域：湖南东洞庭湖国家级自然保护区。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（2）生态功能区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根据《全国生态功能区划》（修编版），全国生态功能区划体系分为3个大类、9个小类、242个生态功能区，项目所在区域位于II-01-22湖南中部丘陵农产品提供功能区，属于产品提供大类，农产品提供小类。</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（3）地形</w:t>
      </w:r>
      <w:r>
        <w:rPr>
          <w:rFonts w:hint="eastAsia" w:ascii="Times New Roman" w:hAnsi="Times New Roman" w:eastAsia="宋体" w:cs="宋体"/>
          <w:bCs/>
          <w:color w:val="auto"/>
          <w:sz w:val="24"/>
          <w:szCs w:val="21"/>
          <w:lang w:val="en-US" w:eastAsia="zh-CN"/>
        </w:rPr>
        <w:t>地质</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岳阳市华容县团洲乡位于中国湖南省的东部，是一个典型的南方丘陵地区。团洲乡位于长江中游的洞庭湖区南缘，属于扬子地台的南缘部分。该地区地质构造复杂，多种地质构造单元交错分布。该地区经历了多次构造运动，主要受印支运动和燕山运动的影响，形成了多样的地层和地质构造。前寒武纪地层主要由变质岩组成，如片麻岩、片岩和石英岩等。这些地层具有较高的强度和稳定性。古生代地层包括奥陶纪、志留纪和泥盆纪的沉积岩，如灰岩、页岩和砂岩等。这些地层在地质构造活动中形成了复杂的褶皱和断裂。中生代地层主要是三叠纪和侏罗纪的沉积岩，如红色砂岩、泥岩等。这些地层多为河湖相沉积，厚度变化较大。新生代地层包括第三纪和第四纪的沉积物，如粘土、砂砾石和黄土等。这些地层主要分布在低洼地区和河谷地带，厚度较小但广泛分布。褶皱构造团洲乡的地层受多次构造运动影响，形成了明显的褶皱构造。主要表现为轴向东西走向的紧闭褶皱，这些褶皱在地表常形成丘陵和山脉。该地区存在多条断裂带，主要为北东向和北西向断裂。断裂活动频繁，导致地层错动和破碎，对地质稳定性产生一定影响。团洲乡的地质构造还包括多个沉积盆地和河流沉积体系，这些构造在地表形成了平原和洼地，为农业和城市建设提供了良好的地质条件。因为地形多丘陵和山区，降雨量丰富，加上地质构造复杂，容易发生滑坡和崩塌等地质灾害。</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（4）动物分布</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陆生脊椎动物以禽类和鼠类为主；华容县</w:t>
      </w:r>
      <w:r>
        <w:rPr>
          <w:rFonts w:hint="eastAsia" w:ascii="Times New Roman" w:hAnsi="Times New Roman" w:eastAsia="宋体" w:cs="宋体"/>
          <w:bCs/>
          <w:color w:val="auto"/>
          <w:sz w:val="24"/>
          <w:szCs w:val="21"/>
          <w:lang w:val="en-US" w:eastAsia="zh-CN"/>
        </w:rPr>
        <w:t>团洲乡</w:t>
      </w:r>
      <w:r>
        <w:rPr>
          <w:rFonts w:hint="default" w:ascii="Times New Roman" w:hAnsi="Times New Roman" w:eastAsia="宋体" w:cs="宋体"/>
          <w:bCs/>
          <w:color w:val="auto"/>
          <w:sz w:val="24"/>
          <w:szCs w:val="21"/>
          <w:lang w:val="en-US" w:eastAsia="zh-CN"/>
        </w:rPr>
        <w:t>内有众多数量的沟、港、湖泊，浮游生物丰富，为鱼类的栖居、索饵、产卵和洄游提供了良好场所，淡水鱼产地。目前现有鱼类11目22科114种。未发现珍稀、濒危物种和国家、地方保护物种。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（5）植被分布</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华容县</w:t>
      </w:r>
      <w:r>
        <w:rPr>
          <w:rFonts w:hint="eastAsia" w:ascii="Times New Roman" w:hAnsi="Times New Roman" w:eastAsia="宋体" w:cs="宋体"/>
          <w:bCs/>
          <w:color w:val="auto"/>
          <w:sz w:val="24"/>
          <w:szCs w:val="21"/>
          <w:lang w:val="en-US" w:eastAsia="zh-CN"/>
        </w:rPr>
        <w:t>团洲乡</w:t>
      </w:r>
      <w:r>
        <w:rPr>
          <w:rFonts w:hint="default" w:ascii="Times New Roman" w:hAnsi="Times New Roman" w:eastAsia="宋体" w:cs="宋体"/>
          <w:bCs/>
          <w:color w:val="auto"/>
          <w:sz w:val="24"/>
          <w:szCs w:val="21"/>
          <w:lang w:val="en-US" w:eastAsia="zh-CN"/>
        </w:rPr>
        <w:t>为主要农业产区，水田多种水稻，旱地多种油菜、棉花，其他有各类零星瓜果蔬菜等</w:t>
      </w:r>
      <w:r>
        <w:rPr>
          <w:rFonts w:hint="eastAsia" w:ascii="Times New Roman" w:hAnsi="Times New Roman" w:eastAsia="宋体" w:cs="宋体"/>
          <w:bCs/>
          <w:color w:val="auto"/>
          <w:sz w:val="24"/>
          <w:szCs w:val="21"/>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项目区域及周边</w:t>
      </w:r>
      <w:r>
        <w:rPr>
          <w:rFonts w:hint="default" w:ascii="Times New Roman" w:hAnsi="Times New Roman" w:eastAsia="宋体" w:cs="宋体"/>
          <w:bCs/>
          <w:color w:val="auto"/>
          <w:sz w:val="24"/>
          <w:szCs w:val="21"/>
          <w:lang w:val="en-US" w:eastAsia="zh-CN"/>
        </w:rPr>
        <w:t>未见古树名木及其他珍稀、濒危物种和国家、地方保护物种。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（6）水土流失现状</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rPr>
      </w:pPr>
      <w:r>
        <w:rPr>
          <w:rFonts w:hint="default" w:ascii="Times New Roman" w:hAnsi="Times New Roman" w:eastAsia="宋体" w:cs="宋体"/>
          <w:bCs/>
          <w:color w:val="auto"/>
          <w:sz w:val="24"/>
          <w:szCs w:val="21"/>
          <w:lang w:val="en-US" w:eastAsia="zh-CN"/>
        </w:rPr>
        <w:t>根据《土壤侵蚀分类分级标准》（SL190-2007），在全国土壤侵蚀类型区划中，项目区属于以水力侵蚀为主的类型区中的南方红壤丘陵区，其土壤容许流失量为500t/k㎡.a；项目区水土流失侵蚀形态以轻度水力侵蚀为主，水蚀又以面蚀为主，沟蚀次之。</w:t>
      </w:r>
    </w:p>
    <w:p>
      <w:pPr>
        <w:pStyle w:val="65"/>
        <w:ind w:firstLine="480"/>
        <w:rPr>
          <w:rFonts w:hint="default" w:ascii="Times New Roman" w:hAnsi="Times New Roman" w:cs="Times New Roman"/>
          <w:color w:val="auto"/>
        </w:rPr>
      </w:pPr>
      <w:r>
        <w:rPr>
          <w:rFonts w:hint="default" w:ascii="Times New Roman" w:hAnsi="Times New Roman" w:cs="Times New Roman"/>
          <w:color w:val="auto"/>
        </w:rPr>
        <w:t>1）华容县水土流失现状</w:t>
      </w:r>
    </w:p>
    <w:p>
      <w:pPr>
        <w:pStyle w:val="65"/>
        <w:ind w:firstLine="480"/>
        <w:rPr>
          <w:rFonts w:hint="default" w:ascii="Times New Roman" w:hAnsi="Times New Roman" w:cs="Times New Roman"/>
          <w:color w:val="auto"/>
        </w:rPr>
      </w:pPr>
      <w:r>
        <w:rPr>
          <w:rFonts w:hint="default" w:ascii="Times New Roman" w:hAnsi="Times New Roman" w:cs="Times New Roman"/>
          <w:color w:val="auto"/>
        </w:rPr>
        <w:t>根据2022年湖南省水土保持公报中（2022年湖南省水土保持率及水土流失面积表）华容县数据，水土保持率为99.26%，项目区所在的华容县水土流失面积为11.72km²，按水土流失强度分级为：轻度侵蚀面积10.34km²，占水土流失总面积的88.23%；中度侵蚀面积1.36km²，占水土流失总面积的11.60%；强烈侵蚀面积0.01km2，占水土流失总面积的0.09%；极强烈侵蚀面积0.01km²，占水土流失总面积的0.09%；剧烈侵蚀面积0.00km²，占水土流失总面积的0.00%；华容县水土流失面积见下表。</w:t>
      </w:r>
    </w:p>
    <w:p>
      <w:pPr>
        <w:pStyle w:val="66"/>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rPr>
      </w:pPr>
      <w:r>
        <w:rPr>
          <w:rFonts w:hint="default" w:ascii="Times New Roman" w:hAnsi="Times New Roman" w:cs="Times New Roman"/>
          <w:color w:val="auto"/>
        </w:rPr>
        <w:t>表3-</w:t>
      </w:r>
      <w:r>
        <w:rPr>
          <w:rFonts w:hint="eastAsia" w:ascii="Times New Roman" w:hAnsi="Times New Roman" w:cs="Times New Roman"/>
          <w:color w:val="auto"/>
          <w:lang w:val="en-US" w:eastAsia="zh-CN"/>
        </w:rPr>
        <w:t>1</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华容县水土流失现状</w:t>
      </w:r>
    </w:p>
    <w:tbl>
      <w:tblPr>
        <w:tblStyle w:val="2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 w:type="dxa"/>
          <w:bottom w:w="0" w:type="dxa"/>
          <w:right w:w="10" w:type="dxa"/>
        </w:tblCellMar>
      </w:tblPr>
      <w:tblGrid>
        <w:gridCol w:w="920"/>
        <w:gridCol w:w="1404"/>
        <w:gridCol w:w="3957"/>
        <w:gridCol w:w="205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63" w:hRule="atLeast"/>
          <w:jc w:val="center"/>
        </w:trPr>
        <w:tc>
          <w:tcPr>
            <w:tcW w:w="3767" w:type="pct"/>
            <w:gridSpan w:val="3"/>
            <w:tcBorders>
              <w:tl2br w:val="nil"/>
              <w:tr2bl w:val="nil"/>
            </w:tcBorders>
            <w:shd w:val="clear" w:color="auto" w:fill="auto"/>
            <w:noWrap w:val="0"/>
            <w:vAlign w:val="center"/>
          </w:tcPr>
          <w:p>
            <w:pPr>
              <w:pStyle w:val="67"/>
              <w:jc w:val="center"/>
              <w:rPr>
                <w:rFonts w:hint="default" w:ascii="Times New Roman" w:hAnsi="Times New Roman" w:cs="Times New Roman"/>
                <w:b/>
                <w:bCs/>
                <w:color w:val="auto"/>
              </w:rPr>
            </w:pPr>
            <w:r>
              <w:rPr>
                <w:rFonts w:hint="default" w:ascii="Times New Roman" w:hAnsi="Times New Roman" w:cs="Times New Roman"/>
                <w:b/>
                <w:bCs/>
                <w:color w:val="auto"/>
              </w:rPr>
              <w:t>水土流失面积（km</w:t>
            </w:r>
            <w:r>
              <w:rPr>
                <w:rFonts w:hint="default" w:ascii="Times New Roman" w:hAnsi="Times New Roman" w:cs="Times New Roman"/>
                <w:b/>
                <w:bCs/>
                <w:color w:val="auto"/>
                <w:vertAlign w:val="superscript"/>
              </w:rPr>
              <w:t>2</w:t>
            </w:r>
            <w:r>
              <w:rPr>
                <w:rFonts w:hint="default" w:ascii="Times New Roman" w:hAnsi="Times New Roman" w:cs="Times New Roman"/>
                <w:b/>
                <w:bCs/>
                <w:color w:val="auto"/>
              </w:rPr>
              <w:t>）</w:t>
            </w:r>
          </w:p>
        </w:tc>
        <w:tc>
          <w:tcPr>
            <w:tcW w:w="1233" w:type="pct"/>
            <w:tcBorders>
              <w:tl2br w:val="nil"/>
              <w:tr2bl w:val="nil"/>
            </w:tcBorders>
            <w:shd w:val="clear" w:color="auto" w:fill="auto"/>
            <w:noWrap w:val="0"/>
            <w:vAlign w:val="center"/>
          </w:tcPr>
          <w:p>
            <w:pPr>
              <w:pStyle w:val="67"/>
              <w:jc w:val="center"/>
              <w:rPr>
                <w:rFonts w:hint="default" w:ascii="Times New Roman" w:hAnsi="Times New Roman" w:cs="Times New Roman"/>
                <w:b/>
                <w:bCs/>
                <w:color w:val="auto"/>
              </w:rPr>
            </w:pPr>
            <w:r>
              <w:rPr>
                <w:rFonts w:hint="default" w:ascii="Times New Roman" w:hAnsi="Times New Roman" w:cs="Times New Roman"/>
                <w:b/>
                <w:bCs/>
                <w:color w:val="auto"/>
              </w:rPr>
              <w:t>11.72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63" w:hRule="atLeast"/>
          <w:jc w:val="center"/>
        </w:trPr>
        <w:tc>
          <w:tcPr>
            <w:tcW w:w="552" w:type="pct"/>
            <w:vMerge w:val="restar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水土流失强度</w:t>
            </w:r>
          </w:p>
        </w:tc>
        <w:tc>
          <w:tcPr>
            <w:tcW w:w="3214" w:type="pct"/>
            <w:gridSpan w:val="2"/>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微度侵蚀面积（km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tc>
        <w:tc>
          <w:tcPr>
            <w:tcW w:w="1233" w:type="pc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p>
        </w:tc>
        <w:tc>
          <w:tcPr>
            <w:tcW w:w="842" w:type="pct"/>
            <w:vMerge w:val="restar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轻度</w:t>
            </w:r>
          </w:p>
        </w:tc>
        <w:tc>
          <w:tcPr>
            <w:tcW w:w="2372" w:type="pc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面积（km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tc>
        <w:tc>
          <w:tcPr>
            <w:tcW w:w="1233" w:type="pc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10.34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p>
        </w:tc>
        <w:tc>
          <w:tcPr>
            <w:tcW w:w="842" w:type="pct"/>
            <w:vMerge w:val="continue"/>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p>
        </w:tc>
        <w:tc>
          <w:tcPr>
            <w:tcW w:w="2372" w:type="pc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占水土流失面积比重</w:t>
            </w:r>
          </w:p>
        </w:tc>
        <w:tc>
          <w:tcPr>
            <w:tcW w:w="1233" w:type="pc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88.23%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p>
        </w:tc>
        <w:tc>
          <w:tcPr>
            <w:tcW w:w="842" w:type="pct"/>
            <w:vMerge w:val="restar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中度</w:t>
            </w:r>
          </w:p>
        </w:tc>
        <w:tc>
          <w:tcPr>
            <w:tcW w:w="2372" w:type="pc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面积（km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tc>
        <w:tc>
          <w:tcPr>
            <w:tcW w:w="1233" w:type="pc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1.36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p>
        </w:tc>
        <w:tc>
          <w:tcPr>
            <w:tcW w:w="842" w:type="pct"/>
            <w:vMerge w:val="continue"/>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p>
        </w:tc>
        <w:tc>
          <w:tcPr>
            <w:tcW w:w="2372" w:type="pc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占水土流失面积比重</w:t>
            </w:r>
          </w:p>
        </w:tc>
        <w:tc>
          <w:tcPr>
            <w:tcW w:w="1233" w:type="pc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11.60%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p>
        </w:tc>
        <w:tc>
          <w:tcPr>
            <w:tcW w:w="842" w:type="pct"/>
            <w:vMerge w:val="restar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强烈</w:t>
            </w:r>
          </w:p>
        </w:tc>
        <w:tc>
          <w:tcPr>
            <w:tcW w:w="2372" w:type="pc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面积（km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tc>
        <w:tc>
          <w:tcPr>
            <w:tcW w:w="1233" w:type="pc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p>
        </w:tc>
        <w:tc>
          <w:tcPr>
            <w:tcW w:w="842" w:type="pct"/>
            <w:vMerge w:val="continue"/>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p>
        </w:tc>
        <w:tc>
          <w:tcPr>
            <w:tcW w:w="2372" w:type="pc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占水土流失面积比重</w:t>
            </w:r>
          </w:p>
        </w:tc>
        <w:tc>
          <w:tcPr>
            <w:tcW w:w="1233" w:type="pc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0.09%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p>
        </w:tc>
        <w:tc>
          <w:tcPr>
            <w:tcW w:w="842" w:type="pct"/>
            <w:vMerge w:val="restar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极强烈</w:t>
            </w:r>
          </w:p>
        </w:tc>
        <w:tc>
          <w:tcPr>
            <w:tcW w:w="2372" w:type="pc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面积（km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tc>
        <w:tc>
          <w:tcPr>
            <w:tcW w:w="1233" w:type="pc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p>
        </w:tc>
        <w:tc>
          <w:tcPr>
            <w:tcW w:w="842" w:type="pct"/>
            <w:vMerge w:val="continue"/>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p>
        </w:tc>
        <w:tc>
          <w:tcPr>
            <w:tcW w:w="2372" w:type="pc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占水土流失面积比重</w:t>
            </w:r>
          </w:p>
        </w:tc>
        <w:tc>
          <w:tcPr>
            <w:tcW w:w="1233" w:type="pc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0.09%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PrEx>
        <w:trPr>
          <w:trHeight w:val="363" w:hRule="atLeast"/>
          <w:jc w:val="center"/>
        </w:trPr>
        <w:tc>
          <w:tcPr>
            <w:tcW w:w="552" w:type="pct"/>
            <w:vMerge w:val="continue"/>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p>
        </w:tc>
        <w:tc>
          <w:tcPr>
            <w:tcW w:w="842" w:type="pc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剧烈</w:t>
            </w:r>
          </w:p>
        </w:tc>
        <w:tc>
          <w:tcPr>
            <w:tcW w:w="2372" w:type="pc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面积（km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tc>
        <w:tc>
          <w:tcPr>
            <w:tcW w:w="1233" w:type="pct"/>
            <w:tcBorders>
              <w:tl2br w:val="nil"/>
              <w:tr2bl w:val="nil"/>
            </w:tcBorders>
            <w:shd w:val="clear" w:color="auto" w:fill="auto"/>
            <w:noWrap w:val="0"/>
            <w:vAlign w:val="center"/>
          </w:tcPr>
          <w:p>
            <w:pPr>
              <w:pStyle w:val="67"/>
              <w:jc w:val="center"/>
              <w:rPr>
                <w:rFonts w:hint="default" w:ascii="Times New Roman" w:hAnsi="Times New Roman" w:cs="Times New Roman"/>
                <w:color w:val="auto"/>
              </w:rPr>
            </w:pPr>
            <w:r>
              <w:rPr>
                <w:rFonts w:hint="default" w:ascii="Times New Roman" w:hAnsi="Times New Roman" w:cs="Times New Roman"/>
                <w:color w:val="auto"/>
              </w:rPr>
              <w:t>0</w:t>
            </w:r>
          </w:p>
        </w:tc>
      </w:tr>
    </w:tbl>
    <w:p>
      <w:pPr>
        <w:pStyle w:val="65"/>
        <w:ind w:firstLine="480"/>
        <w:rPr>
          <w:rFonts w:hint="default" w:ascii="Times New Roman" w:hAnsi="Times New Roman" w:cs="Times New Roman"/>
          <w:color w:val="auto"/>
        </w:rPr>
      </w:pPr>
      <w:r>
        <w:rPr>
          <w:rFonts w:hint="default" w:ascii="Times New Roman" w:hAnsi="Times New Roman" w:cs="Times New Roman"/>
          <w:color w:val="auto"/>
        </w:rPr>
        <w:t>2）项目区水土流失现状</w:t>
      </w:r>
    </w:p>
    <w:p>
      <w:pPr>
        <w:pStyle w:val="65"/>
        <w:ind w:firstLine="480"/>
        <w:rPr>
          <w:rFonts w:hint="default" w:ascii="Times New Roman" w:hAnsi="Times New Roman" w:eastAsia="宋体" w:cs="Times New Roman"/>
          <w:color w:val="auto"/>
        </w:rPr>
      </w:pPr>
      <w:r>
        <w:rPr>
          <w:rFonts w:hint="default" w:ascii="Times New Roman" w:hAnsi="Times New Roman" w:cs="Times New Roman"/>
          <w:color w:val="auto"/>
        </w:rPr>
        <w:t>项目区侵蚀强度背景值：根据现场调查，植被主要作为水域及水利设施用地草地和其他草地，原生土壤侵蚀模数取500t/（km²·a）以下，属轻度流失。已造成水土流失的危害性调查：项目</w:t>
      </w:r>
      <w:r>
        <w:rPr>
          <w:rFonts w:hint="eastAsia" w:ascii="Times New Roman" w:hAnsi="Times New Roman" w:cs="Times New Roman"/>
          <w:color w:val="auto"/>
          <w:lang w:val="en-US" w:eastAsia="zh-CN"/>
        </w:rPr>
        <w:t>已完成工程建设</w:t>
      </w:r>
      <w:r>
        <w:rPr>
          <w:rFonts w:hint="default" w:ascii="Times New Roman" w:hAnsi="Times New Roman" w:cs="Times New Roman"/>
          <w:color w:val="auto"/>
        </w:rPr>
        <w:t>，未发生重大水土流失危害事件。依</w:t>
      </w:r>
      <w:r>
        <w:rPr>
          <w:rFonts w:hint="default" w:ascii="Times New Roman" w:hAnsi="Times New Roman" w:eastAsia="宋体" w:cs="Times New Roman"/>
          <w:color w:val="auto"/>
        </w:rPr>
        <w:t>据《土壤侵蚀分类分级标准》（SL190-2007），项目区属于以水力侵蚀为主的南方红壤平原区，容许土壤侵蚀模数为500t/（km²·a）。</w:t>
      </w:r>
    </w:p>
    <w:p>
      <w:pPr>
        <w:pStyle w:val="65"/>
        <w:ind w:firstLine="48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湖南东洞庭湖国家级自然保护区</w:t>
      </w:r>
    </w:p>
    <w:p>
      <w:pPr>
        <w:pStyle w:val="65"/>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东洞庭湖国家级自然保护区位于长江中下游荆江江段南侧，地处湖南省东北部岳阳市境内，地理坐标为29°0′0″～29°37′45.7″N，112°43′59.5″～113°13′13.4″E之间。自然保护区北起长江湘鄂两省主航道分界线，南至磊石山，东至京广铁路，西至与南县交界。管理范围包括整个东洞庭湖水域及其近周平原岗地。</w:t>
      </w:r>
    </w:p>
    <w:p>
      <w:pPr>
        <w:pStyle w:val="65"/>
        <w:ind w:firstLine="480"/>
        <w:rPr>
          <w:rFonts w:hint="eastAsia" w:ascii="Times New Roman" w:hAnsi="Times New Roman" w:cs="Times New Roman"/>
          <w:color w:val="auto"/>
          <w:lang w:eastAsia="zh-CN"/>
        </w:rPr>
      </w:pPr>
      <w:r>
        <w:rPr>
          <w:rFonts w:hint="default" w:ascii="Times New Roman" w:hAnsi="Times New Roman" w:eastAsia="宋体" w:cs="Times New Roman"/>
          <w:color w:val="auto"/>
        </w:rPr>
        <w:t>东洞庭湖国家级自然保护区成立于1982年，1992年成为我国首批加入《国际湿地公约》的六块国际重要湿地之一，1994年经国务院批准升格为国家级自然保护区，2018年经国务院（国办函[2018]19号）批准，调整了保护区范围与功能区划。保护区划分为核心区、缓冲区和实验区，保护区面积157627公顷，其中核心区面积33286公顷，缓冲区面积32369公顷，实验区面积91972公顷。东洞庭湖是世界自然基金会（WWF）确定的全球200个生物多样性热点地区之一，湿地生物资源丰富，是东北亚迁徙候鸟重要的越冬地和栖息地。保护区有鸟类356种，其中国家一级保护的有东方白</w:t>
      </w:r>
      <w:r>
        <w:rPr>
          <w:rFonts w:hint="default" w:ascii="Times New Roman" w:hAnsi="Times New Roman" w:cs="Times New Roman"/>
          <w:color w:val="auto"/>
        </w:rPr>
        <w:t>鹳、黑鹳、白鹤等18种，二级保护的64种；有维管束植物486种；鱼类117种，其中国家一级保护的有白鲟、中华鲟2种；两栖类12种，爬行类11种，哺乳类31种，其中国家一级保护2种，即江豚和目前中国最大的自然野化种群麋鹿。2021年，洞庭湖越冬水鸟创历史新高达到28.8万只，麋鹿达到200余头，已成为最大的自然野化种群和稳定的东洞庭湖亚群。长江江豚持续增加，达到120多头。候鸟的欢歌、麋鹿的倩影、江豚的微笑已成为湖南生态文明建设的新名片</w:t>
      </w:r>
      <w:r>
        <w:rPr>
          <w:rFonts w:hint="eastAsia" w:ascii="Times New Roman" w:hAnsi="Times New Roman" w:cs="Times New Roman"/>
          <w:color w:val="auto"/>
          <w:lang w:eastAsia="zh-CN"/>
        </w:rPr>
        <w:t>。</w:t>
      </w:r>
    </w:p>
    <w:p>
      <w:pPr>
        <w:pStyle w:val="65"/>
        <w:ind w:firstLine="480"/>
        <w:rPr>
          <w:rFonts w:hint="default" w:ascii="Times New Roman" w:hAnsi="Times New Roman" w:cs="Times New Roman"/>
          <w:color w:val="auto"/>
          <w:lang w:val="en-US" w:eastAsia="zh-CN"/>
        </w:rPr>
      </w:pPr>
      <w:r>
        <w:rPr>
          <w:rFonts w:hint="eastAsia" w:cs="Times New Roman"/>
          <w:color w:val="auto"/>
          <w:lang w:val="en-US" w:eastAsia="zh-CN"/>
        </w:rPr>
        <w:t>1）植被：</w:t>
      </w:r>
    </w:p>
    <w:p>
      <w:pPr>
        <w:pStyle w:val="65"/>
        <w:ind w:firstLine="480"/>
        <w:rPr>
          <w:rFonts w:hint="default" w:ascii="Times New Roman" w:hAnsi="Times New Roman" w:cs="Times New Roman"/>
          <w:color w:val="auto"/>
        </w:rPr>
      </w:pPr>
      <w:r>
        <w:rPr>
          <w:rFonts w:hint="default" w:ascii="Times New Roman" w:hAnsi="Times New Roman" w:cs="Times New Roman"/>
          <w:color w:val="auto"/>
        </w:rPr>
        <w:t>植被以湿地植物为主，自然保护区范围因有丘陵岗地，也包括部分丘陵岗地的森林、灌丛类型，划分为7个植被型组（针叶林、针阔混交林、阔叶林、灌草丛、草甸型、沼泽型、水生植物型），63个群系（包括季节性群系）。保护区有维管束植物169科、541属、865种。其中蕨类植物24科、40属、63种，裸子植物7科、17属、22种，被子植物138科、484属、780种。自然保护区865种植物中，分布于湿地区域即水体、洲滩、湖堤等冲积土上的湿地植物共451种。典型的水生植物55种，其中挺水植物28种，浮叶植物7种，漂浮植物6种，沉水植物14种。</w:t>
      </w:r>
    </w:p>
    <w:p>
      <w:pPr>
        <w:pStyle w:val="65"/>
        <w:ind w:firstLine="480"/>
        <w:rPr>
          <w:rFonts w:hint="default" w:ascii="Times New Roman" w:hAnsi="Times New Roman" w:eastAsia="宋体" w:cs="Times New Roman"/>
          <w:color w:val="auto"/>
          <w:lang w:val="en-US" w:eastAsia="zh-CN"/>
        </w:rPr>
      </w:pPr>
      <w:r>
        <w:rPr>
          <w:rFonts w:hint="eastAsia" w:cs="Times New Roman"/>
          <w:color w:val="auto"/>
          <w:lang w:val="en-US" w:eastAsia="zh-CN"/>
        </w:rPr>
        <w:t>2）动物</w:t>
      </w:r>
    </w:p>
    <w:p>
      <w:pPr>
        <w:pStyle w:val="65"/>
        <w:ind w:firstLine="480"/>
        <w:rPr>
          <w:rFonts w:hint="default" w:ascii="Times New Roman" w:hAnsi="Times New Roman" w:cs="Times New Roman"/>
          <w:color w:val="auto"/>
        </w:rPr>
      </w:pPr>
      <w:r>
        <w:rPr>
          <w:rFonts w:hint="default" w:ascii="Times New Roman" w:hAnsi="Times New Roman" w:cs="Times New Roman"/>
          <w:color w:val="auto"/>
        </w:rPr>
        <w:t>自然保护区有野生脊椎动物共有5纲37目110科534种。其中，鱼类7目19科117种；两栖类2目5科11种；爬行类3目8科25种；鸟类17/18目55/64科348种；哺乳类7目14科33种。保护区独特的水域湿地环境，决定了该区动物类群具有喜湿或半喜湿性特征。构成该区生物地理动物群的主体为水禽和鱼类，而绝大多数为迁徙性鸟类和洄游性鱼类，形成了复杂的区系特征，同时集中了许多珍稀濒危物种，且濒危物种还具有相当的数量，对于保持湿地生物多样性具有重要意义</w:t>
      </w:r>
    </w:p>
    <w:p>
      <w:pPr>
        <w:pStyle w:val="65"/>
        <w:ind w:firstLine="480"/>
        <w:rPr>
          <w:rFonts w:hint="default" w:ascii="Times New Roman" w:hAnsi="Times New Roman" w:cs="Times New Roman"/>
          <w:color w:val="auto"/>
        </w:rPr>
      </w:pPr>
      <w:r>
        <w:rPr>
          <w:rFonts w:hint="eastAsia" w:cs="Times New Roman"/>
          <w:color w:val="auto"/>
          <w:lang w:val="en-US" w:eastAsia="zh-CN"/>
        </w:rPr>
        <w:t>3）</w:t>
      </w:r>
      <w:r>
        <w:rPr>
          <w:rFonts w:hint="eastAsia" w:ascii="Times New Roman" w:hAnsi="Times New Roman" w:cs="Times New Roman"/>
          <w:color w:val="auto"/>
        </w:rPr>
        <w:t>景观资源</w:t>
      </w:r>
    </w:p>
    <w:p>
      <w:pPr>
        <w:pStyle w:val="65"/>
        <w:ind w:firstLine="480"/>
        <w:rPr>
          <w:rFonts w:hint="eastAsia" w:ascii="Times New Roman" w:hAnsi="Times New Roman" w:cs="Times New Roman"/>
          <w:color w:val="auto"/>
        </w:rPr>
      </w:pPr>
      <w:r>
        <w:rPr>
          <w:rFonts w:hint="eastAsia" w:ascii="Times New Roman" w:hAnsi="Times New Roman" w:cs="Times New Roman"/>
          <w:color w:val="auto"/>
        </w:rPr>
        <w:t>壮丽的湿地景观：洞庭湖纳湘江、资江、澧水、沅江四水，吞吐长江，浩浩荡荡，横无际涯，天水一色，云蒸霞蔚，气象万千，波澜壮阔的八百里洞庭胜景依稀呈现；秋冬时节，水退滩现，形成独特的湖中湖，各显峥嵘，条条水道将星罗棋布、大小不等、形状各异的湖泊连贯成串，形似一条壮观的超级项链；在一望无垠的水际洲滩上，自由翱翔的鸟群追风逐月，绵延不绝，潇湘八景之一的“平沙落雁”竞现眼前，令人心旷神怡，流连忘返。</w:t>
      </w:r>
    </w:p>
    <w:p>
      <w:pPr>
        <w:pStyle w:val="65"/>
        <w:ind w:firstLine="480"/>
        <w:rPr>
          <w:rFonts w:hint="eastAsia" w:ascii="Times New Roman" w:hAnsi="Times New Roman" w:eastAsia="宋体" w:cs="Times New Roman"/>
          <w:color w:val="auto"/>
          <w:szCs w:val="22"/>
          <w:lang w:val="en-US" w:eastAsia="zh-CN"/>
        </w:rPr>
      </w:pPr>
      <w:r>
        <w:rPr>
          <w:rFonts w:hint="default" w:ascii="Times New Roman" w:hAnsi="Times New Roman" w:cs="Times New Roman"/>
          <w:color w:val="auto"/>
        </w:rPr>
        <w:t>丰富的生物景观：洞庭湖宽广的湖面，在地壳不断沉降与隆起的造地运动作用下，逐渐形成了不同的地形地貌和多样的湿地生态环境，从而孕育了丰富的植被群落和水生生物资源，为食性不同的百余种水禽提供了取之不尽的食物，成为冬侯鸟栖息的乐园。每到秋风劲吹的季节，成千上万的游禽和涉禽，飞越万水千山，从遥远的西北利亚、东北、西北等繁殖地成群结队来到洞庭湖湖区越冬。其</w:t>
      </w:r>
      <w:r>
        <w:rPr>
          <w:rFonts w:hint="default" w:ascii="Times New Roman" w:hAnsi="Times New Roman" w:eastAsia="宋体" w:cs="Times New Roman"/>
          <w:color w:val="auto"/>
          <w:szCs w:val="22"/>
        </w:rPr>
        <w:t>数量之多，场面之壮观，品种之珍稀实属国内少有，为世人所瞩目。</w:t>
      </w:r>
    </w:p>
    <w:p>
      <w:pPr>
        <w:pStyle w:val="65"/>
        <w:ind w:firstLine="480"/>
        <w:rPr>
          <w:rFonts w:hint="default" w:ascii="Times New Roman" w:hAnsi="Times New Roman" w:eastAsia="宋体" w:cs="Times New Roman"/>
          <w:color w:val="auto"/>
          <w:szCs w:val="22"/>
        </w:rPr>
      </w:pPr>
      <w:r>
        <w:rPr>
          <w:rFonts w:hint="eastAsia" w:ascii="Times New Roman" w:hAnsi="Times New Roman" w:eastAsia="宋体" w:cs="Times New Roman"/>
          <w:color w:val="auto"/>
          <w:szCs w:val="22"/>
          <w:lang w:eastAsia="zh-CN"/>
        </w:rPr>
        <w:t>（</w:t>
      </w:r>
      <w:r>
        <w:rPr>
          <w:rFonts w:hint="eastAsia" w:ascii="Times New Roman" w:hAnsi="Times New Roman" w:eastAsia="宋体" w:cs="Times New Roman"/>
          <w:color w:val="auto"/>
          <w:szCs w:val="22"/>
          <w:lang w:val="en-US" w:eastAsia="zh-CN"/>
        </w:rPr>
        <w:t>7</w:t>
      </w:r>
      <w:r>
        <w:rPr>
          <w:rFonts w:hint="eastAsia" w:ascii="Times New Roman" w:hAnsi="Times New Roman" w:eastAsia="宋体" w:cs="Times New Roman"/>
          <w:color w:val="auto"/>
          <w:szCs w:val="22"/>
          <w:lang w:eastAsia="zh-CN"/>
        </w:rPr>
        <w:t>）</w:t>
      </w:r>
      <w:r>
        <w:rPr>
          <w:rFonts w:hint="default" w:ascii="Times New Roman" w:hAnsi="Times New Roman" w:eastAsia="宋体" w:cs="Times New Roman"/>
          <w:color w:val="auto"/>
          <w:szCs w:val="22"/>
          <w:lang w:val="en-US" w:eastAsia="zh-CN"/>
        </w:rPr>
        <w:t>区域生态环境</w:t>
      </w:r>
      <w:r>
        <w:rPr>
          <w:rFonts w:hint="default" w:ascii="Times New Roman" w:hAnsi="Times New Roman" w:eastAsia="宋体" w:cs="Times New Roman"/>
          <w:color w:val="auto"/>
          <w:szCs w:val="22"/>
        </w:rPr>
        <w:t>现状</w:t>
      </w:r>
    </w:p>
    <w:p>
      <w:pPr>
        <w:pStyle w:val="65"/>
        <w:ind w:firstLine="480"/>
        <w:rPr>
          <w:rFonts w:hint="default" w:ascii="Times New Roman" w:hAnsi="Times New Roman" w:eastAsia="宋体" w:cs="Times New Roman"/>
          <w:color w:val="auto"/>
          <w:szCs w:val="22"/>
          <w:lang w:eastAsia="zh-CN"/>
        </w:rPr>
      </w:pPr>
      <w:r>
        <w:rPr>
          <w:rFonts w:hint="default" w:ascii="Times New Roman" w:hAnsi="Times New Roman" w:eastAsia="宋体" w:cs="Times New Roman"/>
          <w:color w:val="auto"/>
          <w:szCs w:val="22"/>
        </w:rPr>
        <w:t>项目影响区域</w:t>
      </w:r>
      <w:r>
        <w:rPr>
          <w:rFonts w:hint="default" w:ascii="Times New Roman" w:hAnsi="Times New Roman" w:eastAsia="宋体" w:cs="Times New Roman"/>
          <w:color w:val="auto"/>
          <w:szCs w:val="22"/>
          <w:lang w:val="en-US" w:eastAsia="zh-CN"/>
        </w:rPr>
        <w:t>内生态系统为</w:t>
      </w:r>
      <w:r>
        <w:rPr>
          <w:rFonts w:hint="default" w:ascii="Times New Roman" w:hAnsi="Times New Roman" w:eastAsia="宋体" w:cs="Times New Roman"/>
          <w:color w:val="auto"/>
          <w:szCs w:val="22"/>
        </w:rPr>
        <w:t>以人工植被为主的农业生态系统</w:t>
      </w:r>
      <w:r>
        <w:rPr>
          <w:rFonts w:hint="default" w:ascii="Times New Roman" w:hAnsi="Times New Roman" w:eastAsia="宋体" w:cs="Times New Roman"/>
          <w:color w:val="auto"/>
          <w:szCs w:val="22"/>
          <w:lang w:val="en-US" w:eastAsia="zh-CN"/>
        </w:rPr>
        <w:t>以及</w:t>
      </w:r>
      <w:r>
        <w:rPr>
          <w:rFonts w:hint="default" w:ascii="Times New Roman" w:hAnsi="Times New Roman" w:eastAsia="宋体" w:cs="Times New Roman"/>
          <w:color w:val="auto"/>
          <w:szCs w:val="22"/>
        </w:rPr>
        <w:t>镇区等人工生态系统，主要种植农作物和经济作物。</w:t>
      </w:r>
      <w:r>
        <w:rPr>
          <w:rFonts w:hint="default" w:ascii="Times New Roman" w:hAnsi="Times New Roman" w:eastAsia="宋体" w:cs="Times New Roman"/>
          <w:color w:val="auto"/>
          <w:szCs w:val="22"/>
          <w:lang w:val="en-US" w:eastAsia="zh-CN"/>
        </w:rPr>
        <w:t>区域内用地主要为</w:t>
      </w:r>
      <w:r>
        <w:rPr>
          <w:rFonts w:hint="default" w:ascii="Times New Roman" w:hAnsi="Times New Roman" w:eastAsia="宋体" w:cs="Times New Roman"/>
          <w:color w:val="auto"/>
          <w:szCs w:val="22"/>
        </w:rPr>
        <w:t>荒地和农田，农田种植一季或两季成熟的农作物，</w:t>
      </w:r>
      <w:r>
        <w:rPr>
          <w:rFonts w:hint="default" w:ascii="Times New Roman" w:hAnsi="Times New Roman" w:eastAsia="宋体" w:cs="Times New Roman"/>
          <w:color w:val="auto"/>
          <w:szCs w:val="22"/>
          <w:lang w:val="en-US" w:eastAsia="zh-CN"/>
        </w:rPr>
        <w:t>主要为水稻、油菜</w:t>
      </w:r>
      <w:r>
        <w:rPr>
          <w:rFonts w:hint="eastAsia" w:ascii="Times New Roman" w:hAnsi="Times New Roman" w:cs="Times New Roman"/>
          <w:color w:val="auto"/>
          <w:szCs w:val="22"/>
          <w:lang w:val="en-US" w:eastAsia="zh-CN"/>
        </w:rPr>
        <w:t>、玉米</w:t>
      </w:r>
      <w:r>
        <w:rPr>
          <w:rFonts w:hint="default" w:ascii="Times New Roman" w:hAnsi="Times New Roman" w:eastAsia="宋体" w:cs="Times New Roman"/>
          <w:color w:val="auto"/>
          <w:szCs w:val="22"/>
          <w:lang w:val="en-US" w:eastAsia="zh-CN"/>
        </w:rPr>
        <w:t>等，</w:t>
      </w:r>
      <w:r>
        <w:rPr>
          <w:rFonts w:hint="default" w:ascii="Times New Roman" w:hAnsi="Times New Roman" w:eastAsia="宋体" w:cs="Times New Roman"/>
          <w:color w:val="auto"/>
          <w:szCs w:val="22"/>
        </w:rPr>
        <w:t>受人为干扰作用很大。调查范围内植被类型和植被群落结构都比较单一，以</w:t>
      </w:r>
      <w:r>
        <w:rPr>
          <w:rFonts w:hint="default" w:ascii="Times New Roman" w:hAnsi="Times New Roman" w:eastAsia="宋体" w:cs="Times New Roman"/>
          <w:color w:val="auto"/>
          <w:szCs w:val="22"/>
          <w:lang w:val="en-US" w:eastAsia="zh-CN"/>
        </w:rPr>
        <w:t>农业系统</w:t>
      </w:r>
      <w:r>
        <w:rPr>
          <w:rFonts w:hint="default" w:ascii="Times New Roman" w:hAnsi="Times New Roman" w:eastAsia="宋体" w:cs="Times New Roman"/>
          <w:color w:val="auto"/>
          <w:szCs w:val="22"/>
        </w:rPr>
        <w:t>为主，</w:t>
      </w:r>
      <w:r>
        <w:rPr>
          <w:rFonts w:hint="default" w:ascii="Times New Roman" w:hAnsi="Times New Roman" w:eastAsia="宋体" w:cs="Times New Roman"/>
          <w:color w:val="auto"/>
          <w:szCs w:val="22"/>
          <w:lang w:val="en-US" w:eastAsia="zh-CN"/>
        </w:rPr>
        <w:t>周边</w:t>
      </w:r>
      <w:r>
        <w:rPr>
          <w:rFonts w:hint="default" w:ascii="Times New Roman" w:hAnsi="Times New Roman" w:eastAsia="宋体" w:cs="Times New Roman"/>
          <w:color w:val="auto"/>
          <w:szCs w:val="22"/>
        </w:rPr>
        <w:t>林地也受到一定的人为干扰</w:t>
      </w:r>
      <w:r>
        <w:rPr>
          <w:rFonts w:hint="default" w:ascii="Times New Roman" w:hAnsi="Times New Roman" w:cs="Times New Roman"/>
          <w:color w:val="auto"/>
          <w:szCs w:val="22"/>
        </w:rPr>
        <w:t>。</w:t>
      </w:r>
      <w:r>
        <w:rPr>
          <w:rFonts w:hint="default" w:ascii="Times New Roman" w:hAnsi="Times New Roman" w:eastAsia="宋体" w:cs="Times New Roman"/>
          <w:color w:val="auto"/>
          <w:szCs w:val="22"/>
        </w:rPr>
        <w:t>动物均为常见的鸟类、昆虫、啮齿类以及爬行类动物。区域内无特殊生态保护系统和珍稀濒危保护动植物分布</w:t>
      </w:r>
      <w:r>
        <w:rPr>
          <w:rFonts w:hint="default" w:ascii="Times New Roman" w:hAnsi="Times New Roman" w:eastAsia="宋体" w:cs="Times New Roman"/>
          <w:color w:val="auto"/>
          <w:szCs w:val="22"/>
          <w:lang w:eastAsia="zh-CN"/>
        </w:rPr>
        <w:t>。</w:t>
      </w:r>
    </w:p>
    <w:p>
      <w:pPr>
        <w:pStyle w:val="65"/>
        <w:ind w:firstLine="480"/>
        <w:rPr>
          <w:rFonts w:hint="eastAsia" w:cs="Times New Roman"/>
          <w:color w:val="auto"/>
          <w:szCs w:val="22"/>
          <w:lang w:eastAsia="zh-CN"/>
        </w:rPr>
      </w:pPr>
      <w:r>
        <w:rPr>
          <w:rFonts w:hint="default" w:ascii="Times New Roman" w:hAnsi="Times New Roman" w:eastAsia="宋体" w:cs="Times New Roman"/>
          <w:color w:val="auto"/>
          <w:szCs w:val="22"/>
          <w:lang w:eastAsia="zh-CN"/>
        </w:rPr>
        <w:t>本项目位于涉及湖南东洞庭湖国家级自然保护区实验区，属于生态敏感区。评价区属于</w:t>
      </w:r>
      <w:r>
        <w:rPr>
          <w:rFonts w:hint="eastAsia" w:cs="Times New Roman"/>
          <w:color w:val="auto"/>
          <w:szCs w:val="22"/>
          <w:lang w:val="en-US" w:eastAsia="zh-CN"/>
        </w:rPr>
        <w:t>城镇</w:t>
      </w:r>
      <w:r>
        <w:rPr>
          <w:rFonts w:hint="default" w:ascii="Times New Roman" w:hAnsi="Times New Roman" w:eastAsia="宋体" w:cs="Times New Roman"/>
          <w:color w:val="auto"/>
          <w:szCs w:val="22"/>
          <w:lang w:eastAsia="zh-CN"/>
        </w:rPr>
        <w:t>生态系统</w:t>
      </w:r>
      <w:r>
        <w:rPr>
          <w:rFonts w:hint="eastAsia" w:cs="Times New Roman"/>
          <w:color w:val="auto"/>
          <w:szCs w:val="22"/>
          <w:lang w:eastAsia="zh-CN"/>
        </w:rPr>
        <w:t>；</w:t>
      </w:r>
      <w:r>
        <w:rPr>
          <w:rFonts w:hint="default" w:ascii="Times New Roman" w:hAnsi="Times New Roman" w:eastAsia="宋体" w:cs="Times New Roman"/>
          <w:color w:val="auto"/>
          <w:szCs w:val="22"/>
          <w:lang w:eastAsia="zh-CN"/>
        </w:rPr>
        <w:t>评价区为亚热带常绿阔叶林区，陆生自然植被以樟科、壳斗科、山茶科、山矾科、冬青科和禾本科刚竹属植物为主，湖盆植被以禾本科、菊科、莎草科、蓼科、睡莲科、香蒲科、杨柳科植物为主</w:t>
      </w:r>
      <w:r>
        <w:rPr>
          <w:rFonts w:hint="eastAsia" w:cs="Times New Roman"/>
          <w:color w:val="auto"/>
          <w:szCs w:val="22"/>
          <w:lang w:eastAsia="zh-CN"/>
        </w:rPr>
        <w:t>；</w:t>
      </w:r>
      <w:r>
        <w:rPr>
          <w:rFonts w:hint="default" w:ascii="Times New Roman" w:hAnsi="Times New Roman" w:eastAsia="宋体" w:cs="Times New Roman"/>
          <w:color w:val="auto"/>
          <w:szCs w:val="22"/>
          <w:lang w:eastAsia="zh-CN"/>
        </w:rPr>
        <w:t>评价区周边</w:t>
      </w:r>
      <w:r>
        <w:rPr>
          <w:rFonts w:hint="eastAsia" w:cs="Times New Roman"/>
          <w:color w:val="auto"/>
          <w:szCs w:val="22"/>
          <w:lang w:val="en-US" w:eastAsia="zh-CN"/>
        </w:rPr>
        <w:t>主要为城镇建设</w:t>
      </w:r>
      <w:r>
        <w:rPr>
          <w:rFonts w:hint="default" w:ascii="Times New Roman" w:hAnsi="Times New Roman" w:eastAsia="宋体" w:cs="Times New Roman"/>
          <w:color w:val="auto"/>
          <w:szCs w:val="22"/>
          <w:lang w:eastAsia="zh-CN"/>
        </w:rPr>
        <w:t>用地，受人类活动的影响，大型陆生野生动物少;评价区范围内无需要保护的自然遗迹分布</w:t>
      </w:r>
      <w:r>
        <w:rPr>
          <w:rFonts w:hint="eastAsia" w:cs="Times New Roman"/>
          <w:color w:val="auto"/>
          <w:szCs w:val="22"/>
          <w:lang w:eastAsia="zh-CN"/>
        </w:rPr>
        <w:t>。</w:t>
      </w:r>
    </w:p>
    <w:p>
      <w:pPr>
        <w:pStyle w:val="65"/>
        <w:ind w:left="0" w:leftChars="0" w:firstLine="0" w:firstLineChars="0"/>
        <w:jc w:val="center"/>
        <w:rPr>
          <w:rFonts w:hint="eastAsia" w:ascii="Times New Roman" w:hAnsi="Times New Roman" w:eastAsia="宋体" w:cs="Times New Roman"/>
          <w:color w:val="auto"/>
          <w:lang w:eastAsia="zh-CN"/>
        </w:rPr>
      </w:pPr>
      <w:r>
        <w:rPr>
          <w:color w:val="auto"/>
        </w:rPr>
        <w:drawing>
          <wp:inline distT="0" distB="0" distL="114300" distR="114300">
            <wp:extent cx="5060315" cy="1789430"/>
            <wp:effectExtent l="0" t="0" r="6985" b="127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56"/>
                    <a:stretch>
                      <a:fillRect/>
                    </a:stretch>
                  </pic:blipFill>
                  <pic:spPr>
                    <a:xfrm>
                      <a:off x="0" y="0"/>
                      <a:ext cx="5060315" cy="1789430"/>
                    </a:xfrm>
                    <a:prstGeom prst="rect">
                      <a:avLst/>
                    </a:prstGeom>
                    <a:noFill/>
                    <a:ln>
                      <a:noFill/>
                    </a:ln>
                  </pic:spPr>
                </pic:pic>
              </a:graphicData>
            </a:graphic>
          </wp:inline>
        </w:drawing>
      </w:r>
    </w:p>
    <w:p>
      <w:pPr>
        <w:pStyle w:val="66"/>
        <w:keepNext w:val="0"/>
        <w:keepLines w:val="0"/>
        <w:pageBreakBefore w:val="0"/>
        <w:widowControl w:val="0"/>
        <w:kinsoku/>
        <w:wordWrap/>
        <w:overflowPunct/>
        <w:topLinePunct w:val="0"/>
        <w:autoSpaceDE/>
        <w:autoSpaceDN/>
        <w:bidi w:val="0"/>
        <w:adjustRightInd/>
        <w:snapToGrid/>
        <w:spacing w:beforeLines="0"/>
        <w:jc w:val="center"/>
        <w:textAlignment w:val="auto"/>
        <w:rPr>
          <w:color w:val="auto"/>
        </w:rPr>
      </w:pPr>
      <w:r>
        <w:rPr>
          <w:color w:val="auto"/>
        </w:rPr>
        <w:drawing>
          <wp:inline distT="0" distB="0" distL="114300" distR="114300">
            <wp:extent cx="5063490" cy="1818005"/>
            <wp:effectExtent l="0" t="0" r="3810" b="10795"/>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57"/>
                    <a:stretch>
                      <a:fillRect/>
                    </a:stretch>
                  </pic:blipFill>
                  <pic:spPr>
                    <a:xfrm>
                      <a:off x="0" y="0"/>
                      <a:ext cx="5063490" cy="1818005"/>
                    </a:xfrm>
                    <a:prstGeom prst="rect">
                      <a:avLst/>
                    </a:prstGeom>
                    <a:noFill/>
                    <a:ln>
                      <a:noFill/>
                    </a:ln>
                  </pic:spPr>
                </pic:pic>
              </a:graphicData>
            </a:graphic>
          </wp:inline>
        </w:drawing>
      </w:r>
    </w:p>
    <w:p>
      <w:pPr>
        <w:pStyle w:val="66"/>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图3.1   区域内</w:t>
      </w:r>
      <w:r>
        <w:rPr>
          <w:rFonts w:hint="eastAsia" w:ascii="Times New Roman" w:hAnsi="Times New Roman" w:cs="Times New Roman"/>
          <w:color w:val="auto"/>
          <w:highlight w:val="none"/>
          <w:lang w:val="en-US" w:eastAsia="zh-CN"/>
        </w:rPr>
        <w:t>原有</w:t>
      </w:r>
      <w:r>
        <w:rPr>
          <w:rFonts w:hint="default" w:ascii="Times New Roman" w:hAnsi="Times New Roman" w:cs="Times New Roman"/>
          <w:color w:val="auto"/>
          <w:highlight w:val="none"/>
          <w:lang w:val="en-US" w:eastAsia="zh-CN"/>
        </w:rPr>
        <w:t>生态环境</w:t>
      </w:r>
      <w:r>
        <w:rPr>
          <w:rFonts w:hint="eastAsia" w:ascii="Times New Roman" w:hAnsi="Times New Roman" w:cs="Times New Roman"/>
          <w:color w:val="auto"/>
          <w:highlight w:val="none"/>
          <w:lang w:val="en-US" w:eastAsia="zh-CN"/>
        </w:rPr>
        <w:t>图</w:t>
      </w:r>
    </w:p>
    <w:p>
      <w:pPr>
        <w:pStyle w:val="61"/>
        <w:ind w:left="0" w:leftChars="0" w:firstLine="0" w:firstLineChars="0"/>
        <w:jc w:val="center"/>
        <w:rPr>
          <w:rFonts w:hint="default" w:ascii="Times New Roman" w:hAnsi="Times New Roman" w:eastAsia="宋体" w:cs="Times New Roman"/>
          <w:color w:val="auto"/>
          <w:lang w:val="en-US" w:eastAsia="zh-CN"/>
        </w:rPr>
      </w:pPr>
      <w:r>
        <w:rPr>
          <w:color w:val="auto"/>
        </w:rPr>
        <w:drawing>
          <wp:inline distT="0" distB="0" distL="114300" distR="114300">
            <wp:extent cx="2395855" cy="1826895"/>
            <wp:effectExtent l="0" t="0" r="4445" b="190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58"/>
                    <a:srcRect t="4893" r="3897"/>
                    <a:stretch>
                      <a:fillRect/>
                    </a:stretch>
                  </pic:blipFill>
                  <pic:spPr>
                    <a:xfrm>
                      <a:off x="0" y="0"/>
                      <a:ext cx="2395855" cy="1826895"/>
                    </a:xfrm>
                    <a:prstGeom prst="rect">
                      <a:avLst/>
                    </a:prstGeom>
                    <a:noFill/>
                    <a:ln>
                      <a:noFill/>
                    </a:ln>
                  </pic:spPr>
                </pic:pic>
              </a:graphicData>
            </a:graphic>
          </wp:inline>
        </w:drawing>
      </w:r>
      <w:r>
        <w:rPr>
          <w:rFonts w:hint="eastAsia"/>
          <w:color w:val="auto"/>
          <w:lang w:val="en-US" w:eastAsia="zh-CN"/>
        </w:rPr>
        <w:t xml:space="preserve"> </w:t>
      </w:r>
      <w:r>
        <w:rPr>
          <w:color w:val="auto"/>
        </w:rPr>
        <w:drawing>
          <wp:inline distT="0" distB="0" distL="114300" distR="114300">
            <wp:extent cx="2513330" cy="1815465"/>
            <wp:effectExtent l="0" t="0" r="1270" b="1333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59"/>
                    <a:srcRect t="1448" r="3372"/>
                    <a:stretch>
                      <a:fillRect/>
                    </a:stretch>
                  </pic:blipFill>
                  <pic:spPr>
                    <a:xfrm>
                      <a:off x="0" y="0"/>
                      <a:ext cx="2513330" cy="1815465"/>
                    </a:xfrm>
                    <a:prstGeom prst="rect">
                      <a:avLst/>
                    </a:prstGeom>
                    <a:noFill/>
                    <a:ln>
                      <a:noFill/>
                    </a:ln>
                  </pic:spPr>
                </pic:pic>
              </a:graphicData>
            </a:graphic>
          </wp:inline>
        </w:drawing>
      </w:r>
    </w:p>
    <w:p>
      <w:pPr>
        <w:pStyle w:val="66"/>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图3.</w:t>
      </w: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lang w:val="en-US" w:eastAsia="zh-CN"/>
        </w:rPr>
        <w:t xml:space="preserve">   区域内生态环境</w:t>
      </w:r>
      <w:r>
        <w:rPr>
          <w:rFonts w:hint="eastAsia" w:ascii="Times New Roman" w:hAnsi="Times New Roman" w:cs="Times New Roman"/>
          <w:color w:val="auto"/>
          <w:highlight w:val="none"/>
          <w:lang w:val="en-US" w:eastAsia="zh-CN"/>
        </w:rPr>
        <w:t>现状图</w:t>
      </w:r>
    </w:p>
    <w:p>
      <w:pPr>
        <w:pStyle w:val="66"/>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highlight w:val="none"/>
        </w:rPr>
      </w:pPr>
      <w:r>
        <w:rPr>
          <w:rFonts w:hint="eastAsia"/>
          <w:color w:val="auto"/>
          <w:lang w:val="en-US" w:eastAsia="zh-CN"/>
        </w:rPr>
        <w:t xml:space="preserve"> </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1）区域生态系统现状调查</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本项目生态评价区范围内分布的生态系统类型主要为农村生态系统。</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农村生态系统是城市居民与其环境相互作用而形成的统一整体，也是人类对自然环境的适应、加工、改造而建设起来的特殊的人工生态系统。农村生态系统不仅有生物组成要素(植物、动物和细菌、真菌、病毒)和非生物组成要素(光、热、水、大气等)，还包括人类和社会经济要素，是一种非常脆弱的生态系统，对其他生态系统有很大的依赖性。</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2）植物及植物多样性调查</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评价区植物分布现状：根据《中国植被》类型和区划解读《中华人民共和国植被图(1:1000000)》(中国科学院中国植被图编辑委员会，地址出版社，2007年):评价区范围属于亚热带常绿阔叶林区，陆生自然植被以樟科、壳斗科、山茶科、山矾科、冬青科和禾本科刚竹属植物为主，湖盆植被以禾本科、菊科、莎草科、蓼科、睡莲科、香蒲科、杨柳科植物为主。</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由于项目所在区域土地开发利用程度较高，区内基本不存在原生植被，地表覆盖物以景观植被为主，兼有草丛和少量林木。项目评价区属于城市生态系统，受人为因素影响非常大。</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评价区内植物多样性调查：东洞庭湖国家级自然保护区自然植被主要由湿生植物组成，植被类型依立地水分梯度变化呈圈带状成层分布格局。从陆地至水底依次出现的植被类型是:常绿阔叶林、落叶阔叶林、柳芦荻沼泽植被、苔草草甸、挺水植物、浮叶植物、沉水植物。同层植被组分比较一致，层间植物组分有较大差异。</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本项目</w:t>
      </w:r>
      <w:r>
        <w:rPr>
          <w:rFonts w:hint="eastAsia" w:cs="Times New Roman"/>
          <w:bCs/>
          <w:color w:val="auto"/>
          <w:sz w:val="24"/>
          <w:szCs w:val="21"/>
          <w:highlight w:val="none"/>
          <w:u w:val="none"/>
          <w:lang w:val="en-US" w:eastAsia="zh-CN"/>
        </w:rPr>
        <w:t>目前</w:t>
      </w:r>
      <w:r>
        <w:rPr>
          <w:rFonts w:hint="eastAsia" w:ascii="Times New Roman" w:hAnsi="Times New Roman" w:eastAsia="宋体" w:cs="Times New Roman"/>
          <w:bCs/>
          <w:color w:val="auto"/>
          <w:sz w:val="24"/>
          <w:szCs w:val="21"/>
          <w:highlight w:val="none"/>
          <w:u w:val="none"/>
          <w:lang w:val="en-US" w:eastAsia="zh-CN"/>
        </w:rPr>
        <w:t>位于湖南东洞庭湖国家级自然保护区</w:t>
      </w:r>
      <w:r>
        <w:rPr>
          <w:rFonts w:hint="eastAsia" w:cs="Times New Roman"/>
          <w:bCs/>
          <w:color w:val="auto"/>
          <w:sz w:val="24"/>
          <w:szCs w:val="21"/>
          <w:highlight w:val="none"/>
          <w:u w:val="none"/>
          <w:lang w:val="en-US" w:eastAsia="zh-CN"/>
        </w:rPr>
        <w:t>实验区范围内</w:t>
      </w:r>
      <w:r>
        <w:rPr>
          <w:rFonts w:hint="eastAsia" w:ascii="Times New Roman" w:hAnsi="Times New Roman" w:eastAsia="宋体" w:cs="Times New Roman"/>
          <w:bCs/>
          <w:color w:val="auto"/>
          <w:sz w:val="24"/>
          <w:szCs w:val="21"/>
          <w:highlight w:val="none"/>
          <w:u w:val="none"/>
          <w:lang w:val="en-US" w:eastAsia="zh-CN"/>
        </w:rPr>
        <w:t>，生态评价范围内涉及该自然保护区。洞庭湖湿地植物随湖水深度变化形成不同的植物群落，从空间格局上呈现明显的带状分布特点,由水及陆的总趋势为:沉水植物群落→荫草群落→辣蓼+苔草群落→苔草群落→荻或芦苇群落→美洲黑杨或柳群落。根据《湖南东洞庭湖国家级自然保护区一植被分布图》(2013年12月)可知项目所在的保护区实验区范围内主要分布的植被为芦苇群落。</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评价区为岳阳市华容县较为典型的农村生态系统。植物现状以人工栽植的树木为主，主要乔木种类有:香樟Cinnamomum spp、广玉兰Magnolia grandiflora Linn、桂花Osmanthus fragrans(Thunb.) Lour、枫香iquidambarformosanaHance、水杉</w:t>
      </w:r>
      <w:r>
        <w:rPr>
          <w:rFonts w:hint="default" w:ascii="Times New Roman" w:hAnsi="Times New Roman" w:eastAsia="宋体" w:cs="Times New Roman"/>
          <w:bCs/>
          <w:color w:val="auto"/>
          <w:sz w:val="24"/>
          <w:szCs w:val="21"/>
          <w:highlight w:val="none"/>
          <w:u w:val="none"/>
          <w:lang w:val="en-US" w:eastAsia="zh-CN"/>
        </w:rPr>
        <w:t>Metasequoia glyptostroboides Hu &amp; W. C. Cheng</w:t>
      </w:r>
      <w:r>
        <w:rPr>
          <w:rFonts w:hint="eastAsia" w:ascii="Times New Roman" w:hAnsi="Times New Roman" w:eastAsia="宋体" w:cs="Times New Roman"/>
          <w:bCs/>
          <w:color w:val="auto"/>
          <w:sz w:val="24"/>
          <w:szCs w:val="21"/>
          <w:highlight w:val="none"/>
          <w:u w:val="none"/>
          <w:lang w:val="en-US" w:eastAsia="zh-CN"/>
        </w:rPr>
        <w:t>、加杨</w:t>
      </w:r>
      <w:r>
        <w:rPr>
          <w:rFonts w:hint="default" w:ascii="Times New Roman" w:hAnsi="Times New Roman" w:eastAsia="宋体" w:cs="Times New Roman"/>
          <w:bCs/>
          <w:color w:val="auto"/>
          <w:sz w:val="24"/>
          <w:szCs w:val="21"/>
          <w:highlight w:val="none"/>
          <w:u w:val="none"/>
          <w:lang w:val="en-US" w:eastAsia="zh-CN"/>
        </w:rPr>
        <w:t xml:space="preserve">Populus X canadensis Moench </w:t>
      </w:r>
      <w:r>
        <w:rPr>
          <w:rFonts w:hint="eastAsia" w:ascii="Times New Roman" w:hAnsi="Times New Roman" w:eastAsia="宋体" w:cs="Times New Roman"/>
          <w:bCs/>
          <w:color w:val="auto"/>
          <w:sz w:val="24"/>
          <w:szCs w:val="21"/>
          <w:highlight w:val="none"/>
          <w:u w:val="none"/>
          <w:lang w:val="en-US" w:eastAsia="zh-CN"/>
        </w:rPr>
        <w:t>、栾树Koelreuteria paniculata Laxm。</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主要灌木种类有:小叶女贞Ligustrumquihoui Carr、山茶Camellia japonica L、红继木 Loropetalum chinensis、栀子花Gardenia Ellis、杜鹃Rhododendron simsii Planch。</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根据《湖南植被》的分类原则和分类单位，采用“群落学—生态学”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原则，依据对评价区内植被的群落种类组成、外貌结构、生活型、建群种类、生态地理特征和动态特征调查统计分析，评价区主要植被分为天然植物群落和栽培植物群落两大类，其中自然植被可划分为 </w:t>
      </w:r>
      <w:r>
        <w:rPr>
          <w:rFonts w:hint="default" w:ascii="Times New Roman" w:hAnsi="Times New Roman" w:eastAsia="宋体" w:cs="Times New Roman"/>
          <w:bCs/>
          <w:color w:val="auto"/>
          <w:sz w:val="24"/>
          <w:szCs w:val="21"/>
          <w:highlight w:val="none"/>
          <w:u w:val="none"/>
          <w:lang w:val="en-US" w:eastAsia="zh-CN"/>
        </w:rPr>
        <w:t xml:space="preserve">2 </w:t>
      </w:r>
      <w:r>
        <w:rPr>
          <w:rFonts w:hint="eastAsia" w:ascii="Times New Roman" w:hAnsi="Times New Roman" w:eastAsia="宋体" w:cs="Times New Roman"/>
          <w:bCs/>
          <w:color w:val="auto"/>
          <w:sz w:val="24"/>
          <w:szCs w:val="21"/>
          <w:highlight w:val="none"/>
          <w:u w:val="none"/>
          <w:lang w:val="en-US" w:eastAsia="zh-CN"/>
        </w:rPr>
        <w:t>个植被型组、</w:t>
      </w:r>
      <w:r>
        <w:rPr>
          <w:rFonts w:hint="default" w:ascii="Times New Roman" w:hAnsi="Times New Roman" w:eastAsia="宋体" w:cs="Times New Roman"/>
          <w:bCs/>
          <w:color w:val="auto"/>
          <w:sz w:val="24"/>
          <w:szCs w:val="21"/>
          <w:highlight w:val="none"/>
          <w:u w:val="none"/>
          <w:lang w:val="en-US" w:eastAsia="zh-CN"/>
        </w:rPr>
        <w:t>3</w:t>
      </w:r>
      <w:r>
        <w:rPr>
          <w:rFonts w:hint="eastAsia" w:ascii="Times New Roman" w:hAnsi="Times New Roman" w:eastAsia="宋体" w:cs="Times New Roman"/>
          <w:bCs/>
          <w:color w:val="auto"/>
          <w:sz w:val="24"/>
          <w:szCs w:val="21"/>
          <w:highlight w:val="none"/>
          <w:u w:val="none"/>
          <w:lang w:val="en-US" w:eastAsia="zh-CN"/>
        </w:rPr>
        <w:t>个植被型、</w:t>
      </w:r>
      <w:r>
        <w:rPr>
          <w:rFonts w:hint="default" w:ascii="Times New Roman" w:hAnsi="Times New Roman" w:eastAsia="宋体" w:cs="Times New Roman"/>
          <w:bCs/>
          <w:color w:val="auto"/>
          <w:sz w:val="24"/>
          <w:szCs w:val="21"/>
          <w:highlight w:val="none"/>
          <w:u w:val="none"/>
          <w:lang w:val="en-US" w:eastAsia="zh-CN"/>
        </w:rPr>
        <w:t xml:space="preserve">13 </w:t>
      </w:r>
      <w:r>
        <w:rPr>
          <w:rFonts w:hint="eastAsia" w:ascii="Times New Roman" w:hAnsi="Times New Roman" w:eastAsia="宋体" w:cs="Times New Roman"/>
          <w:bCs/>
          <w:color w:val="auto"/>
          <w:sz w:val="24"/>
          <w:szCs w:val="21"/>
          <w:highlight w:val="none"/>
          <w:u w:val="none"/>
          <w:lang w:val="en-US" w:eastAsia="zh-CN"/>
        </w:rPr>
        <w:t xml:space="preserve">个群系；栽培植被可划分为 </w:t>
      </w:r>
      <w:r>
        <w:rPr>
          <w:rFonts w:hint="default" w:ascii="Times New Roman" w:hAnsi="Times New Roman" w:eastAsia="宋体" w:cs="Times New Roman"/>
          <w:bCs/>
          <w:color w:val="auto"/>
          <w:sz w:val="24"/>
          <w:szCs w:val="21"/>
          <w:highlight w:val="none"/>
          <w:u w:val="none"/>
          <w:lang w:val="en-US" w:eastAsia="zh-CN"/>
        </w:rPr>
        <w:t xml:space="preserve">1 </w:t>
      </w:r>
      <w:r>
        <w:rPr>
          <w:rFonts w:hint="eastAsia" w:ascii="Times New Roman" w:hAnsi="Times New Roman" w:eastAsia="宋体" w:cs="Times New Roman"/>
          <w:bCs/>
          <w:color w:val="auto"/>
          <w:sz w:val="24"/>
          <w:szCs w:val="21"/>
          <w:highlight w:val="none"/>
          <w:u w:val="none"/>
          <w:lang w:val="en-US" w:eastAsia="zh-CN"/>
        </w:rPr>
        <w:t>类、</w:t>
      </w:r>
      <w:r>
        <w:rPr>
          <w:rFonts w:hint="default" w:ascii="Times New Roman" w:hAnsi="Times New Roman" w:eastAsia="宋体" w:cs="Times New Roman"/>
          <w:bCs/>
          <w:color w:val="auto"/>
          <w:sz w:val="24"/>
          <w:szCs w:val="21"/>
          <w:highlight w:val="none"/>
          <w:u w:val="none"/>
          <w:lang w:val="en-US" w:eastAsia="zh-CN"/>
        </w:rPr>
        <w:t xml:space="preserve">1 </w:t>
      </w:r>
      <w:r>
        <w:rPr>
          <w:rFonts w:hint="eastAsia" w:ascii="Times New Roman" w:hAnsi="Times New Roman" w:eastAsia="宋体" w:cs="Times New Roman"/>
          <w:bCs/>
          <w:color w:val="auto"/>
          <w:sz w:val="24"/>
          <w:szCs w:val="21"/>
          <w:highlight w:val="none"/>
          <w:u w:val="none"/>
          <w:lang w:val="en-US" w:eastAsia="zh-CN"/>
        </w:rPr>
        <w:t>型、</w:t>
      </w:r>
      <w:r>
        <w:rPr>
          <w:rFonts w:hint="default" w:ascii="Times New Roman" w:hAnsi="Times New Roman" w:eastAsia="宋体" w:cs="Times New Roman"/>
          <w:bCs/>
          <w:color w:val="auto"/>
          <w:sz w:val="24"/>
          <w:szCs w:val="21"/>
          <w:highlight w:val="none"/>
          <w:u w:val="none"/>
          <w:lang w:val="en-US" w:eastAsia="zh-CN"/>
        </w:rPr>
        <w:t xml:space="preserve">2 </w:t>
      </w:r>
      <w:r>
        <w:rPr>
          <w:rFonts w:hint="eastAsia" w:ascii="Times New Roman" w:hAnsi="Times New Roman" w:eastAsia="宋体" w:cs="Times New Roman"/>
          <w:bCs/>
          <w:color w:val="auto"/>
          <w:sz w:val="24"/>
          <w:szCs w:val="21"/>
          <w:highlight w:val="none"/>
          <w:u w:val="none"/>
          <w:lang w:val="en-US" w:eastAsia="zh-CN"/>
        </w:rPr>
        <w:t xml:space="preserve">林（园）。自然植被较为简单以草甸和沼泽植被为主，有白茅草甸、狗牙根草甸、芦苇群落等；栽培植被仅有用材林型 </w:t>
      </w:r>
      <w:r>
        <w:rPr>
          <w:rFonts w:hint="default" w:ascii="Times New Roman" w:hAnsi="Times New Roman" w:eastAsia="宋体" w:cs="Times New Roman"/>
          <w:bCs/>
          <w:color w:val="auto"/>
          <w:sz w:val="24"/>
          <w:szCs w:val="21"/>
          <w:highlight w:val="none"/>
          <w:u w:val="none"/>
          <w:lang w:val="en-US" w:eastAsia="zh-CN"/>
        </w:rPr>
        <w:t xml:space="preserve">1 </w:t>
      </w:r>
      <w:r>
        <w:rPr>
          <w:rFonts w:hint="eastAsia" w:ascii="Times New Roman" w:hAnsi="Times New Roman" w:eastAsia="宋体" w:cs="Times New Roman"/>
          <w:bCs/>
          <w:color w:val="auto"/>
          <w:sz w:val="24"/>
          <w:szCs w:val="21"/>
          <w:highlight w:val="none"/>
          <w:u w:val="none"/>
          <w:lang w:val="en-US" w:eastAsia="zh-CN"/>
        </w:rPr>
        <w:t>种，包括水杉林和加杨林两种。具体植被类型分类见下表。</w:t>
      </w:r>
    </w:p>
    <w:p>
      <w:pPr>
        <w:pStyle w:val="66"/>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rPr>
      </w:pPr>
      <w:r>
        <w:rPr>
          <w:rFonts w:hint="eastAsia" w:cs="Times New Roman"/>
          <w:color w:val="auto"/>
          <w:lang w:val="en-US" w:eastAsia="zh-CN"/>
        </w:rPr>
        <w:t xml:space="preserve">表3-2  </w:t>
      </w:r>
      <w:r>
        <w:rPr>
          <w:rFonts w:hint="eastAsia" w:ascii="Times New Roman" w:hAnsi="Times New Roman" w:cs="Times New Roman"/>
          <w:color w:val="auto"/>
        </w:rPr>
        <w:t>评价区主要植被类型表</w:t>
      </w:r>
    </w:p>
    <w:p>
      <w:pPr>
        <w:wordWrap w:val="0"/>
        <w:spacing w:before="0" w:after="0" w:line="97" w:lineRule="auto"/>
        <w:ind w:firstLine="0"/>
        <w:jc w:val="both"/>
        <w:rPr>
          <w:rFonts w:hint="eastAsia" w:ascii="宋体" w:hAnsi="宋体" w:eastAsia="宋体"/>
          <w:color w:val="auto"/>
          <w:sz w:val="12"/>
        </w:rPr>
      </w:pPr>
    </w:p>
    <w:tbl>
      <w:tblPr>
        <w:tblStyle w:val="22"/>
        <w:tblW w:w="0" w:type="auto"/>
        <w:tblInd w:w="8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1" w:type="dxa"/>
          <w:bottom w:w="0" w:type="dxa"/>
          <w:right w:w="11" w:type="dxa"/>
        </w:tblCellMar>
      </w:tblPr>
      <w:tblGrid>
        <w:gridCol w:w="496"/>
        <w:gridCol w:w="1062"/>
        <w:gridCol w:w="968"/>
        <w:gridCol w:w="1413"/>
        <w:gridCol w:w="769"/>
        <w:gridCol w:w="456"/>
        <w:gridCol w:w="668"/>
        <w:gridCol w:w="809"/>
        <w:gridCol w:w="1048"/>
        <w:gridCol w:w="55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708" w:type="dxa"/>
            <w:gridSpan w:val="5"/>
            <w:tcBorders>
              <w:tl2br w:val="nil"/>
              <w:tr2bl w:val="nil"/>
            </w:tcBorders>
            <w:vAlign w:val="center"/>
          </w:tcPr>
          <w:p>
            <w:pPr>
              <w:pStyle w:val="67"/>
              <w:jc w:val="center"/>
              <w:rPr>
                <w:rFonts w:hint="eastAsia" w:ascii="Times New Roman" w:hAnsi="Times New Roman" w:cs="Times New Roman"/>
                <w:b/>
                <w:bCs/>
                <w:color w:val="auto"/>
              </w:rPr>
            </w:pPr>
            <w:r>
              <w:rPr>
                <w:rFonts w:hint="eastAsia" w:ascii="Times New Roman" w:hAnsi="Times New Roman" w:cs="Times New Roman"/>
                <w:b/>
                <w:bCs/>
                <w:color w:val="auto"/>
              </w:rPr>
              <w:t>自然植被</w:t>
            </w:r>
          </w:p>
        </w:tc>
        <w:tc>
          <w:tcPr>
            <w:tcW w:w="3538" w:type="dxa"/>
            <w:gridSpan w:val="5"/>
            <w:tcBorders>
              <w:tl2br w:val="nil"/>
              <w:tr2bl w:val="nil"/>
            </w:tcBorders>
            <w:vAlign w:val="center"/>
          </w:tcPr>
          <w:p>
            <w:pPr>
              <w:pStyle w:val="67"/>
              <w:jc w:val="center"/>
              <w:rPr>
                <w:rFonts w:hint="eastAsia" w:ascii="Times New Roman" w:hAnsi="Times New Roman" w:cs="Times New Roman"/>
                <w:b/>
                <w:bCs/>
                <w:color w:val="auto"/>
              </w:rPr>
            </w:pPr>
            <w:r>
              <w:rPr>
                <w:rFonts w:hint="eastAsia" w:ascii="Times New Roman" w:hAnsi="Times New Roman" w:cs="Times New Roman"/>
                <w:b/>
                <w:bCs/>
                <w:color w:val="auto"/>
              </w:rPr>
              <w:t>栽培植被</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67"/>
              <w:jc w:val="center"/>
              <w:rPr>
                <w:rFonts w:hint="default" w:ascii="Times New Roman" w:hAnsi="Times New Roman" w:cs="Times New Roman"/>
                <w:b/>
                <w:bCs/>
                <w:color w:val="auto"/>
              </w:rPr>
            </w:pPr>
            <w:r>
              <w:rPr>
                <w:rFonts w:hint="eastAsia" w:ascii="Times New Roman" w:hAnsi="Times New Roman" w:cs="Times New Roman"/>
                <w:b/>
                <w:bCs/>
                <w:color w:val="auto"/>
              </w:rPr>
              <w:t>序号</w:t>
            </w:r>
          </w:p>
        </w:tc>
        <w:tc>
          <w:tcPr>
            <w:tcW w:w="1062" w:type="dxa"/>
            <w:tcBorders>
              <w:tl2br w:val="nil"/>
              <w:tr2bl w:val="nil"/>
            </w:tcBorders>
            <w:vAlign w:val="center"/>
          </w:tcPr>
          <w:p>
            <w:pPr>
              <w:pStyle w:val="67"/>
              <w:jc w:val="center"/>
              <w:rPr>
                <w:rFonts w:hint="default" w:ascii="Times New Roman" w:hAnsi="Times New Roman" w:cs="Times New Roman"/>
                <w:b/>
                <w:bCs/>
                <w:color w:val="auto"/>
              </w:rPr>
            </w:pPr>
            <w:r>
              <w:rPr>
                <w:rFonts w:hint="eastAsia" w:ascii="Times New Roman" w:hAnsi="Times New Roman" w:cs="Times New Roman"/>
                <w:b/>
                <w:bCs/>
                <w:color w:val="auto"/>
              </w:rPr>
              <w:t>植被型组</w:t>
            </w:r>
          </w:p>
        </w:tc>
        <w:tc>
          <w:tcPr>
            <w:tcW w:w="968" w:type="dxa"/>
            <w:tcBorders>
              <w:tl2br w:val="nil"/>
              <w:tr2bl w:val="nil"/>
            </w:tcBorders>
            <w:vAlign w:val="center"/>
          </w:tcPr>
          <w:p>
            <w:pPr>
              <w:pStyle w:val="67"/>
              <w:jc w:val="center"/>
              <w:rPr>
                <w:rFonts w:hint="default" w:ascii="Times New Roman" w:hAnsi="Times New Roman" w:cs="Times New Roman"/>
                <w:b/>
                <w:bCs/>
                <w:color w:val="auto"/>
              </w:rPr>
            </w:pPr>
            <w:r>
              <w:rPr>
                <w:rFonts w:hint="eastAsia" w:ascii="Times New Roman" w:hAnsi="Times New Roman" w:cs="Times New Roman"/>
                <w:b/>
                <w:bCs/>
                <w:color w:val="auto"/>
              </w:rPr>
              <w:t>植被型</w:t>
            </w:r>
          </w:p>
        </w:tc>
        <w:tc>
          <w:tcPr>
            <w:tcW w:w="1413" w:type="dxa"/>
            <w:tcBorders>
              <w:tl2br w:val="nil"/>
              <w:tr2bl w:val="nil"/>
            </w:tcBorders>
            <w:vAlign w:val="center"/>
          </w:tcPr>
          <w:p>
            <w:pPr>
              <w:pStyle w:val="67"/>
              <w:jc w:val="center"/>
              <w:rPr>
                <w:rFonts w:hint="default" w:ascii="Times New Roman" w:hAnsi="Times New Roman" w:cs="Times New Roman"/>
                <w:b/>
                <w:bCs/>
                <w:color w:val="auto"/>
              </w:rPr>
            </w:pPr>
            <w:r>
              <w:rPr>
                <w:rFonts w:hint="eastAsia" w:ascii="Times New Roman" w:hAnsi="Times New Roman" w:cs="Times New Roman"/>
                <w:b/>
                <w:bCs/>
                <w:color w:val="auto"/>
              </w:rPr>
              <w:t>群系</w:t>
            </w:r>
          </w:p>
        </w:tc>
        <w:tc>
          <w:tcPr>
            <w:tcW w:w="769" w:type="dxa"/>
            <w:tcBorders>
              <w:tl2br w:val="nil"/>
              <w:tr2bl w:val="nil"/>
            </w:tcBorders>
            <w:vAlign w:val="center"/>
          </w:tcPr>
          <w:p>
            <w:pPr>
              <w:pStyle w:val="67"/>
              <w:jc w:val="center"/>
              <w:rPr>
                <w:rFonts w:hint="default" w:ascii="Times New Roman" w:hAnsi="Times New Roman" w:cs="Times New Roman"/>
                <w:b/>
                <w:bCs/>
                <w:color w:val="auto"/>
              </w:rPr>
            </w:pPr>
            <w:r>
              <w:rPr>
                <w:rFonts w:hint="eastAsia" w:ascii="Times New Roman" w:hAnsi="Times New Roman" w:cs="Times New Roman"/>
                <w:b/>
                <w:bCs/>
                <w:color w:val="auto"/>
              </w:rPr>
              <w:t>起源</w:t>
            </w:r>
          </w:p>
        </w:tc>
        <w:tc>
          <w:tcPr>
            <w:tcW w:w="456" w:type="dxa"/>
            <w:tcBorders>
              <w:tl2br w:val="nil"/>
              <w:tr2bl w:val="nil"/>
            </w:tcBorders>
            <w:vAlign w:val="center"/>
          </w:tcPr>
          <w:p>
            <w:pPr>
              <w:pStyle w:val="67"/>
              <w:jc w:val="center"/>
              <w:rPr>
                <w:rFonts w:hint="default" w:ascii="Times New Roman" w:hAnsi="Times New Roman" w:cs="Times New Roman"/>
                <w:b/>
                <w:bCs/>
                <w:color w:val="auto"/>
              </w:rPr>
            </w:pPr>
            <w:r>
              <w:rPr>
                <w:rFonts w:hint="eastAsia" w:ascii="Times New Roman" w:hAnsi="Times New Roman" w:cs="Times New Roman"/>
                <w:b/>
                <w:bCs/>
                <w:color w:val="auto"/>
              </w:rPr>
              <w:t>序号</w:t>
            </w:r>
          </w:p>
        </w:tc>
        <w:tc>
          <w:tcPr>
            <w:tcW w:w="668" w:type="dxa"/>
            <w:tcBorders>
              <w:tl2br w:val="nil"/>
              <w:tr2bl w:val="nil"/>
            </w:tcBorders>
            <w:vAlign w:val="center"/>
          </w:tcPr>
          <w:p>
            <w:pPr>
              <w:pStyle w:val="67"/>
              <w:jc w:val="center"/>
              <w:rPr>
                <w:rFonts w:hint="default" w:ascii="Times New Roman" w:hAnsi="Times New Roman" w:cs="Times New Roman"/>
                <w:b/>
                <w:bCs/>
                <w:color w:val="auto"/>
              </w:rPr>
            </w:pPr>
            <w:r>
              <w:rPr>
                <w:rFonts w:hint="eastAsia" w:ascii="Times New Roman" w:hAnsi="Times New Roman" w:cs="Times New Roman"/>
                <w:b/>
                <w:bCs/>
                <w:color w:val="auto"/>
              </w:rPr>
              <w:t>类</w:t>
            </w:r>
          </w:p>
        </w:tc>
        <w:tc>
          <w:tcPr>
            <w:tcW w:w="809" w:type="dxa"/>
            <w:tcBorders>
              <w:tl2br w:val="nil"/>
              <w:tr2bl w:val="nil"/>
            </w:tcBorders>
            <w:vAlign w:val="center"/>
          </w:tcPr>
          <w:p>
            <w:pPr>
              <w:pStyle w:val="67"/>
              <w:jc w:val="center"/>
              <w:rPr>
                <w:rFonts w:hint="default" w:ascii="Times New Roman" w:hAnsi="Times New Roman" w:cs="Times New Roman"/>
                <w:b/>
                <w:bCs/>
                <w:color w:val="auto"/>
              </w:rPr>
            </w:pPr>
            <w:r>
              <w:rPr>
                <w:rFonts w:hint="eastAsia" w:ascii="Times New Roman" w:hAnsi="Times New Roman" w:cs="Times New Roman"/>
                <w:b/>
                <w:bCs/>
                <w:color w:val="auto"/>
              </w:rPr>
              <w:t>型</w:t>
            </w:r>
          </w:p>
        </w:tc>
        <w:tc>
          <w:tcPr>
            <w:tcW w:w="1048" w:type="dxa"/>
            <w:tcBorders>
              <w:tl2br w:val="nil"/>
              <w:tr2bl w:val="nil"/>
            </w:tcBorders>
            <w:vAlign w:val="center"/>
          </w:tcPr>
          <w:p>
            <w:pPr>
              <w:pStyle w:val="67"/>
              <w:jc w:val="center"/>
              <w:rPr>
                <w:rFonts w:hint="default" w:ascii="Times New Roman" w:hAnsi="Times New Roman" w:cs="Times New Roman"/>
                <w:b/>
                <w:bCs/>
                <w:color w:val="auto"/>
              </w:rPr>
            </w:pPr>
            <w:r>
              <w:rPr>
                <w:rFonts w:hint="eastAsia" w:ascii="Times New Roman" w:hAnsi="Times New Roman" w:cs="Times New Roman"/>
                <w:b/>
                <w:bCs/>
                <w:color w:val="auto"/>
              </w:rPr>
              <w:t>林</w:t>
            </w:r>
          </w:p>
          <w:p>
            <w:pPr>
              <w:pStyle w:val="67"/>
              <w:jc w:val="center"/>
              <w:rPr>
                <w:rFonts w:hint="default" w:ascii="Times New Roman" w:hAnsi="Times New Roman" w:cs="Times New Roman"/>
                <w:b/>
                <w:bCs/>
                <w:color w:val="auto"/>
              </w:rPr>
            </w:pPr>
            <w:r>
              <w:rPr>
                <w:rFonts w:hint="eastAsia" w:ascii="Times New Roman" w:hAnsi="Times New Roman" w:cs="Times New Roman"/>
                <w:b/>
                <w:bCs/>
                <w:color w:val="auto"/>
              </w:rPr>
              <w:t>（园）</w:t>
            </w:r>
          </w:p>
        </w:tc>
        <w:tc>
          <w:tcPr>
            <w:tcW w:w="557" w:type="dxa"/>
            <w:tcBorders>
              <w:tl2br w:val="nil"/>
              <w:tr2bl w:val="nil"/>
            </w:tcBorders>
            <w:vAlign w:val="center"/>
          </w:tcPr>
          <w:p>
            <w:pPr>
              <w:pStyle w:val="67"/>
              <w:jc w:val="center"/>
              <w:rPr>
                <w:rFonts w:hint="default" w:ascii="Times New Roman" w:hAnsi="Times New Roman" w:cs="Times New Roman"/>
                <w:b/>
                <w:bCs/>
                <w:color w:val="auto"/>
              </w:rPr>
            </w:pPr>
            <w:r>
              <w:rPr>
                <w:rFonts w:hint="eastAsia" w:ascii="Times New Roman" w:hAnsi="Times New Roman" w:cs="Times New Roman"/>
                <w:b/>
                <w:bCs/>
                <w:color w:val="auto"/>
              </w:rPr>
              <w:t>起源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1</w:t>
            </w:r>
          </w:p>
        </w:tc>
        <w:tc>
          <w:tcPr>
            <w:tcW w:w="1062" w:type="dxa"/>
            <w:vMerge w:val="restart"/>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草甸</w:t>
            </w:r>
          </w:p>
        </w:tc>
        <w:tc>
          <w:tcPr>
            <w:tcW w:w="968" w:type="dxa"/>
            <w:vMerge w:val="restart"/>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草甸</w:t>
            </w:r>
          </w:p>
        </w:tc>
        <w:tc>
          <w:tcPr>
            <w:tcW w:w="1413"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白茅草甸</w:t>
            </w:r>
          </w:p>
        </w:tc>
        <w:tc>
          <w:tcPr>
            <w:tcW w:w="769"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天然</w:t>
            </w:r>
          </w:p>
        </w:tc>
        <w:tc>
          <w:tcPr>
            <w:tcW w:w="456"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1</w:t>
            </w:r>
          </w:p>
        </w:tc>
        <w:tc>
          <w:tcPr>
            <w:tcW w:w="668" w:type="dxa"/>
            <w:vMerge w:val="restart"/>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木本</w:t>
            </w:r>
          </w:p>
          <w:p>
            <w:pPr>
              <w:pStyle w:val="67"/>
              <w:jc w:val="center"/>
              <w:rPr>
                <w:rFonts w:hint="default" w:ascii="Times New Roman" w:hAnsi="Times New Roman" w:cs="Times New Roman"/>
                <w:color w:val="auto"/>
              </w:rPr>
            </w:pPr>
            <w:r>
              <w:rPr>
                <w:rFonts w:hint="eastAsia" w:ascii="Times New Roman" w:hAnsi="Times New Roman" w:cs="Times New Roman"/>
                <w:color w:val="auto"/>
              </w:rPr>
              <w:t>类</w:t>
            </w:r>
          </w:p>
        </w:tc>
        <w:tc>
          <w:tcPr>
            <w:tcW w:w="809" w:type="dxa"/>
            <w:vMerge w:val="restart"/>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用材林</w:t>
            </w:r>
          </w:p>
          <w:p>
            <w:pPr>
              <w:pStyle w:val="67"/>
              <w:jc w:val="center"/>
              <w:rPr>
                <w:rFonts w:hint="default" w:ascii="Times New Roman" w:hAnsi="Times New Roman" w:cs="Times New Roman"/>
                <w:color w:val="auto"/>
              </w:rPr>
            </w:pPr>
            <w:r>
              <w:rPr>
                <w:rFonts w:hint="eastAsia" w:ascii="Times New Roman" w:hAnsi="Times New Roman" w:cs="Times New Roman"/>
                <w:color w:val="auto"/>
              </w:rPr>
              <w:t>型</w:t>
            </w:r>
          </w:p>
        </w:tc>
        <w:tc>
          <w:tcPr>
            <w:tcW w:w="1048"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水杉林</w:t>
            </w:r>
          </w:p>
        </w:tc>
        <w:tc>
          <w:tcPr>
            <w:tcW w:w="557"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人工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2</w:t>
            </w:r>
          </w:p>
        </w:tc>
        <w:tc>
          <w:tcPr>
            <w:tcW w:w="1062" w:type="dxa"/>
            <w:vMerge w:val="continue"/>
            <w:tcBorders>
              <w:tl2br w:val="nil"/>
              <w:tr2bl w:val="nil"/>
            </w:tcBorders>
            <w:vAlign w:val="center"/>
          </w:tcPr>
          <w:p>
            <w:pPr>
              <w:pStyle w:val="67"/>
              <w:jc w:val="center"/>
              <w:rPr>
                <w:rFonts w:hint="default" w:ascii="Times New Roman" w:hAnsi="Times New Roman" w:cs="Times New Roman"/>
                <w:color w:val="auto"/>
              </w:rPr>
            </w:pPr>
          </w:p>
        </w:tc>
        <w:tc>
          <w:tcPr>
            <w:tcW w:w="968" w:type="dxa"/>
            <w:vMerge w:val="continue"/>
            <w:tcBorders>
              <w:tl2br w:val="nil"/>
              <w:tr2bl w:val="nil"/>
            </w:tcBorders>
            <w:vAlign w:val="center"/>
          </w:tcPr>
          <w:p>
            <w:pPr>
              <w:pStyle w:val="67"/>
              <w:jc w:val="center"/>
              <w:rPr>
                <w:rFonts w:hint="default" w:ascii="Times New Roman" w:hAnsi="Times New Roman" w:cs="Times New Roman"/>
                <w:color w:val="auto"/>
              </w:rPr>
            </w:pPr>
          </w:p>
        </w:tc>
        <w:tc>
          <w:tcPr>
            <w:tcW w:w="1413"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芒草甸</w:t>
            </w:r>
          </w:p>
        </w:tc>
        <w:tc>
          <w:tcPr>
            <w:tcW w:w="769"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天然</w:t>
            </w:r>
          </w:p>
        </w:tc>
        <w:tc>
          <w:tcPr>
            <w:tcW w:w="456"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2</w:t>
            </w:r>
          </w:p>
        </w:tc>
        <w:tc>
          <w:tcPr>
            <w:tcW w:w="668" w:type="dxa"/>
            <w:vMerge w:val="continue"/>
            <w:tcBorders>
              <w:tl2br w:val="nil"/>
              <w:tr2bl w:val="nil"/>
            </w:tcBorders>
            <w:vAlign w:val="center"/>
          </w:tcPr>
          <w:p>
            <w:pPr>
              <w:pStyle w:val="67"/>
              <w:jc w:val="center"/>
              <w:rPr>
                <w:rFonts w:hint="default" w:ascii="Times New Roman" w:hAnsi="Times New Roman" w:cs="Times New Roman"/>
                <w:color w:val="auto"/>
              </w:rPr>
            </w:pPr>
          </w:p>
        </w:tc>
        <w:tc>
          <w:tcPr>
            <w:tcW w:w="809" w:type="dxa"/>
            <w:vMerge w:val="continue"/>
            <w:tcBorders>
              <w:tl2br w:val="nil"/>
              <w:tr2bl w:val="nil"/>
            </w:tcBorders>
            <w:vAlign w:val="center"/>
          </w:tcPr>
          <w:p>
            <w:pPr>
              <w:pStyle w:val="67"/>
              <w:jc w:val="center"/>
              <w:rPr>
                <w:rFonts w:hint="default" w:ascii="Times New Roman" w:hAnsi="Times New Roman" w:cs="Times New Roman"/>
                <w:color w:val="auto"/>
              </w:rPr>
            </w:pPr>
          </w:p>
        </w:tc>
        <w:tc>
          <w:tcPr>
            <w:tcW w:w="1048"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加杨林</w:t>
            </w:r>
          </w:p>
        </w:tc>
        <w:tc>
          <w:tcPr>
            <w:tcW w:w="557"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人工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3</w:t>
            </w:r>
          </w:p>
        </w:tc>
        <w:tc>
          <w:tcPr>
            <w:tcW w:w="1062" w:type="dxa"/>
            <w:vMerge w:val="continue"/>
            <w:tcBorders>
              <w:tl2br w:val="nil"/>
              <w:tr2bl w:val="nil"/>
            </w:tcBorders>
            <w:vAlign w:val="center"/>
          </w:tcPr>
          <w:p>
            <w:pPr>
              <w:pStyle w:val="67"/>
              <w:jc w:val="center"/>
              <w:rPr>
                <w:rFonts w:hint="default" w:ascii="Times New Roman" w:hAnsi="Times New Roman" w:cs="Times New Roman"/>
                <w:color w:val="auto"/>
              </w:rPr>
            </w:pPr>
          </w:p>
        </w:tc>
        <w:tc>
          <w:tcPr>
            <w:tcW w:w="968" w:type="dxa"/>
            <w:vMerge w:val="continue"/>
            <w:tcBorders>
              <w:tl2br w:val="nil"/>
              <w:tr2bl w:val="nil"/>
            </w:tcBorders>
            <w:vAlign w:val="center"/>
          </w:tcPr>
          <w:p>
            <w:pPr>
              <w:pStyle w:val="67"/>
              <w:jc w:val="center"/>
              <w:rPr>
                <w:rFonts w:hint="default" w:ascii="Times New Roman" w:hAnsi="Times New Roman" w:cs="Times New Roman"/>
                <w:color w:val="auto"/>
              </w:rPr>
            </w:pPr>
          </w:p>
        </w:tc>
        <w:tc>
          <w:tcPr>
            <w:tcW w:w="1413"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狗牙根草甸</w:t>
            </w:r>
          </w:p>
        </w:tc>
        <w:tc>
          <w:tcPr>
            <w:tcW w:w="769"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天然</w:t>
            </w:r>
          </w:p>
        </w:tc>
        <w:tc>
          <w:tcPr>
            <w:tcW w:w="456" w:type="dxa"/>
            <w:tcBorders>
              <w:tl2br w:val="nil"/>
              <w:tr2bl w:val="nil"/>
            </w:tcBorders>
            <w:vAlign w:val="center"/>
          </w:tcPr>
          <w:p>
            <w:pPr>
              <w:pStyle w:val="67"/>
              <w:jc w:val="center"/>
              <w:rPr>
                <w:rFonts w:hint="eastAsia" w:ascii="Times New Roman" w:hAnsi="Times New Roman" w:cs="Times New Roman"/>
                <w:color w:val="auto"/>
              </w:rPr>
            </w:pPr>
          </w:p>
        </w:tc>
        <w:tc>
          <w:tcPr>
            <w:tcW w:w="668" w:type="dxa"/>
            <w:tcBorders>
              <w:tl2br w:val="nil"/>
              <w:tr2bl w:val="nil"/>
            </w:tcBorders>
            <w:vAlign w:val="center"/>
          </w:tcPr>
          <w:p>
            <w:pPr>
              <w:pStyle w:val="67"/>
              <w:jc w:val="center"/>
              <w:rPr>
                <w:rFonts w:hint="eastAsia" w:ascii="Times New Roman" w:hAnsi="Times New Roman" w:cs="Times New Roman"/>
                <w:color w:val="auto"/>
              </w:rPr>
            </w:pPr>
          </w:p>
        </w:tc>
        <w:tc>
          <w:tcPr>
            <w:tcW w:w="809" w:type="dxa"/>
            <w:tcBorders>
              <w:tl2br w:val="nil"/>
              <w:tr2bl w:val="nil"/>
            </w:tcBorders>
            <w:vAlign w:val="center"/>
          </w:tcPr>
          <w:p>
            <w:pPr>
              <w:pStyle w:val="67"/>
              <w:jc w:val="center"/>
              <w:rPr>
                <w:rFonts w:hint="eastAsia" w:ascii="Times New Roman" w:hAnsi="Times New Roman" w:cs="Times New Roman"/>
                <w:color w:val="auto"/>
              </w:rPr>
            </w:pPr>
          </w:p>
        </w:tc>
        <w:tc>
          <w:tcPr>
            <w:tcW w:w="1048" w:type="dxa"/>
            <w:tcBorders>
              <w:tl2br w:val="nil"/>
              <w:tr2bl w:val="nil"/>
            </w:tcBorders>
            <w:vAlign w:val="center"/>
          </w:tcPr>
          <w:p>
            <w:pPr>
              <w:pStyle w:val="67"/>
              <w:jc w:val="center"/>
              <w:rPr>
                <w:rFonts w:hint="eastAsia" w:ascii="Times New Roman" w:hAnsi="Times New Roman" w:cs="Times New Roman"/>
                <w:color w:val="auto"/>
              </w:rPr>
            </w:pPr>
          </w:p>
        </w:tc>
        <w:tc>
          <w:tcPr>
            <w:tcW w:w="557" w:type="dxa"/>
            <w:tcBorders>
              <w:tl2br w:val="nil"/>
              <w:tr2bl w:val="nil"/>
            </w:tcBorders>
            <w:vAlign w:val="center"/>
          </w:tcPr>
          <w:p>
            <w:pPr>
              <w:pStyle w:val="67"/>
              <w:jc w:val="center"/>
              <w:rPr>
                <w:rFonts w:hint="eastAsia"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4</w:t>
            </w:r>
          </w:p>
        </w:tc>
        <w:tc>
          <w:tcPr>
            <w:tcW w:w="1062" w:type="dxa"/>
            <w:vMerge w:val="continue"/>
            <w:tcBorders>
              <w:tl2br w:val="nil"/>
              <w:tr2bl w:val="nil"/>
            </w:tcBorders>
            <w:vAlign w:val="center"/>
          </w:tcPr>
          <w:p>
            <w:pPr>
              <w:pStyle w:val="67"/>
              <w:jc w:val="center"/>
              <w:rPr>
                <w:rFonts w:hint="default" w:ascii="Times New Roman" w:hAnsi="Times New Roman" w:cs="Times New Roman"/>
                <w:color w:val="auto"/>
              </w:rPr>
            </w:pPr>
          </w:p>
        </w:tc>
        <w:tc>
          <w:tcPr>
            <w:tcW w:w="968" w:type="dxa"/>
            <w:vMerge w:val="continue"/>
            <w:tcBorders>
              <w:tl2br w:val="nil"/>
              <w:tr2bl w:val="nil"/>
            </w:tcBorders>
            <w:vAlign w:val="center"/>
          </w:tcPr>
          <w:p>
            <w:pPr>
              <w:pStyle w:val="67"/>
              <w:jc w:val="center"/>
              <w:rPr>
                <w:rFonts w:hint="default" w:ascii="Times New Roman" w:hAnsi="Times New Roman" w:cs="Times New Roman"/>
                <w:color w:val="auto"/>
              </w:rPr>
            </w:pPr>
          </w:p>
        </w:tc>
        <w:tc>
          <w:tcPr>
            <w:tcW w:w="1413"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灰化薹草草甸</w:t>
            </w:r>
          </w:p>
        </w:tc>
        <w:tc>
          <w:tcPr>
            <w:tcW w:w="769"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天然</w:t>
            </w:r>
          </w:p>
        </w:tc>
        <w:tc>
          <w:tcPr>
            <w:tcW w:w="456" w:type="dxa"/>
            <w:tcBorders>
              <w:tl2br w:val="nil"/>
              <w:tr2bl w:val="nil"/>
            </w:tcBorders>
            <w:vAlign w:val="center"/>
          </w:tcPr>
          <w:p>
            <w:pPr>
              <w:pStyle w:val="67"/>
              <w:jc w:val="center"/>
              <w:rPr>
                <w:rFonts w:hint="eastAsia" w:ascii="Times New Roman" w:hAnsi="Times New Roman" w:cs="Times New Roman"/>
                <w:color w:val="auto"/>
              </w:rPr>
            </w:pPr>
          </w:p>
        </w:tc>
        <w:tc>
          <w:tcPr>
            <w:tcW w:w="668" w:type="dxa"/>
            <w:tcBorders>
              <w:tl2br w:val="nil"/>
              <w:tr2bl w:val="nil"/>
            </w:tcBorders>
            <w:vAlign w:val="center"/>
          </w:tcPr>
          <w:p>
            <w:pPr>
              <w:pStyle w:val="67"/>
              <w:jc w:val="center"/>
              <w:rPr>
                <w:rFonts w:hint="eastAsia" w:ascii="Times New Roman" w:hAnsi="Times New Roman" w:cs="Times New Roman"/>
                <w:color w:val="auto"/>
              </w:rPr>
            </w:pPr>
          </w:p>
        </w:tc>
        <w:tc>
          <w:tcPr>
            <w:tcW w:w="809" w:type="dxa"/>
            <w:tcBorders>
              <w:tl2br w:val="nil"/>
              <w:tr2bl w:val="nil"/>
            </w:tcBorders>
            <w:vAlign w:val="center"/>
          </w:tcPr>
          <w:p>
            <w:pPr>
              <w:pStyle w:val="67"/>
              <w:jc w:val="center"/>
              <w:rPr>
                <w:rFonts w:hint="eastAsia" w:ascii="Times New Roman" w:hAnsi="Times New Roman" w:cs="Times New Roman"/>
                <w:color w:val="auto"/>
              </w:rPr>
            </w:pPr>
          </w:p>
        </w:tc>
        <w:tc>
          <w:tcPr>
            <w:tcW w:w="1048" w:type="dxa"/>
            <w:tcBorders>
              <w:tl2br w:val="nil"/>
              <w:tr2bl w:val="nil"/>
            </w:tcBorders>
            <w:vAlign w:val="center"/>
          </w:tcPr>
          <w:p>
            <w:pPr>
              <w:pStyle w:val="67"/>
              <w:jc w:val="center"/>
              <w:rPr>
                <w:rFonts w:hint="eastAsia" w:ascii="Times New Roman" w:hAnsi="Times New Roman" w:cs="Times New Roman"/>
                <w:color w:val="auto"/>
              </w:rPr>
            </w:pPr>
          </w:p>
        </w:tc>
        <w:tc>
          <w:tcPr>
            <w:tcW w:w="557" w:type="dxa"/>
            <w:tcBorders>
              <w:tl2br w:val="nil"/>
              <w:tr2bl w:val="nil"/>
            </w:tcBorders>
            <w:vAlign w:val="center"/>
          </w:tcPr>
          <w:p>
            <w:pPr>
              <w:pStyle w:val="67"/>
              <w:jc w:val="center"/>
              <w:rPr>
                <w:rFonts w:hint="eastAsia"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5</w:t>
            </w:r>
          </w:p>
        </w:tc>
        <w:tc>
          <w:tcPr>
            <w:tcW w:w="1062" w:type="dxa"/>
            <w:vMerge w:val="continue"/>
            <w:tcBorders>
              <w:tl2br w:val="nil"/>
              <w:tr2bl w:val="nil"/>
            </w:tcBorders>
            <w:vAlign w:val="center"/>
          </w:tcPr>
          <w:p>
            <w:pPr>
              <w:pStyle w:val="67"/>
              <w:jc w:val="center"/>
              <w:rPr>
                <w:rFonts w:hint="default" w:ascii="Times New Roman" w:hAnsi="Times New Roman" w:cs="Times New Roman"/>
                <w:color w:val="auto"/>
              </w:rPr>
            </w:pPr>
          </w:p>
        </w:tc>
        <w:tc>
          <w:tcPr>
            <w:tcW w:w="968" w:type="dxa"/>
            <w:vMerge w:val="continue"/>
            <w:tcBorders>
              <w:tl2br w:val="nil"/>
              <w:tr2bl w:val="nil"/>
            </w:tcBorders>
            <w:vAlign w:val="center"/>
          </w:tcPr>
          <w:p>
            <w:pPr>
              <w:pStyle w:val="67"/>
              <w:jc w:val="center"/>
              <w:rPr>
                <w:rFonts w:hint="default" w:ascii="Times New Roman" w:hAnsi="Times New Roman" w:cs="Times New Roman"/>
                <w:color w:val="auto"/>
              </w:rPr>
            </w:pPr>
          </w:p>
        </w:tc>
        <w:tc>
          <w:tcPr>
            <w:tcW w:w="1413"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牛毛毡草甸</w:t>
            </w:r>
          </w:p>
        </w:tc>
        <w:tc>
          <w:tcPr>
            <w:tcW w:w="769"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天然</w:t>
            </w:r>
          </w:p>
        </w:tc>
        <w:tc>
          <w:tcPr>
            <w:tcW w:w="456" w:type="dxa"/>
            <w:tcBorders>
              <w:tl2br w:val="nil"/>
              <w:tr2bl w:val="nil"/>
            </w:tcBorders>
            <w:vAlign w:val="center"/>
          </w:tcPr>
          <w:p>
            <w:pPr>
              <w:pStyle w:val="67"/>
              <w:jc w:val="center"/>
              <w:rPr>
                <w:rFonts w:hint="eastAsia" w:ascii="Times New Roman" w:hAnsi="Times New Roman" w:cs="Times New Roman"/>
                <w:color w:val="auto"/>
              </w:rPr>
            </w:pPr>
          </w:p>
        </w:tc>
        <w:tc>
          <w:tcPr>
            <w:tcW w:w="668" w:type="dxa"/>
            <w:tcBorders>
              <w:tl2br w:val="nil"/>
              <w:tr2bl w:val="nil"/>
            </w:tcBorders>
            <w:vAlign w:val="center"/>
          </w:tcPr>
          <w:p>
            <w:pPr>
              <w:pStyle w:val="67"/>
              <w:jc w:val="center"/>
              <w:rPr>
                <w:rFonts w:hint="eastAsia" w:ascii="Times New Roman" w:hAnsi="Times New Roman" w:cs="Times New Roman"/>
                <w:color w:val="auto"/>
              </w:rPr>
            </w:pPr>
          </w:p>
        </w:tc>
        <w:tc>
          <w:tcPr>
            <w:tcW w:w="809" w:type="dxa"/>
            <w:tcBorders>
              <w:tl2br w:val="nil"/>
              <w:tr2bl w:val="nil"/>
            </w:tcBorders>
            <w:vAlign w:val="center"/>
          </w:tcPr>
          <w:p>
            <w:pPr>
              <w:pStyle w:val="67"/>
              <w:jc w:val="center"/>
              <w:rPr>
                <w:rFonts w:hint="eastAsia" w:ascii="Times New Roman" w:hAnsi="Times New Roman" w:cs="Times New Roman"/>
                <w:color w:val="auto"/>
              </w:rPr>
            </w:pPr>
          </w:p>
        </w:tc>
        <w:tc>
          <w:tcPr>
            <w:tcW w:w="1048" w:type="dxa"/>
            <w:tcBorders>
              <w:tl2br w:val="nil"/>
              <w:tr2bl w:val="nil"/>
            </w:tcBorders>
            <w:vAlign w:val="center"/>
          </w:tcPr>
          <w:p>
            <w:pPr>
              <w:pStyle w:val="67"/>
              <w:jc w:val="center"/>
              <w:rPr>
                <w:rFonts w:hint="eastAsia" w:ascii="Times New Roman" w:hAnsi="Times New Roman" w:cs="Times New Roman"/>
                <w:color w:val="auto"/>
              </w:rPr>
            </w:pPr>
          </w:p>
        </w:tc>
        <w:tc>
          <w:tcPr>
            <w:tcW w:w="557" w:type="dxa"/>
            <w:tcBorders>
              <w:tl2br w:val="nil"/>
              <w:tr2bl w:val="nil"/>
            </w:tcBorders>
            <w:vAlign w:val="center"/>
          </w:tcPr>
          <w:p>
            <w:pPr>
              <w:pStyle w:val="67"/>
              <w:jc w:val="center"/>
              <w:rPr>
                <w:rFonts w:hint="eastAsia"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6</w:t>
            </w:r>
          </w:p>
        </w:tc>
        <w:tc>
          <w:tcPr>
            <w:tcW w:w="1062" w:type="dxa"/>
            <w:vMerge w:val="continue"/>
            <w:tcBorders>
              <w:tl2br w:val="nil"/>
              <w:tr2bl w:val="nil"/>
            </w:tcBorders>
            <w:vAlign w:val="center"/>
          </w:tcPr>
          <w:p>
            <w:pPr>
              <w:pStyle w:val="67"/>
              <w:jc w:val="center"/>
              <w:rPr>
                <w:rFonts w:hint="default" w:ascii="Times New Roman" w:hAnsi="Times New Roman" w:cs="Times New Roman"/>
                <w:color w:val="auto"/>
              </w:rPr>
            </w:pPr>
          </w:p>
        </w:tc>
        <w:tc>
          <w:tcPr>
            <w:tcW w:w="968" w:type="dxa"/>
            <w:vMerge w:val="continue"/>
            <w:tcBorders>
              <w:tl2br w:val="nil"/>
              <w:tr2bl w:val="nil"/>
            </w:tcBorders>
            <w:vAlign w:val="center"/>
          </w:tcPr>
          <w:p>
            <w:pPr>
              <w:pStyle w:val="67"/>
              <w:jc w:val="center"/>
              <w:rPr>
                <w:rFonts w:hint="default" w:ascii="Times New Roman" w:hAnsi="Times New Roman" w:cs="Times New Roman"/>
                <w:color w:val="auto"/>
              </w:rPr>
            </w:pPr>
          </w:p>
        </w:tc>
        <w:tc>
          <w:tcPr>
            <w:tcW w:w="1413"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紫云英草甸</w:t>
            </w:r>
          </w:p>
        </w:tc>
        <w:tc>
          <w:tcPr>
            <w:tcW w:w="769"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天然</w:t>
            </w:r>
          </w:p>
        </w:tc>
        <w:tc>
          <w:tcPr>
            <w:tcW w:w="456" w:type="dxa"/>
            <w:tcBorders>
              <w:tl2br w:val="nil"/>
              <w:tr2bl w:val="nil"/>
            </w:tcBorders>
            <w:vAlign w:val="center"/>
          </w:tcPr>
          <w:p>
            <w:pPr>
              <w:pStyle w:val="67"/>
              <w:jc w:val="center"/>
              <w:rPr>
                <w:rFonts w:hint="eastAsia" w:ascii="Times New Roman" w:hAnsi="Times New Roman" w:cs="Times New Roman"/>
                <w:color w:val="auto"/>
              </w:rPr>
            </w:pPr>
          </w:p>
        </w:tc>
        <w:tc>
          <w:tcPr>
            <w:tcW w:w="668" w:type="dxa"/>
            <w:tcBorders>
              <w:tl2br w:val="nil"/>
              <w:tr2bl w:val="nil"/>
            </w:tcBorders>
            <w:vAlign w:val="center"/>
          </w:tcPr>
          <w:p>
            <w:pPr>
              <w:pStyle w:val="67"/>
              <w:jc w:val="center"/>
              <w:rPr>
                <w:rFonts w:hint="eastAsia" w:ascii="Times New Roman" w:hAnsi="Times New Roman" w:cs="Times New Roman"/>
                <w:color w:val="auto"/>
              </w:rPr>
            </w:pPr>
          </w:p>
        </w:tc>
        <w:tc>
          <w:tcPr>
            <w:tcW w:w="809" w:type="dxa"/>
            <w:tcBorders>
              <w:tl2br w:val="nil"/>
              <w:tr2bl w:val="nil"/>
            </w:tcBorders>
            <w:vAlign w:val="center"/>
          </w:tcPr>
          <w:p>
            <w:pPr>
              <w:pStyle w:val="67"/>
              <w:jc w:val="center"/>
              <w:rPr>
                <w:rFonts w:hint="eastAsia" w:ascii="Times New Roman" w:hAnsi="Times New Roman" w:cs="Times New Roman"/>
                <w:color w:val="auto"/>
              </w:rPr>
            </w:pPr>
          </w:p>
        </w:tc>
        <w:tc>
          <w:tcPr>
            <w:tcW w:w="1048" w:type="dxa"/>
            <w:tcBorders>
              <w:tl2br w:val="nil"/>
              <w:tr2bl w:val="nil"/>
            </w:tcBorders>
            <w:vAlign w:val="center"/>
          </w:tcPr>
          <w:p>
            <w:pPr>
              <w:pStyle w:val="67"/>
              <w:jc w:val="center"/>
              <w:rPr>
                <w:rFonts w:hint="eastAsia" w:ascii="Times New Roman" w:hAnsi="Times New Roman" w:cs="Times New Roman"/>
                <w:color w:val="auto"/>
              </w:rPr>
            </w:pPr>
          </w:p>
        </w:tc>
        <w:tc>
          <w:tcPr>
            <w:tcW w:w="557" w:type="dxa"/>
            <w:tcBorders>
              <w:tl2br w:val="nil"/>
              <w:tr2bl w:val="nil"/>
            </w:tcBorders>
            <w:vAlign w:val="center"/>
          </w:tcPr>
          <w:p>
            <w:pPr>
              <w:pStyle w:val="67"/>
              <w:jc w:val="center"/>
              <w:rPr>
                <w:rFonts w:hint="eastAsia"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7</w:t>
            </w:r>
          </w:p>
        </w:tc>
        <w:tc>
          <w:tcPr>
            <w:tcW w:w="1062" w:type="dxa"/>
            <w:vMerge w:val="continue"/>
            <w:tcBorders>
              <w:tl2br w:val="nil"/>
              <w:tr2bl w:val="nil"/>
            </w:tcBorders>
            <w:vAlign w:val="center"/>
          </w:tcPr>
          <w:p>
            <w:pPr>
              <w:pStyle w:val="67"/>
              <w:jc w:val="center"/>
              <w:rPr>
                <w:rFonts w:hint="default" w:ascii="Times New Roman" w:hAnsi="Times New Roman" w:cs="Times New Roman"/>
                <w:color w:val="auto"/>
              </w:rPr>
            </w:pPr>
          </w:p>
        </w:tc>
        <w:tc>
          <w:tcPr>
            <w:tcW w:w="968" w:type="dxa"/>
            <w:vMerge w:val="continue"/>
            <w:tcBorders>
              <w:tl2br w:val="nil"/>
              <w:tr2bl w:val="nil"/>
            </w:tcBorders>
            <w:vAlign w:val="center"/>
          </w:tcPr>
          <w:p>
            <w:pPr>
              <w:pStyle w:val="67"/>
              <w:jc w:val="center"/>
              <w:rPr>
                <w:rFonts w:hint="default" w:ascii="Times New Roman" w:hAnsi="Times New Roman" w:cs="Times New Roman"/>
                <w:color w:val="auto"/>
              </w:rPr>
            </w:pPr>
          </w:p>
        </w:tc>
        <w:tc>
          <w:tcPr>
            <w:tcW w:w="1413"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北美苍耳草甸</w:t>
            </w:r>
          </w:p>
        </w:tc>
        <w:tc>
          <w:tcPr>
            <w:tcW w:w="769"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外来</w:t>
            </w:r>
          </w:p>
          <w:p>
            <w:pPr>
              <w:pStyle w:val="67"/>
              <w:jc w:val="center"/>
              <w:rPr>
                <w:rFonts w:hint="default" w:ascii="Times New Roman" w:hAnsi="Times New Roman" w:cs="Times New Roman"/>
                <w:color w:val="auto"/>
              </w:rPr>
            </w:pPr>
            <w:r>
              <w:rPr>
                <w:rFonts w:hint="eastAsia" w:ascii="Times New Roman" w:hAnsi="Times New Roman" w:cs="Times New Roman"/>
                <w:color w:val="auto"/>
              </w:rPr>
              <w:t>逸生</w:t>
            </w:r>
          </w:p>
        </w:tc>
        <w:tc>
          <w:tcPr>
            <w:tcW w:w="456" w:type="dxa"/>
            <w:tcBorders>
              <w:tl2br w:val="nil"/>
              <w:tr2bl w:val="nil"/>
            </w:tcBorders>
            <w:vAlign w:val="center"/>
          </w:tcPr>
          <w:p>
            <w:pPr>
              <w:pStyle w:val="67"/>
              <w:jc w:val="center"/>
              <w:rPr>
                <w:rFonts w:hint="eastAsia" w:ascii="Times New Roman" w:hAnsi="Times New Roman" w:cs="Times New Roman"/>
                <w:color w:val="auto"/>
              </w:rPr>
            </w:pPr>
          </w:p>
        </w:tc>
        <w:tc>
          <w:tcPr>
            <w:tcW w:w="668" w:type="dxa"/>
            <w:tcBorders>
              <w:tl2br w:val="nil"/>
              <w:tr2bl w:val="nil"/>
            </w:tcBorders>
            <w:vAlign w:val="center"/>
          </w:tcPr>
          <w:p>
            <w:pPr>
              <w:pStyle w:val="67"/>
              <w:jc w:val="center"/>
              <w:rPr>
                <w:rFonts w:hint="eastAsia" w:ascii="Times New Roman" w:hAnsi="Times New Roman" w:cs="Times New Roman"/>
                <w:color w:val="auto"/>
              </w:rPr>
            </w:pPr>
          </w:p>
        </w:tc>
        <w:tc>
          <w:tcPr>
            <w:tcW w:w="809" w:type="dxa"/>
            <w:tcBorders>
              <w:tl2br w:val="nil"/>
              <w:tr2bl w:val="nil"/>
            </w:tcBorders>
            <w:vAlign w:val="center"/>
          </w:tcPr>
          <w:p>
            <w:pPr>
              <w:pStyle w:val="67"/>
              <w:jc w:val="center"/>
              <w:rPr>
                <w:rFonts w:hint="eastAsia" w:ascii="Times New Roman" w:hAnsi="Times New Roman" w:cs="Times New Roman"/>
                <w:color w:val="auto"/>
              </w:rPr>
            </w:pPr>
          </w:p>
        </w:tc>
        <w:tc>
          <w:tcPr>
            <w:tcW w:w="1048" w:type="dxa"/>
            <w:tcBorders>
              <w:tl2br w:val="nil"/>
              <w:tr2bl w:val="nil"/>
            </w:tcBorders>
            <w:vAlign w:val="center"/>
          </w:tcPr>
          <w:p>
            <w:pPr>
              <w:pStyle w:val="67"/>
              <w:jc w:val="center"/>
              <w:rPr>
                <w:rFonts w:hint="eastAsia" w:ascii="Times New Roman" w:hAnsi="Times New Roman" w:cs="Times New Roman"/>
                <w:color w:val="auto"/>
              </w:rPr>
            </w:pPr>
          </w:p>
        </w:tc>
        <w:tc>
          <w:tcPr>
            <w:tcW w:w="557" w:type="dxa"/>
            <w:tcBorders>
              <w:tl2br w:val="nil"/>
              <w:tr2bl w:val="nil"/>
            </w:tcBorders>
            <w:vAlign w:val="center"/>
          </w:tcPr>
          <w:p>
            <w:pPr>
              <w:pStyle w:val="67"/>
              <w:jc w:val="center"/>
              <w:rPr>
                <w:rFonts w:hint="eastAsia"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8</w:t>
            </w:r>
          </w:p>
        </w:tc>
        <w:tc>
          <w:tcPr>
            <w:tcW w:w="1062" w:type="dxa"/>
            <w:vMerge w:val="restart"/>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沼泽和水生植被</w:t>
            </w:r>
          </w:p>
        </w:tc>
        <w:tc>
          <w:tcPr>
            <w:tcW w:w="968" w:type="dxa"/>
            <w:vMerge w:val="restart"/>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沼泽</w:t>
            </w:r>
          </w:p>
        </w:tc>
        <w:tc>
          <w:tcPr>
            <w:tcW w:w="1413"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旱柳群落</w:t>
            </w:r>
          </w:p>
        </w:tc>
        <w:tc>
          <w:tcPr>
            <w:tcW w:w="769"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天然</w:t>
            </w:r>
          </w:p>
        </w:tc>
        <w:tc>
          <w:tcPr>
            <w:tcW w:w="456" w:type="dxa"/>
            <w:tcBorders>
              <w:tl2br w:val="nil"/>
              <w:tr2bl w:val="nil"/>
            </w:tcBorders>
            <w:vAlign w:val="center"/>
          </w:tcPr>
          <w:p>
            <w:pPr>
              <w:pStyle w:val="67"/>
              <w:jc w:val="center"/>
              <w:rPr>
                <w:rFonts w:hint="eastAsia" w:ascii="Times New Roman" w:hAnsi="Times New Roman" w:cs="Times New Roman"/>
                <w:color w:val="auto"/>
              </w:rPr>
            </w:pPr>
          </w:p>
        </w:tc>
        <w:tc>
          <w:tcPr>
            <w:tcW w:w="668" w:type="dxa"/>
            <w:tcBorders>
              <w:tl2br w:val="nil"/>
              <w:tr2bl w:val="nil"/>
            </w:tcBorders>
            <w:vAlign w:val="center"/>
          </w:tcPr>
          <w:p>
            <w:pPr>
              <w:pStyle w:val="67"/>
              <w:jc w:val="center"/>
              <w:rPr>
                <w:rFonts w:hint="eastAsia" w:ascii="Times New Roman" w:hAnsi="Times New Roman" w:cs="Times New Roman"/>
                <w:color w:val="auto"/>
              </w:rPr>
            </w:pPr>
          </w:p>
        </w:tc>
        <w:tc>
          <w:tcPr>
            <w:tcW w:w="809" w:type="dxa"/>
            <w:tcBorders>
              <w:tl2br w:val="nil"/>
              <w:tr2bl w:val="nil"/>
            </w:tcBorders>
            <w:vAlign w:val="center"/>
          </w:tcPr>
          <w:p>
            <w:pPr>
              <w:pStyle w:val="67"/>
              <w:jc w:val="center"/>
              <w:rPr>
                <w:rFonts w:hint="eastAsia" w:ascii="Times New Roman" w:hAnsi="Times New Roman" w:cs="Times New Roman"/>
                <w:color w:val="auto"/>
              </w:rPr>
            </w:pPr>
          </w:p>
        </w:tc>
        <w:tc>
          <w:tcPr>
            <w:tcW w:w="1048" w:type="dxa"/>
            <w:tcBorders>
              <w:tl2br w:val="nil"/>
              <w:tr2bl w:val="nil"/>
            </w:tcBorders>
            <w:vAlign w:val="center"/>
          </w:tcPr>
          <w:p>
            <w:pPr>
              <w:pStyle w:val="67"/>
              <w:jc w:val="center"/>
              <w:rPr>
                <w:rFonts w:hint="eastAsia" w:ascii="Times New Roman" w:hAnsi="Times New Roman" w:cs="Times New Roman"/>
                <w:color w:val="auto"/>
              </w:rPr>
            </w:pPr>
          </w:p>
        </w:tc>
        <w:tc>
          <w:tcPr>
            <w:tcW w:w="557" w:type="dxa"/>
            <w:tcBorders>
              <w:tl2br w:val="nil"/>
              <w:tr2bl w:val="nil"/>
            </w:tcBorders>
            <w:vAlign w:val="center"/>
          </w:tcPr>
          <w:p>
            <w:pPr>
              <w:pStyle w:val="67"/>
              <w:jc w:val="center"/>
              <w:rPr>
                <w:rFonts w:hint="eastAsia"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9</w:t>
            </w:r>
          </w:p>
        </w:tc>
        <w:tc>
          <w:tcPr>
            <w:tcW w:w="1062" w:type="dxa"/>
            <w:vMerge w:val="continue"/>
            <w:tcBorders>
              <w:tl2br w:val="nil"/>
              <w:tr2bl w:val="nil"/>
            </w:tcBorders>
            <w:vAlign w:val="center"/>
          </w:tcPr>
          <w:p>
            <w:pPr>
              <w:pStyle w:val="67"/>
              <w:jc w:val="center"/>
              <w:rPr>
                <w:rFonts w:hint="default" w:ascii="Times New Roman" w:hAnsi="Times New Roman" w:cs="Times New Roman"/>
                <w:color w:val="auto"/>
              </w:rPr>
            </w:pPr>
          </w:p>
        </w:tc>
        <w:tc>
          <w:tcPr>
            <w:tcW w:w="968" w:type="dxa"/>
            <w:vMerge w:val="continue"/>
            <w:tcBorders>
              <w:tl2br w:val="nil"/>
              <w:tr2bl w:val="nil"/>
            </w:tcBorders>
            <w:vAlign w:val="center"/>
          </w:tcPr>
          <w:p>
            <w:pPr>
              <w:pStyle w:val="67"/>
              <w:jc w:val="center"/>
              <w:rPr>
                <w:rFonts w:hint="default" w:ascii="Times New Roman" w:hAnsi="Times New Roman" w:cs="Times New Roman"/>
                <w:color w:val="auto"/>
              </w:rPr>
            </w:pPr>
          </w:p>
        </w:tc>
        <w:tc>
          <w:tcPr>
            <w:tcW w:w="1413"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芦苇群落</w:t>
            </w:r>
          </w:p>
        </w:tc>
        <w:tc>
          <w:tcPr>
            <w:tcW w:w="769"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天然</w:t>
            </w:r>
          </w:p>
        </w:tc>
        <w:tc>
          <w:tcPr>
            <w:tcW w:w="456" w:type="dxa"/>
            <w:tcBorders>
              <w:tl2br w:val="nil"/>
              <w:tr2bl w:val="nil"/>
            </w:tcBorders>
            <w:vAlign w:val="center"/>
          </w:tcPr>
          <w:p>
            <w:pPr>
              <w:pStyle w:val="67"/>
              <w:jc w:val="center"/>
              <w:rPr>
                <w:rFonts w:hint="eastAsia" w:ascii="Times New Roman" w:hAnsi="Times New Roman" w:cs="Times New Roman"/>
                <w:color w:val="auto"/>
              </w:rPr>
            </w:pPr>
          </w:p>
        </w:tc>
        <w:tc>
          <w:tcPr>
            <w:tcW w:w="668" w:type="dxa"/>
            <w:tcBorders>
              <w:tl2br w:val="nil"/>
              <w:tr2bl w:val="nil"/>
            </w:tcBorders>
            <w:vAlign w:val="center"/>
          </w:tcPr>
          <w:p>
            <w:pPr>
              <w:pStyle w:val="67"/>
              <w:jc w:val="center"/>
              <w:rPr>
                <w:rFonts w:hint="eastAsia" w:ascii="Times New Roman" w:hAnsi="Times New Roman" w:cs="Times New Roman"/>
                <w:color w:val="auto"/>
              </w:rPr>
            </w:pPr>
          </w:p>
        </w:tc>
        <w:tc>
          <w:tcPr>
            <w:tcW w:w="809" w:type="dxa"/>
            <w:tcBorders>
              <w:tl2br w:val="nil"/>
              <w:tr2bl w:val="nil"/>
            </w:tcBorders>
            <w:vAlign w:val="center"/>
          </w:tcPr>
          <w:p>
            <w:pPr>
              <w:pStyle w:val="67"/>
              <w:jc w:val="center"/>
              <w:rPr>
                <w:rFonts w:hint="eastAsia" w:ascii="Times New Roman" w:hAnsi="Times New Roman" w:cs="Times New Roman"/>
                <w:color w:val="auto"/>
              </w:rPr>
            </w:pPr>
          </w:p>
        </w:tc>
        <w:tc>
          <w:tcPr>
            <w:tcW w:w="1048" w:type="dxa"/>
            <w:tcBorders>
              <w:tl2br w:val="nil"/>
              <w:tr2bl w:val="nil"/>
            </w:tcBorders>
            <w:vAlign w:val="center"/>
          </w:tcPr>
          <w:p>
            <w:pPr>
              <w:pStyle w:val="67"/>
              <w:jc w:val="center"/>
              <w:rPr>
                <w:rFonts w:hint="eastAsia" w:ascii="Times New Roman" w:hAnsi="Times New Roman" w:cs="Times New Roman"/>
                <w:color w:val="auto"/>
              </w:rPr>
            </w:pPr>
          </w:p>
        </w:tc>
        <w:tc>
          <w:tcPr>
            <w:tcW w:w="557" w:type="dxa"/>
            <w:tcBorders>
              <w:tl2br w:val="nil"/>
              <w:tr2bl w:val="nil"/>
            </w:tcBorders>
            <w:vAlign w:val="center"/>
          </w:tcPr>
          <w:p>
            <w:pPr>
              <w:pStyle w:val="67"/>
              <w:jc w:val="center"/>
              <w:rPr>
                <w:rFonts w:hint="eastAsia"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10</w:t>
            </w:r>
          </w:p>
        </w:tc>
        <w:tc>
          <w:tcPr>
            <w:tcW w:w="1062" w:type="dxa"/>
            <w:vMerge w:val="continue"/>
            <w:tcBorders>
              <w:tl2br w:val="nil"/>
              <w:tr2bl w:val="nil"/>
            </w:tcBorders>
            <w:vAlign w:val="center"/>
          </w:tcPr>
          <w:p>
            <w:pPr>
              <w:pStyle w:val="67"/>
              <w:jc w:val="center"/>
              <w:rPr>
                <w:rFonts w:hint="default" w:ascii="Times New Roman" w:hAnsi="Times New Roman" w:cs="Times New Roman"/>
                <w:color w:val="auto"/>
              </w:rPr>
            </w:pPr>
          </w:p>
        </w:tc>
        <w:tc>
          <w:tcPr>
            <w:tcW w:w="968" w:type="dxa"/>
            <w:vMerge w:val="continue"/>
            <w:tcBorders>
              <w:tl2br w:val="nil"/>
              <w:tr2bl w:val="nil"/>
            </w:tcBorders>
            <w:vAlign w:val="center"/>
          </w:tcPr>
          <w:p>
            <w:pPr>
              <w:pStyle w:val="67"/>
              <w:jc w:val="center"/>
              <w:rPr>
                <w:rFonts w:hint="default" w:ascii="Times New Roman" w:hAnsi="Times New Roman" w:cs="Times New Roman"/>
                <w:color w:val="auto"/>
              </w:rPr>
            </w:pPr>
          </w:p>
        </w:tc>
        <w:tc>
          <w:tcPr>
            <w:tcW w:w="1413"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南荻群落</w:t>
            </w:r>
          </w:p>
        </w:tc>
        <w:tc>
          <w:tcPr>
            <w:tcW w:w="769"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天然</w:t>
            </w:r>
          </w:p>
        </w:tc>
        <w:tc>
          <w:tcPr>
            <w:tcW w:w="456" w:type="dxa"/>
            <w:tcBorders>
              <w:tl2br w:val="nil"/>
              <w:tr2bl w:val="nil"/>
            </w:tcBorders>
            <w:vAlign w:val="center"/>
          </w:tcPr>
          <w:p>
            <w:pPr>
              <w:pStyle w:val="67"/>
              <w:jc w:val="center"/>
              <w:rPr>
                <w:rFonts w:hint="eastAsia" w:ascii="Times New Roman" w:hAnsi="Times New Roman" w:cs="Times New Roman"/>
                <w:color w:val="auto"/>
              </w:rPr>
            </w:pPr>
          </w:p>
        </w:tc>
        <w:tc>
          <w:tcPr>
            <w:tcW w:w="668" w:type="dxa"/>
            <w:tcBorders>
              <w:tl2br w:val="nil"/>
              <w:tr2bl w:val="nil"/>
            </w:tcBorders>
            <w:vAlign w:val="center"/>
          </w:tcPr>
          <w:p>
            <w:pPr>
              <w:pStyle w:val="67"/>
              <w:jc w:val="center"/>
              <w:rPr>
                <w:rFonts w:hint="eastAsia" w:ascii="Times New Roman" w:hAnsi="Times New Roman" w:cs="Times New Roman"/>
                <w:color w:val="auto"/>
              </w:rPr>
            </w:pPr>
          </w:p>
        </w:tc>
        <w:tc>
          <w:tcPr>
            <w:tcW w:w="809" w:type="dxa"/>
            <w:tcBorders>
              <w:tl2br w:val="nil"/>
              <w:tr2bl w:val="nil"/>
            </w:tcBorders>
            <w:vAlign w:val="center"/>
          </w:tcPr>
          <w:p>
            <w:pPr>
              <w:pStyle w:val="67"/>
              <w:jc w:val="center"/>
              <w:rPr>
                <w:rFonts w:hint="eastAsia" w:ascii="Times New Roman" w:hAnsi="Times New Roman" w:cs="Times New Roman"/>
                <w:color w:val="auto"/>
              </w:rPr>
            </w:pPr>
          </w:p>
        </w:tc>
        <w:tc>
          <w:tcPr>
            <w:tcW w:w="1048" w:type="dxa"/>
            <w:tcBorders>
              <w:tl2br w:val="nil"/>
              <w:tr2bl w:val="nil"/>
            </w:tcBorders>
            <w:vAlign w:val="center"/>
          </w:tcPr>
          <w:p>
            <w:pPr>
              <w:pStyle w:val="67"/>
              <w:jc w:val="center"/>
              <w:rPr>
                <w:rFonts w:hint="eastAsia" w:ascii="Times New Roman" w:hAnsi="Times New Roman" w:cs="Times New Roman"/>
                <w:color w:val="auto"/>
              </w:rPr>
            </w:pPr>
          </w:p>
        </w:tc>
        <w:tc>
          <w:tcPr>
            <w:tcW w:w="557" w:type="dxa"/>
            <w:tcBorders>
              <w:tl2br w:val="nil"/>
              <w:tr2bl w:val="nil"/>
            </w:tcBorders>
            <w:vAlign w:val="center"/>
          </w:tcPr>
          <w:p>
            <w:pPr>
              <w:pStyle w:val="67"/>
              <w:jc w:val="center"/>
              <w:rPr>
                <w:rFonts w:hint="eastAsia"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11</w:t>
            </w:r>
          </w:p>
        </w:tc>
        <w:tc>
          <w:tcPr>
            <w:tcW w:w="1062" w:type="dxa"/>
            <w:vMerge w:val="continue"/>
            <w:tcBorders>
              <w:tl2br w:val="nil"/>
              <w:tr2bl w:val="nil"/>
            </w:tcBorders>
            <w:vAlign w:val="center"/>
          </w:tcPr>
          <w:p>
            <w:pPr>
              <w:pStyle w:val="67"/>
              <w:jc w:val="center"/>
              <w:rPr>
                <w:rFonts w:hint="default" w:ascii="Times New Roman" w:hAnsi="Times New Roman" w:cs="Times New Roman"/>
                <w:color w:val="auto"/>
              </w:rPr>
            </w:pPr>
          </w:p>
        </w:tc>
        <w:tc>
          <w:tcPr>
            <w:tcW w:w="968" w:type="dxa"/>
            <w:vMerge w:val="restart"/>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水生植</w:t>
            </w:r>
          </w:p>
          <w:p>
            <w:pPr>
              <w:pStyle w:val="67"/>
              <w:jc w:val="center"/>
              <w:rPr>
                <w:rFonts w:hint="default" w:ascii="Times New Roman" w:hAnsi="Times New Roman" w:cs="Times New Roman"/>
                <w:color w:val="auto"/>
              </w:rPr>
            </w:pPr>
            <w:r>
              <w:rPr>
                <w:rFonts w:hint="eastAsia" w:ascii="Times New Roman" w:hAnsi="Times New Roman" w:cs="Times New Roman"/>
                <w:color w:val="auto"/>
              </w:rPr>
              <w:t>被</w:t>
            </w:r>
          </w:p>
        </w:tc>
        <w:tc>
          <w:tcPr>
            <w:tcW w:w="1413"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黑藻群落</w:t>
            </w:r>
          </w:p>
        </w:tc>
        <w:tc>
          <w:tcPr>
            <w:tcW w:w="769"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天然</w:t>
            </w:r>
          </w:p>
        </w:tc>
        <w:tc>
          <w:tcPr>
            <w:tcW w:w="456" w:type="dxa"/>
            <w:tcBorders>
              <w:tl2br w:val="nil"/>
              <w:tr2bl w:val="nil"/>
            </w:tcBorders>
            <w:vAlign w:val="center"/>
          </w:tcPr>
          <w:p>
            <w:pPr>
              <w:pStyle w:val="67"/>
              <w:jc w:val="center"/>
              <w:rPr>
                <w:rFonts w:hint="eastAsia" w:ascii="Times New Roman" w:hAnsi="Times New Roman" w:cs="Times New Roman"/>
                <w:color w:val="auto"/>
              </w:rPr>
            </w:pPr>
          </w:p>
        </w:tc>
        <w:tc>
          <w:tcPr>
            <w:tcW w:w="668" w:type="dxa"/>
            <w:tcBorders>
              <w:tl2br w:val="nil"/>
              <w:tr2bl w:val="nil"/>
            </w:tcBorders>
            <w:vAlign w:val="center"/>
          </w:tcPr>
          <w:p>
            <w:pPr>
              <w:pStyle w:val="67"/>
              <w:jc w:val="center"/>
              <w:rPr>
                <w:rFonts w:hint="eastAsia" w:ascii="Times New Roman" w:hAnsi="Times New Roman" w:cs="Times New Roman"/>
                <w:color w:val="auto"/>
              </w:rPr>
            </w:pPr>
          </w:p>
        </w:tc>
        <w:tc>
          <w:tcPr>
            <w:tcW w:w="809" w:type="dxa"/>
            <w:tcBorders>
              <w:tl2br w:val="nil"/>
              <w:tr2bl w:val="nil"/>
            </w:tcBorders>
            <w:vAlign w:val="center"/>
          </w:tcPr>
          <w:p>
            <w:pPr>
              <w:pStyle w:val="67"/>
              <w:jc w:val="center"/>
              <w:rPr>
                <w:rFonts w:hint="eastAsia" w:ascii="Times New Roman" w:hAnsi="Times New Roman" w:cs="Times New Roman"/>
                <w:color w:val="auto"/>
              </w:rPr>
            </w:pPr>
          </w:p>
        </w:tc>
        <w:tc>
          <w:tcPr>
            <w:tcW w:w="1048" w:type="dxa"/>
            <w:tcBorders>
              <w:tl2br w:val="nil"/>
              <w:tr2bl w:val="nil"/>
            </w:tcBorders>
            <w:vAlign w:val="center"/>
          </w:tcPr>
          <w:p>
            <w:pPr>
              <w:pStyle w:val="67"/>
              <w:jc w:val="center"/>
              <w:rPr>
                <w:rFonts w:hint="eastAsia" w:ascii="Times New Roman" w:hAnsi="Times New Roman" w:cs="Times New Roman"/>
                <w:color w:val="auto"/>
              </w:rPr>
            </w:pPr>
          </w:p>
        </w:tc>
        <w:tc>
          <w:tcPr>
            <w:tcW w:w="557" w:type="dxa"/>
            <w:tcBorders>
              <w:tl2br w:val="nil"/>
              <w:tr2bl w:val="nil"/>
            </w:tcBorders>
            <w:vAlign w:val="center"/>
          </w:tcPr>
          <w:p>
            <w:pPr>
              <w:pStyle w:val="67"/>
              <w:jc w:val="center"/>
              <w:rPr>
                <w:rFonts w:hint="eastAsia"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12</w:t>
            </w:r>
          </w:p>
        </w:tc>
        <w:tc>
          <w:tcPr>
            <w:tcW w:w="1062" w:type="dxa"/>
            <w:vMerge w:val="continue"/>
            <w:tcBorders>
              <w:tl2br w:val="nil"/>
              <w:tr2bl w:val="nil"/>
            </w:tcBorders>
            <w:vAlign w:val="center"/>
          </w:tcPr>
          <w:p>
            <w:pPr>
              <w:pStyle w:val="67"/>
              <w:jc w:val="center"/>
              <w:rPr>
                <w:rFonts w:hint="default" w:ascii="Times New Roman" w:hAnsi="Times New Roman" w:cs="Times New Roman"/>
                <w:color w:val="auto"/>
              </w:rPr>
            </w:pPr>
          </w:p>
        </w:tc>
        <w:tc>
          <w:tcPr>
            <w:tcW w:w="968" w:type="dxa"/>
            <w:vMerge w:val="continue"/>
            <w:tcBorders>
              <w:tl2br w:val="nil"/>
              <w:tr2bl w:val="nil"/>
            </w:tcBorders>
            <w:vAlign w:val="center"/>
          </w:tcPr>
          <w:p>
            <w:pPr>
              <w:pStyle w:val="67"/>
              <w:jc w:val="center"/>
              <w:rPr>
                <w:rFonts w:hint="default" w:ascii="Times New Roman" w:hAnsi="Times New Roman" w:cs="Times New Roman"/>
                <w:color w:val="auto"/>
              </w:rPr>
            </w:pPr>
          </w:p>
        </w:tc>
        <w:tc>
          <w:tcPr>
            <w:tcW w:w="1413"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菹草群落</w:t>
            </w:r>
          </w:p>
        </w:tc>
        <w:tc>
          <w:tcPr>
            <w:tcW w:w="769"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天然</w:t>
            </w:r>
          </w:p>
        </w:tc>
        <w:tc>
          <w:tcPr>
            <w:tcW w:w="456" w:type="dxa"/>
            <w:tcBorders>
              <w:tl2br w:val="nil"/>
              <w:tr2bl w:val="nil"/>
            </w:tcBorders>
            <w:vAlign w:val="center"/>
          </w:tcPr>
          <w:p>
            <w:pPr>
              <w:pStyle w:val="67"/>
              <w:jc w:val="center"/>
              <w:rPr>
                <w:rFonts w:hint="eastAsia" w:ascii="Times New Roman" w:hAnsi="Times New Roman" w:cs="Times New Roman"/>
                <w:color w:val="auto"/>
              </w:rPr>
            </w:pPr>
          </w:p>
        </w:tc>
        <w:tc>
          <w:tcPr>
            <w:tcW w:w="668" w:type="dxa"/>
            <w:tcBorders>
              <w:tl2br w:val="nil"/>
              <w:tr2bl w:val="nil"/>
            </w:tcBorders>
            <w:vAlign w:val="center"/>
          </w:tcPr>
          <w:p>
            <w:pPr>
              <w:pStyle w:val="67"/>
              <w:jc w:val="center"/>
              <w:rPr>
                <w:rFonts w:hint="eastAsia" w:ascii="Times New Roman" w:hAnsi="Times New Roman" w:cs="Times New Roman"/>
                <w:color w:val="auto"/>
              </w:rPr>
            </w:pPr>
          </w:p>
        </w:tc>
        <w:tc>
          <w:tcPr>
            <w:tcW w:w="809" w:type="dxa"/>
            <w:tcBorders>
              <w:tl2br w:val="nil"/>
              <w:tr2bl w:val="nil"/>
            </w:tcBorders>
            <w:vAlign w:val="center"/>
          </w:tcPr>
          <w:p>
            <w:pPr>
              <w:pStyle w:val="67"/>
              <w:jc w:val="center"/>
              <w:rPr>
                <w:rFonts w:hint="eastAsia" w:ascii="Times New Roman" w:hAnsi="Times New Roman" w:cs="Times New Roman"/>
                <w:color w:val="auto"/>
              </w:rPr>
            </w:pPr>
          </w:p>
        </w:tc>
        <w:tc>
          <w:tcPr>
            <w:tcW w:w="1048" w:type="dxa"/>
            <w:tcBorders>
              <w:tl2br w:val="nil"/>
              <w:tr2bl w:val="nil"/>
            </w:tcBorders>
            <w:vAlign w:val="center"/>
          </w:tcPr>
          <w:p>
            <w:pPr>
              <w:pStyle w:val="67"/>
              <w:jc w:val="center"/>
              <w:rPr>
                <w:rFonts w:hint="eastAsia" w:ascii="Times New Roman" w:hAnsi="Times New Roman" w:cs="Times New Roman"/>
                <w:color w:val="auto"/>
              </w:rPr>
            </w:pPr>
          </w:p>
        </w:tc>
        <w:tc>
          <w:tcPr>
            <w:tcW w:w="557" w:type="dxa"/>
            <w:tcBorders>
              <w:tl2br w:val="nil"/>
              <w:tr2bl w:val="nil"/>
            </w:tcBorders>
            <w:vAlign w:val="center"/>
          </w:tcPr>
          <w:p>
            <w:pPr>
              <w:pStyle w:val="67"/>
              <w:jc w:val="center"/>
              <w:rPr>
                <w:rFonts w:hint="eastAsia"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784" w:hRule="atLeast"/>
        </w:trPr>
        <w:tc>
          <w:tcPr>
            <w:tcW w:w="496"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13</w:t>
            </w:r>
          </w:p>
        </w:tc>
        <w:tc>
          <w:tcPr>
            <w:tcW w:w="1062" w:type="dxa"/>
            <w:vMerge w:val="continue"/>
            <w:tcBorders>
              <w:tl2br w:val="nil"/>
              <w:tr2bl w:val="nil"/>
            </w:tcBorders>
            <w:vAlign w:val="center"/>
          </w:tcPr>
          <w:p>
            <w:pPr>
              <w:pStyle w:val="67"/>
              <w:jc w:val="center"/>
              <w:rPr>
                <w:rFonts w:hint="default" w:ascii="Times New Roman" w:hAnsi="Times New Roman" w:cs="Times New Roman"/>
                <w:color w:val="auto"/>
              </w:rPr>
            </w:pPr>
          </w:p>
        </w:tc>
        <w:tc>
          <w:tcPr>
            <w:tcW w:w="968" w:type="dxa"/>
            <w:vMerge w:val="continue"/>
            <w:tcBorders>
              <w:tl2br w:val="nil"/>
              <w:tr2bl w:val="nil"/>
            </w:tcBorders>
            <w:vAlign w:val="center"/>
          </w:tcPr>
          <w:p>
            <w:pPr>
              <w:pStyle w:val="67"/>
              <w:jc w:val="center"/>
              <w:rPr>
                <w:rFonts w:hint="eastAsia" w:ascii="Times New Roman" w:hAnsi="Times New Roman" w:cs="Times New Roman"/>
                <w:color w:val="auto"/>
              </w:rPr>
            </w:pPr>
          </w:p>
        </w:tc>
        <w:tc>
          <w:tcPr>
            <w:tcW w:w="1413" w:type="dxa"/>
            <w:tcBorders>
              <w:tl2br w:val="nil"/>
              <w:tr2bl w:val="nil"/>
            </w:tcBorders>
            <w:vAlign w:val="center"/>
          </w:tcPr>
          <w:p>
            <w:pPr>
              <w:pStyle w:val="67"/>
              <w:jc w:val="center"/>
              <w:rPr>
                <w:rFonts w:hint="eastAsia" w:ascii="Times New Roman" w:hAnsi="Times New Roman" w:cs="Times New Roman"/>
                <w:color w:val="auto"/>
              </w:rPr>
            </w:pPr>
            <w:r>
              <w:rPr>
                <w:rFonts w:hint="eastAsia" w:ascii="Times New Roman" w:hAnsi="Times New Roman" w:cs="Times New Roman"/>
                <w:color w:val="auto"/>
              </w:rPr>
              <w:t>空心莲子草群</w:t>
            </w:r>
          </w:p>
          <w:p>
            <w:pPr>
              <w:pStyle w:val="67"/>
              <w:jc w:val="center"/>
              <w:rPr>
                <w:rFonts w:hint="default" w:ascii="Times New Roman" w:hAnsi="Times New Roman" w:cs="Times New Roman"/>
                <w:color w:val="auto"/>
              </w:rPr>
            </w:pPr>
            <w:r>
              <w:rPr>
                <w:rFonts w:hint="eastAsia" w:ascii="Times New Roman" w:hAnsi="Times New Roman" w:cs="Times New Roman"/>
                <w:color w:val="auto"/>
              </w:rPr>
              <w:t>落</w:t>
            </w:r>
          </w:p>
        </w:tc>
        <w:tc>
          <w:tcPr>
            <w:tcW w:w="769" w:type="dxa"/>
            <w:tcBorders>
              <w:tl2br w:val="nil"/>
              <w:tr2bl w:val="nil"/>
            </w:tcBorders>
            <w:vAlign w:val="center"/>
          </w:tcPr>
          <w:p>
            <w:pPr>
              <w:pStyle w:val="67"/>
              <w:jc w:val="center"/>
              <w:rPr>
                <w:rFonts w:hint="default" w:ascii="Times New Roman" w:hAnsi="Times New Roman" w:cs="Times New Roman"/>
                <w:color w:val="auto"/>
              </w:rPr>
            </w:pPr>
            <w:r>
              <w:rPr>
                <w:rFonts w:hint="eastAsia" w:ascii="Times New Roman" w:hAnsi="Times New Roman" w:cs="Times New Roman"/>
                <w:color w:val="auto"/>
              </w:rPr>
              <w:t>外来</w:t>
            </w:r>
          </w:p>
          <w:p>
            <w:pPr>
              <w:pStyle w:val="67"/>
              <w:jc w:val="center"/>
              <w:rPr>
                <w:rFonts w:hint="default" w:ascii="Times New Roman" w:hAnsi="Times New Roman" w:cs="Times New Roman"/>
                <w:color w:val="auto"/>
              </w:rPr>
            </w:pPr>
            <w:r>
              <w:rPr>
                <w:rFonts w:hint="eastAsia" w:ascii="Times New Roman" w:hAnsi="Times New Roman" w:cs="Times New Roman"/>
                <w:color w:val="auto"/>
              </w:rPr>
              <w:t>逸生</w:t>
            </w:r>
          </w:p>
        </w:tc>
        <w:tc>
          <w:tcPr>
            <w:tcW w:w="456" w:type="dxa"/>
            <w:tcBorders>
              <w:tl2br w:val="nil"/>
              <w:tr2bl w:val="nil"/>
            </w:tcBorders>
            <w:vAlign w:val="center"/>
          </w:tcPr>
          <w:p>
            <w:pPr>
              <w:pStyle w:val="67"/>
              <w:jc w:val="center"/>
              <w:rPr>
                <w:rFonts w:hint="eastAsia" w:ascii="Times New Roman" w:hAnsi="Times New Roman" w:cs="Times New Roman"/>
                <w:color w:val="auto"/>
              </w:rPr>
            </w:pPr>
          </w:p>
        </w:tc>
        <w:tc>
          <w:tcPr>
            <w:tcW w:w="668" w:type="dxa"/>
            <w:tcBorders>
              <w:tl2br w:val="nil"/>
              <w:tr2bl w:val="nil"/>
            </w:tcBorders>
            <w:vAlign w:val="center"/>
          </w:tcPr>
          <w:p>
            <w:pPr>
              <w:pStyle w:val="67"/>
              <w:jc w:val="center"/>
              <w:rPr>
                <w:rFonts w:hint="eastAsia" w:ascii="Times New Roman" w:hAnsi="Times New Roman" w:cs="Times New Roman"/>
                <w:color w:val="auto"/>
              </w:rPr>
            </w:pPr>
          </w:p>
        </w:tc>
        <w:tc>
          <w:tcPr>
            <w:tcW w:w="809" w:type="dxa"/>
            <w:tcBorders>
              <w:tl2br w:val="nil"/>
              <w:tr2bl w:val="nil"/>
            </w:tcBorders>
            <w:vAlign w:val="center"/>
          </w:tcPr>
          <w:p>
            <w:pPr>
              <w:pStyle w:val="67"/>
              <w:jc w:val="center"/>
              <w:rPr>
                <w:rFonts w:hint="eastAsia" w:ascii="Times New Roman" w:hAnsi="Times New Roman" w:cs="Times New Roman"/>
                <w:color w:val="auto"/>
              </w:rPr>
            </w:pPr>
          </w:p>
        </w:tc>
        <w:tc>
          <w:tcPr>
            <w:tcW w:w="1048" w:type="dxa"/>
            <w:tcBorders>
              <w:tl2br w:val="nil"/>
              <w:tr2bl w:val="nil"/>
            </w:tcBorders>
            <w:vAlign w:val="center"/>
          </w:tcPr>
          <w:p>
            <w:pPr>
              <w:pStyle w:val="67"/>
              <w:jc w:val="center"/>
              <w:rPr>
                <w:rFonts w:hint="eastAsia" w:ascii="Times New Roman" w:hAnsi="Times New Roman" w:cs="Times New Roman"/>
                <w:color w:val="auto"/>
              </w:rPr>
            </w:pPr>
          </w:p>
        </w:tc>
        <w:tc>
          <w:tcPr>
            <w:tcW w:w="557" w:type="dxa"/>
            <w:tcBorders>
              <w:tl2br w:val="nil"/>
              <w:tr2bl w:val="nil"/>
            </w:tcBorders>
            <w:vAlign w:val="center"/>
          </w:tcPr>
          <w:p>
            <w:pPr>
              <w:pStyle w:val="67"/>
              <w:jc w:val="center"/>
              <w:rPr>
                <w:rFonts w:hint="eastAsia" w:ascii="Times New Roman" w:hAnsi="Times New Roman" w:cs="Times New Roman"/>
                <w:color w:val="auto"/>
              </w:rPr>
            </w:pPr>
          </w:p>
        </w:tc>
      </w:tr>
    </w:tbl>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 xml:space="preserve"> </w:t>
      </w:r>
      <w:r>
        <w:rPr>
          <w:rFonts w:hint="eastAsia" w:ascii="Times New Roman" w:hAnsi="Times New Roman" w:eastAsia="宋体" w:cs="Times New Roman"/>
          <w:bCs/>
          <w:color w:val="auto"/>
          <w:sz w:val="24"/>
          <w:szCs w:val="21"/>
          <w:highlight w:val="none"/>
          <w:u w:val="none"/>
          <w:lang w:val="en-US" w:eastAsia="zh-CN"/>
        </w:rPr>
        <w:t>植物群落特征分析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 xml:space="preserve">）草甸型组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①白茅草甸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白茅广泛分布于低山带平原河岸草地、沙质草甸、荒漠与海滨；中国各地均有分布。白茅是湖区内的常见草本，常分布在地势较高、排水较好的洲滩高地和边缘，面积可达几公顷。常与南荻群落和芒群落镶嵌分布</w:t>
      </w:r>
      <w:r>
        <w:rPr>
          <w:rFonts w:hint="eastAsia" w:cs="Times New Roman"/>
          <w:bCs/>
          <w:color w:val="auto"/>
          <w:sz w:val="24"/>
          <w:szCs w:val="21"/>
          <w:highlight w:val="none"/>
          <w:u w:val="none"/>
          <w:lang w:val="en-US" w:eastAsia="zh-CN"/>
        </w:rPr>
        <w:t>，</w:t>
      </w:r>
      <w:r>
        <w:rPr>
          <w:rFonts w:hint="eastAsia" w:ascii="Times New Roman" w:hAnsi="Times New Roman" w:eastAsia="宋体" w:cs="Times New Roman"/>
          <w:bCs/>
          <w:color w:val="auto"/>
          <w:sz w:val="24"/>
          <w:szCs w:val="21"/>
          <w:highlight w:val="none"/>
          <w:u w:val="none"/>
          <w:lang w:val="en-US" w:eastAsia="zh-CN"/>
        </w:rPr>
        <w:t xml:space="preserve">或成片分布在疏林下。群落外貌淡绿色，秋冬季地上部常为枯黄色，生长紧密，高可达 </w:t>
      </w:r>
      <w:r>
        <w:rPr>
          <w:rFonts w:hint="default" w:ascii="Times New Roman" w:hAnsi="Times New Roman" w:eastAsia="宋体" w:cs="Times New Roman"/>
          <w:bCs/>
          <w:color w:val="auto"/>
          <w:sz w:val="24"/>
          <w:szCs w:val="21"/>
          <w:highlight w:val="none"/>
          <w:u w:val="none"/>
          <w:lang w:val="en-US" w:eastAsia="zh-CN"/>
        </w:rPr>
        <w:t>1 m</w:t>
      </w:r>
      <w:r>
        <w:rPr>
          <w:rFonts w:hint="eastAsia" w:ascii="Times New Roman" w:hAnsi="Times New Roman" w:eastAsia="宋体" w:cs="Times New Roman"/>
          <w:bCs/>
          <w:color w:val="auto"/>
          <w:sz w:val="24"/>
          <w:szCs w:val="21"/>
          <w:highlight w:val="none"/>
          <w:u w:val="none"/>
          <w:lang w:val="en-US" w:eastAsia="zh-CN"/>
        </w:rPr>
        <w:t>。</w:t>
      </w:r>
    </w:p>
    <w:p>
      <w:pPr>
        <w:keepNext w:val="0"/>
        <w:keepLines w:val="0"/>
        <w:widowControl/>
        <w:suppressLineNumbers w:val="0"/>
        <w:jc w:val="left"/>
        <w:rPr>
          <w:color w:val="auto"/>
        </w:rPr>
      </w:pPr>
    </w:p>
    <w:p>
      <w:pPr>
        <w:adjustRightInd w:val="0"/>
        <w:snapToGrid w:val="0"/>
        <w:spacing w:line="360" w:lineRule="auto"/>
        <w:jc w:val="left"/>
        <w:rPr>
          <w:rFonts w:hint="eastAsia" w:ascii="Times New Roman" w:hAnsi="Times New Roman" w:eastAsia="宋体" w:cs="Times New Roman"/>
          <w:bCs/>
          <w:color w:val="auto"/>
          <w:sz w:val="24"/>
          <w:szCs w:val="21"/>
          <w:highlight w:val="none"/>
          <w:u w:val="none"/>
          <w:lang w:val="en-US" w:eastAsia="zh-CN"/>
        </w:rPr>
      </w:pPr>
      <w:r>
        <w:rPr>
          <w:color w:val="auto"/>
        </w:rPr>
        <w:drawing>
          <wp:inline distT="0" distB="0" distL="114300" distR="114300">
            <wp:extent cx="5274310" cy="1742440"/>
            <wp:effectExtent l="0" t="0" r="2540" b="10160"/>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60"/>
                    <a:stretch>
                      <a:fillRect/>
                    </a:stretch>
                  </pic:blipFill>
                  <pic:spPr>
                    <a:xfrm>
                      <a:off x="0" y="0"/>
                      <a:ext cx="5274310" cy="1742440"/>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fldChar w:fldCharType="begin"/>
      </w:r>
      <w:r>
        <w:rPr>
          <w:rFonts w:hint="eastAsia" w:ascii="Times New Roman" w:hAnsi="Times New Roman" w:eastAsia="宋体" w:cs="Times New Roman"/>
          <w:bCs/>
          <w:color w:val="auto"/>
          <w:sz w:val="24"/>
          <w:szCs w:val="21"/>
          <w:highlight w:val="none"/>
          <w:u w:val="none"/>
          <w:lang w:val="en-US" w:eastAsia="zh-CN"/>
        </w:rPr>
        <w:instrText xml:space="preserve"> = 2 \* GB3 \* MERGEFORMAT </w:instrText>
      </w:r>
      <w:r>
        <w:rPr>
          <w:rFonts w:hint="eastAsia" w:ascii="Times New Roman" w:hAnsi="Times New Roman" w:eastAsia="宋体" w:cs="Times New Roman"/>
          <w:bCs/>
          <w:color w:val="auto"/>
          <w:sz w:val="24"/>
          <w:szCs w:val="21"/>
          <w:highlight w:val="none"/>
          <w:u w:val="none"/>
          <w:lang w:val="en-US" w:eastAsia="zh-CN"/>
        </w:rPr>
        <w:fldChar w:fldCharType="separate"/>
      </w:r>
      <w:r>
        <w:rPr>
          <w:rFonts w:hint="eastAsia" w:ascii="Times New Roman" w:hAnsi="Times New Roman" w:eastAsia="宋体" w:cs="Times New Roman"/>
          <w:bCs/>
          <w:color w:val="auto"/>
          <w:sz w:val="24"/>
          <w:szCs w:val="21"/>
          <w:highlight w:val="none"/>
          <w:u w:val="none"/>
          <w:lang w:val="en-US" w:eastAsia="zh-CN"/>
        </w:rPr>
        <w:t>②</w:t>
      </w:r>
      <w:r>
        <w:rPr>
          <w:rFonts w:hint="eastAsia" w:ascii="Times New Roman" w:hAnsi="Times New Roman" w:eastAsia="宋体" w:cs="Times New Roman"/>
          <w:bCs/>
          <w:color w:val="auto"/>
          <w:sz w:val="24"/>
          <w:szCs w:val="21"/>
          <w:highlight w:val="none"/>
          <w:u w:val="none"/>
          <w:lang w:val="en-US" w:eastAsia="zh-CN"/>
        </w:rPr>
        <w:fldChar w:fldCharType="end"/>
      </w:r>
      <w:r>
        <w:rPr>
          <w:rFonts w:hint="eastAsia" w:ascii="Times New Roman" w:hAnsi="Times New Roman" w:eastAsia="宋体" w:cs="Times New Roman"/>
          <w:bCs/>
          <w:color w:val="auto"/>
          <w:sz w:val="24"/>
          <w:szCs w:val="21"/>
          <w:highlight w:val="none"/>
          <w:u w:val="none"/>
          <w:lang w:val="en-US" w:eastAsia="zh-CN"/>
        </w:rPr>
        <w:t xml:space="preserve">芒草甸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芒是禾本科芒属多年生苇状草本。叶片线形，下面疏生柔毛及被白粉，边缘粗糙，圆锥花序直立，小穗披针形，黄色有光泽，遍布于海拔</w:t>
      </w:r>
      <w:r>
        <w:rPr>
          <w:rFonts w:hint="default" w:ascii="Times New Roman" w:hAnsi="Times New Roman" w:eastAsia="宋体" w:cs="Times New Roman"/>
          <w:bCs/>
          <w:color w:val="auto"/>
          <w:sz w:val="24"/>
          <w:szCs w:val="21"/>
          <w:highlight w:val="none"/>
          <w:u w:val="none"/>
          <w:lang w:val="en-US" w:eastAsia="zh-CN"/>
        </w:rPr>
        <w:t>1800</w:t>
      </w:r>
      <w:r>
        <w:rPr>
          <w:rFonts w:hint="eastAsia" w:ascii="Times New Roman" w:hAnsi="Times New Roman" w:eastAsia="宋体" w:cs="Times New Roman"/>
          <w:bCs/>
          <w:color w:val="auto"/>
          <w:sz w:val="24"/>
          <w:szCs w:val="21"/>
          <w:highlight w:val="none"/>
          <w:u w:val="none"/>
          <w:lang w:val="en-US" w:eastAsia="zh-CN"/>
        </w:rPr>
        <w:t>米以下的山地、丘陵和荒坡原野，常组成优势群落。广泛分布于评价区堤坝两侧。芒草对重金属污染土壤有修复作用；芒草对土地沙化环境具有改善作用。</w:t>
      </w:r>
    </w:p>
    <w:p>
      <w:pPr>
        <w:keepNext w:val="0"/>
        <w:keepLines w:val="0"/>
        <w:widowControl/>
        <w:suppressLineNumbers w:val="0"/>
        <w:jc w:val="left"/>
        <w:rPr>
          <w:rFonts w:ascii="仿宋" w:hAnsi="仿宋" w:eastAsia="仿宋" w:cs="仿宋"/>
          <w:color w:val="auto"/>
          <w:kern w:val="0"/>
          <w:sz w:val="27"/>
          <w:szCs w:val="27"/>
          <w:lang w:val="en-US" w:eastAsia="zh-CN" w:bidi="ar"/>
        </w:rPr>
      </w:pPr>
      <w:r>
        <w:rPr>
          <w:color w:val="auto"/>
        </w:rPr>
        <w:drawing>
          <wp:inline distT="0" distB="0" distL="114300" distR="114300">
            <wp:extent cx="5271770" cy="1861820"/>
            <wp:effectExtent l="0" t="0" r="5080" b="5080"/>
            <wp:docPr id="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pic:cNvPicPr>
                      <a:picLocks noChangeAspect="1"/>
                    </pic:cNvPicPr>
                  </pic:nvPicPr>
                  <pic:blipFill>
                    <a:blip r:embed="rId61"/>
                    <a:stretch>
                      <a:fillRect/>
                    </a:stretch>
                  </pic:blipFill>
                  <pic:spPr>
                    <a:xfrm>
                      <a:off x="0" y="0"/>
                      <a:ext cx="5271770" cy="1861820"/>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③狗牙根草甸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狗牙根是禾本科狗牙根属多年生草本植物，广泛分布于热带、亚热带和温带地区，中国黄河流域以南各地均有狗牙根，北至新疆亦有野生狗牙根。狗牙根适合在温暖潮湿和温暖半干早地区生长，极耐热耐旱，耐践踏，但抗寒性差，也不耐阴，根系浅，喜在排水良好的肥沃土壤中生长，在轻度盐碱地上也生长较快，且侵占力强，如果疏于管理，两三年内就会完全侵占草坪。狗牙根多生长于村庄附近、道旁河岸、荒地山坡。以根茎、匍匐茎繁殖为主，也可种子繁殖。根茎蔓延力很强，广铺地面，是良好的固堤保土植物。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于评价区荒地、护堤、河滩广泛分布</w:t>
      </w:r>
    </w:p>
    <w:p>
      <w:pPr>
        <w:adjustRightInd w:val="0"/>
        <w:snapToGrid w:val="0"/>
        <w:spacing w:line="360" w:lineRule="auto"/>
        <w:jc w:val="left"/>
        <w:rPr>
          <w:rFonts w:hint="eastAsia" w:ascii="Times New Roman" w:hAnsi="Times New Roman" w:eastAsia="宋体" w:cs="Times New Roman"/>
          <w:bCs/>
          <w:color w:val="auto"/>
          <w:sz w:val="24"/>
          <w:szCs w:val="21"/>
          <w:highlight w:val="none"/>
          <w:u w:val="none"/>
          <w:lang w:val="en-US" w:eastAsia="zh-CN"/>
        </w:rPr>
      </w:pPr>
      <w:r>
        <w:rPr>
          <w:color w:val="auto"/>
        </w:rPr>
        <w:drawing>
          <wp:inline distT="0" distB="0" distL="114300" distR="114300">
            <wp:extent cx="5268595" cy="1841500"/>
            <wp:effectExtent l="0" t="0" r="8255" b="6350"/>
            <wp:docPr id="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pic:cNvPicPr>
                      <a:picLocks noChangeAspect="1"/>
                    </pic:cNvPicPr>
                  </pic:nvPicPr>
                  <pic:blipFill>
                    <a:blip r:embed="rId62"/>
                    <a:stretch>
                      <a:fillRect/>
                    </a:stretch>
                  </pic:blipFill>
                  <pic:spPr>
                    <a:xfrm>
                      <a:off x="0" y="0"/>
                      <a:ext cx="5268595" cy="1841500"/>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④灰化薹草草甸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灰化薹草是莎草科、薹草属多年生草本植物。根状茎短，具长的匍匐茎。生长在湖边、沼泽或湿地。灰化薹草薹草主要进行无性繁殖，依靠根状茎上的腋芽萌发成新株。灰化薹草具有发达的须根，其盘根错节，与土粒相互吸附，构成厚达 </w:t>
      </w:r>
      <w:r>
        <w:rPr>
          <w:rFonts w:hint="default" w:ascii="Times New Roman" w:hAnsi="Times New Roman" w:eastAsia="宋体" w:cs="Times New Roman"/>
          <w:bCs/>
          <w:color w:val="auto"/>
          <w:sz w:val="24"/>
          <w:szCs w:val="21"/>
          <w:highlight w:val="none"/>
          <w:u w:val="none"/>
          <w:lang w:val="en-US" w:eastAsia="zh-CN"/>
        </w:rPr>
        <w:t xml:space="preserve">15-20 </w:t>
      </w:r>
      <w:r>
        <w:rPr>
          <w:rFonts w:hint="eastAsia" w:ascii="Times New Roman" w:hAnsi="Times New Roman" w:eastAsia="宋体" w:cs="Times New Roman"/>
          <w:bCs/>
          <w:color w:val="auto"/>
          <w:sz w:val="24"/>
          <w:szCs w:val="21"/>
          <w:highlight w:val="none"/>
          <w:u w:val="none"/>
          <w:lang w:val="en-US" w:eastAsia="zh-CN"/>
        </w:rPr>
        <w:t xml:space="preserve">厘米的生草根层，坚实不易耕耙，正是由于这一庞大的须根，吸附着沼泽草甸土有限的速效养分，繁殖生长。灰化薹草是洞庭湖滨地区良等野生牧草，幼嫩时，牛、羊、鹅均喜食，除放牧外，因其粗蛋白质含量较高。可刈割、晒制于草、粉碎作为配合饲料的填充剂，也可青贮和作发酵饲料。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该草甸在湖区广泛分布，评价区藕池河河滩广泛分布。</w:t>
      </w:r>
    </w:p>
    <w:p>
      <w:pPr>
        <w:keepNext w:val="0"/>
        <w:keepLines w:val="0"/>
        <w:widowControl/>
        <w:suppressLineNumbers w:val="0"/>
        <w:jc w:val="left"/>
        <w:rPr>
          <w:color w:val="auto"/>
        </w:rPr>
      </w:pPr>
      <w:r>
        <w:rPr>
          <w:color w:val="auto"/>
        </w:rPr>
        <w:drawing>
          <wp:inline distT="0" distB="0" distL="114300" distR="114300">
            <wp:extent cx="5268595" cy="1825625"/>
            <wp:effectExtent l="0" t="0" r="8255" b="3175"/>
            <wp:docPr id="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pic:cNvPicPr>
                      <a:picLocks noChangeAspect="1"/>
                    </pic:cNvPicPr>
                  </pic:nvPicPr>
                  <pic:blipFill>
                    <a:blip r:embed="rId63"/>
                    <a:stretch>
                      <a:fillRect/>
                    </a:stretch>
                  </pic:blipFill>
                  <pic:spPr>
                    <a:xfrm>
                      <a:off x="0" y="0"/>
                      <a:ext cx="5268595" cy="1825625"/>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⑤牛毛毡草甸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牛毛毡为多年生莎草科湿生性草本，喜酸性黏土、潮湿环境。一般生于海拔 </w:t>
      </w:r>
      <w:r>
        <w:rPr>
          <w:rFonts w:hint="default" w:ascii="Times New Roman" w:hAnsi="Times New Roman" w:eastAsia="宋体" w:cs="Times New Roman"/>
          <w:bCs/>
          <w:color w:val="auto"/>
          <w:sz w:val="24"/>
          <w:szCs w:val="21"/>
          <w:highlight w:val="none"/>
          <w:u w:val="none"/>
          <w:lang w:val="en-US" w:eastAsia="zh-CN"/>
        </w:rPr>
        <w:t xml:space="preserve">0-3000 m </w:t>
      </w:r>
      <w:r>
        <w:rPr>
          <w:rFonts w:hint="eastAsia" w:ascii="Times New Roman" w:hAnsi="Times New Roman" w:eastAsia="宋体" w:cs="Times New Roman"/>
          <w:bCs/>
          <w:color w:val="auto"/>
          <w:sz w:val="24"/>
          <w:szCs w:val="21"/>
          <w:highlight w:val="none"/>
          <w:u w:val="none"/>
          <w:lang w:val="en-US" w:eastAsia="zh-CN"/>
        </w:rPr>
        <w:t>的稻田、池塘边、河滩地及渠边等湿地。生长的适温为</w:t>
      </w:r>
      <w:r>
        <w:rPr>
          <w:rFonts w:hint="default" w:ascii="Times New Roman" w:hAnsi="Times New Roman" w:eastAsia="宋体" w:cs="Times New Roman"/>
          <w:bCs/>
          <w:color w:val="auto"/>
          <w:sz w:val="24"/>
          <w:szCs w:val="21"/>
          <w:highlight w:val="none"/>
          <w:u w:val="none"/>
          <w:lang w:val="en-US" w:eastAsia="zh-CN"/>
        </w:rPr>
        <w:t>22-26 ℃</w:t>
      </w:r>
      <w:r>
        <w:rPr>
          <w:rFonts w:hint="eastAsia" w:ascii="Times New Roman" w:hAnsi="Times New Roman" w:eastAsia="宋体" w:cs="Times New Roman"/>
          <w:bCs/>
          <w:color w:val="auto"/>
          <w:sz w:val="24"/>
          <w:szCs w:val="21"/>
          <w:highlight w:val="none"/>
          <w:u w:val="none"/>
          <w:lang w:val="en-US" w:eastAsia="zh-CN"/>
        </w:rPr>
        <w:t>。牛毛毡喜欢浅水和潮湿的环境，当有充足的光照时也能生长在</w:t>
      </w:r>
      <w:r>
        <w:rPr>
          <w:rFonts w:hint="default" w:ascii="Times New Roman" w:hAnsi="Times New Roman" w:eastAsia="宋体" w:cs="Times New Roman"/>
          <w:bCs/>
          <w:color w:val="auto"/>
          <w:sz w:val="24"/>
          <w:szCs w:val="21"/>
          <w:highlight w:val="none"/>
          <w:u w:val="none"/>
          <w:lang w:val="en-US" w:eastAsia="zh-CN"/>
        </w:rPr>
        <w:t>80</w:t>
      </w:r>
      <w:r>
        <w:rPr>
          <w:rFonts w:hint="eastAsia" w:ascii="Times New Roman" w:hAnsi="Times New Roman" w:eastAsia="宋体" w:cs="Times New Roman"/>
          <w:bCs/>
          <w:color w:val="auto"/>
          <w:sz w:val="24"/>
          <w:szCs w:val="21"/>
          <w:highlight w:val="none"/>
          <w:u w:val="none"/>
          <w:lang w:val="en-US" w:eastAsia="zh-CN"/>
        </w:rPr>
        <w:t>～</w:t>
      </w:r>
      <w:r>
        <w:rPr>
          <w:rFonts w:hint="default" w:ascii="Times New Roman" w:hAnsi="Times New Roman" w:eastAsia="宋体" w:cs="Times New Roman"/>
          <w:bCs/>
          <w:color w:val="auto"/>
          <w:sz w:val="24"/>
          <w:szCs w:val="21"/>
          <w:highlight w:val="none"/>
          <w:u w:val="none"/>
          <w:lang w:val="en-US" w:eastAsia="zh-CN"/>
        </w:rPr>
        <w:t xml:space="preserve">100 cm </w:t>
      </w:r>
      <w:r>
        <w:rPr>
          <w:rFonts w:hint="eastAsia" w:ascii="Times New Roman" w:hAnsi="Times New Roman" w:eastAsia="宋体" w:cs="Times New Roman"/>
          <w:bCs/>
          <w:color w:val="auto"/>
          <w:sz w:val="24"/>
          <w:szCs w:val="21"/>
          <w:highlight w:val="none"/>
          <w:u w:val="none"/>
          <w:lang w:val="en-US" w:eastAsia="zh-CN"/>
        </w:rPr>
        <w:t xml:space="preserve">的深水中。牛毛毡高发于 </w:t>
      </w:r>
      <w:r>
        <w:rPr>
          <w:rFonts w:hint="default" w:ascii="Times New Roman" w:hAnsi="Times New Roman" w:eastAsia="宋体" w:cs="Times New Roman"/>
          <w:bCs/>
          <w:color w:val="auto"/>
          <w:sz w:val="24"/>
          <w:szCs w:val="21"/>
          <w:highlight w:val="none"/>
          <w:u w:val="none"/>
          <w:lang w:val="en-US" w:eastAsia="zh-CN"/>
        </w:rPr>
        <w:t>6</w:t>
      </w:r>
      <w:r>
        <w:rPr>
          <w:rFonts w:hint="eastAsia" w:ascii="Times New Roman" w:hAnsi="Times New Roman" w:eastAsia="宋体" w:cs="Times New Roman"/>
          <w:bCs/>
          <w:color w:val="auto"/>
          <w:sz w:val="24"/>
          <w:szCs w:val="21"/>
          <w:highlight w:val="none"/>
          <w:u w:val="none"/>
          <w:lang w:val="en-US" w:eastAsia="zh-CN"/>
        </w:rPr>
        <w:t>～</w:t>
      </w:r>
      <w:r>
        <w:rPr>
          <w:rFonts w:hint="default" w:ascii="Times New Roman" w:hAnsi="Times New Roman" w:eastAsia="宋体" w:cs="Times New Roman"/>
          <w:bCs/>
          <w:color w:val="auto"/>
          <w:sz w:val="24"/>
          <w:szCs w:val="21"/>
          <w:highlight w:val="none"/>
          <w:u w:val="none"/>
          <w:lang w:val="en-US" w:eastAsia="zh-CN"/>
        </w:rPr>
        <w:t xml:space="preserve">7 </w:t>
      </w:r>
      <w:r>
        <w:rPr>
          <w:rFonts w:hint="eastAsia" w:ascii="Times New Roman" w:hAnsi="Times New Roman" w:eastAsia="宋体" w:cs="Times New Roman"/>
          <w:bCs/>
          <w:color w:val="auto"/>
          <w:sz w:val="24"/>
          <w:szCs w:val="21"/>
          <w:highlight w:val="none"/>
          <w:u w:val="none"/>
          <w:lang w:val="en-US" w:eastAsia="zh-CN"/>
        </w:rPr>
        <w:t xml:space="preserve">月，对水稻危害非常严重，在早晚稻田中甚至可以单独造成严重危害，与其它杂草形成坚不可摧的杂草群落，是稻田的噩梦。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该草甸于评价区农田和河岸区域内广泛分布，于农田中影响作物产量，但在河岸堤坝及河滩范围则有保持水土的作用。</w:t>
      </w:r>
    </w:p>
    <w:p>
      <w:pPr>
        <w:adjustRightInd w:val="0"/>
        <w:snapToGrid w:val="0"/>
        <w:spacing w:line="360" w:lineRule="auto"/>
        <w:jc w:val="left"/>
        <w:rPr>
          <w:color w:val="auto"/>
        </w:rPr>
      </w:pPr>
      <w:r>
        <w:rPr>
          <w:color w:val="auto"/>
        </w:rPr>
        <w:drawing>
          <wp:inline distT="0" distB="0" distL="114300" distR="114300">
            <wp:extent cx="5268595" cy="1727200"/>
            <wp:effectExtent l="0" t="0" r="8255" b="6350"/>
            <wp:docPr id="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pic:cNvPicPr>
                      <a:picLocks noChangeAspect="1"/>
                    </pic:cNvPicPr>
                  </pic:nvPicPr>
                  <pic:blipFill>
                    <a:blip r:embed="rId64"/>
                    <a:stretch>
                      <a:fillRect/>
                    </a:stretch>
                  </pic:blipFill>
                  <pic:spPr>
                    <a:xfrm>
                      <a:off x="0" y="0"/>
                      <a:ext cx="5268595" cy="1727200"/>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⑥紫云英草甸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紫云英别名翘摇、红花草等，是豆科黄芪属的二年生草本植物。紫云英富硒，含有丰富的蛋白质，可用做牲畜饲料，其嫩梢可供蔬食；泌蜜量大且蜂蜜品质好，是重要的蜜源植物；也是优良的观花植物，可应用于公园、花坛、花镜中；具有固氮能力，可固定空气中氮，植株腐解时，产生大量的氮素，维持农田生态系统中的氮循环；紫云英以全草、根及种子入药，具有一定的药用价值。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本种于评价区荒地及河滩广泛分布。</w:t>
      </w:r>
    </w:p>
    <w:p>
      <w:pPr>
        <w:adjustRightInd w:val="0"/>
        <w:snapToGrid w:val="0"/>
        <w:spacing w:line="360" w:lineRule="auto"/>
        <w:jc w:val="left"/>
        <w:rPr>
          <w:color w:val="auto"/>
        </w:rPr>
      </w:pPr>
      <w:r>
        <w:rPr>
          <w:color w:val="auto"/>
        </w:rPr>
        <w:drawing>
          <wp:inline distT="0" distB="0" distL="114300" distR="114300">
            <wp:extent cx="5273040" cy="1730375"/>
            <wp:effectExtent l="0" t="0" r="3810" b="3175"/>
            <wp:docPr id="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6"/>
                    <pic:cNvPicPr>
                      <a:picLocks noChangeAspect="1"/>
                    </pic:cNvPicPr>
                  </pic:nvPicPr>
                  <pic:blipFill>
                    <a:blip r:embed="rId65"/>
                    <a:stretch>
                      <a:fillRect/>
                    </a:stretch>
                  </pic:blipFill>
                  <pic:spPr>
                    <a:xfrm>
                      <a:off x="0" y="0"/>
                      <a:ext cx="5273040" cy="1730375"/>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fldChar w:fldCharType="begin"/>
      </w:r>
      <w:r>
        <w:rPr>
          <w:rFonts w:hint="eastAsia" w:ascii="Times New Roman" w:hAnsi="Times New Roman" w:eastAsia="宋体" w:cs="Times New Roman"/>
          <w:bCs/>
          <w:color w:val="auto"/>
          <w:sz w:val="24"/>
          <w:szCs w:val="21"/>
          <w:highlight w:val="none"/>
          <w:u w:val="none"/>
          <w:lang w:val="en-US" w:eastAsia="zh-CN"/>
        </w:rPr>
        <w:instrText xml:space="preserve"> = 7 \* GB3 \* MERGEFORMAT </w:instrText>
      </w:r>
      <w:r>
        <w:rPr>
          <w:rFonts w:hint="eastAsia" w:ascii="Times New Roman" w:hAnsi="Times New Roman" w:eastAsia="宋体" w:cs="Times New Roman"/>
          <w:bCs/>
          <w:color w:val="auto"/>
          <w:sz w:val="24"/>
          <w:szCs w:val="21"/>
          <w:highlight w:val="none"/>
          <w:u w:val="none"/>
          <w:lang w:val="en-US" w:eastAsia="zh-CN"/>
        </w:rPr>
        <w:fldChar w:fldCharType="separate"/>
      </w:r>
      <w:r>
        <w:rPr>
          <w:rFonts w:hint="eastAsia" w:ascii="Times New Roman" w:hAnsi="Times New Roman" w:eastAsia="宋体" w:cs="Times New Roman"/>
          <w:bCs/>
          <w:color w:val="auto"/>
          <w:sz w:val="24"/>
          <w:szCs w:val="21"/>
          <w:highlight w:val="none"/>
          <w:u w:val="none"/>
          <w:lang w:val="en-US" w:eastAsia="zh-CN"/>
        </w:rPr>
        <w:t>⑦</w:t>
      </w:r>
      <w:r>
        <w:rPr>
          <w:rFonts w:hint="eastAsia" w:ascii="Times New Roman" w:hAnsi="Times New Roman" w:eastAsia="宋体" w:cs="Times New Roman"/>
          <w:bCs/>
          <w:color w:val="auto"/>
          <w:sz w:val="24"/>
          <w:szCs w:val="21"/>
          <w:highlight w:val="none"/>
          <w:u w:val="none"/>
          <w:lang w:val="en-US" w:eastAsia="zh-CN"/>
        </w:rPr>
        <w:fldChar w:fldCharType="end"/>
      </w:r>
      <w:r>
        <w:rPr>
          <w:rFonts w:hint="eastAsia" w:ascii="Times New Roman" w:hAnsi="Times New Roman" w:eastAsia="宋体" w:cs="Times New Roman"/>
          <w:bCs/>
          <w:color w:val="auto"/>
          <w:sz w:val="24"/>
          <w:szCs w:val="21"/>
          <w:highlight w:val="none"/>
          <w:u w:val="none"/>
          <w:lang w:val="en-US" w:eastAsia="zh-CN"/>
        </w:rPr>
        <w:t xml:space="preserve">北美苍耳草甸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北美苍耳是菊科苍耳属一年生草本植物，具有适应性强、繁殖能力强、生命力顽强等特点，因此是重要危险性外来杂草。北美苍耳成熟时种子外形成木质化总苞，总苞具有喙状针刺，以此粘附在人及动物身上进行远距离传播，本种一旦入侵成功会迅速占据大量生态位，对本土物种产生极其严重的排挤性危害。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该草甸类型为外来逸生，现已广泛分布于评价区草地。</w:t>
      </w:r>
    </w:p>
    <w:p>
      <w:pPr>
        <w:adjustRightInd w:val="0"/>
        <w:snapToGrid w:val="0"/>
        <w:spacing w:line="360" w:lineRule="auto"/>
        <w:jc w:val="left"/>
        <w:rPr>
          <w:rFonts w:hint="eastAsia" w:ascii="Times New Roman" w:hAnsi="Times New Roman" w:eastAsia="宋体" w:cs="Times New Roman"/>
          <w:bCs/>
          <w:color w:val="auto"/>
          <w:sz w:val="24"/>
          <w:szCs w:val="21"/>
          <w:highlight w:val="none"/>
          <w:u w:val="none"/>
          <w:lang w:val="en-US" w:eastAsia="zh-CN"/>
        </w:rPr>
      </w:pPr>
      <w:r>
        <w:rPr>
          <w:color w:val="auto"/>
        </w:rPr>
        <w:drawing>
          <wp:inline distT="0" distB="0" distL="114300" distR="114300">
            <wp:extent cx="5273040" cy="1896745"/>
            <wp:effectExtent l="0" t="0" r="3810" b="8255"/>
            <wp:docPr id="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
                    <pic:cNvPicPr>
                      <a:picLocks noChangeAspect="1"/>
                    </pic:cNvPicPr>
                  </pic:nvPicPr>
                  <pic:blipFill>
                    <a:blip r:embed="rId66"/>
                    <a:stretch>
                      <a:fillRect/>
                    </a:stretch>
                  </pic:blipFill>
                  <pic:spPr>
                    <a:xfrm>
                      <a:off x="0" y="0"/>
                      <a:ext cx="5273040" cy="1896745"/>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w:t>
      </w:r>
      <w:r>
        <w:rPr>
          <w:rFonts w:hint="eastAsia"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 xml:space="preserve">）沼泽和水生植物型组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cs="Times New Roman"/>
          <w:bCs/>
          <w:color w:val="auto"/>
          <w:sz w:val="24"/>
          <w:szCs w:val="21"/>
          <w:highlight w:val="none"/>
          <w:u w:val="none"/>
          <w:lang w:val="en-US" w:eastAsia="zh-CN"/>
        </w:rPr>
        <w:t>1）沼泽</w:t>
      </w:r>
      <w:r>
        <w:rPr>
          <w:rFonts w:hint="eastAsia" w:ascii="Times New Roman" w:hAnsi="Times New Roman" w:eastAsia="宋体" w:cs="Times New Roman"/>
          <w:bCs/>
          <w:color w:val="auto"/>
          <w:sz w:val="24"/>
          <w:szCs w:val="21"/>
          <w:highlight w:val="none"/>
          <w:u w:val="none"/>
          <w:lang w:val="en-US" w:eastAsia="zh-CN"/>
        </w:rPr>
        <w:t>植被</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①旱柳群落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旱柳是杨柳科柳属的乔木植物，产于中国的东北、华北平原、西北黄土高原，西至甘肃、青海，南至淮河流域以及浙江、江苏。喜光，耐寒，湿地，旱地皆能生长，适宜在湿润而排水良好的土壤生长。旱柳为耐湿植物，能够一定程度上作为防风固沙的生态屏障，对于保护琥珀周边地区的生态环境具有重要意义；此外，旱柳发达的根系能够有效地固定土壤，减少水土流失。尤其是在湖岸带，旱柳能稳固岸边土壤，防止因波浪侵蚀导致的岸线后退，根系还能够吸收并分解水中的一些有害物质，如重金属离子和过量的营养盐（氮、磷等），从而有助于减轻湖泊的富营养化问题。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该群落主要分布于评价区南侧藕池河河岸，为人工栽培，作防护林。林地潮湿，涨水时节林下常被水淹没。群落外貌较整齐，季相明显。群落郁闭度约</w:t>
      </w:r>
      <w:r>
        <w:rPr>
          <w:rFonts w:hint="default" w:ascii="Times New Roman" w:hAnsi="Times New Roman" w:eastAsia="宋体" w:cs="Times New Roman"/>
          <w:bCs/>
          <w:color w:val="auto"/>
          <w:sz w:val="24"/>
          <w:szCs w:val="21"/>
          <w:highlight w:val="none"/>
          <w:u w:val="none"/>
          <w:lang w:val="en-US" w:eastAsia="zh-CN"/>
        </w:rPr>
        <w:t>0.8</w:t>
      </w:r>
      <w:r>
        <w:rPr>
          <w:rFonts w:hint="eastAsia" w:ascii="Times New Roman" w:hAnsi="Times New Roman" w:eastAsia="宋体" w:cs="Times New Roman"/>
          <w:bCs/>
          <w:color w:val="auto"/>
          <w:sz w:val="24"/>
          <w:szCs w:val="21"/>
          <w:highlight w:val="none"/>
          <w:u w:val="none"/>
          <w:lang w:val="en-US" w:eastAsia="zh-CN"/>
        </w:rPr>
        <w:t xml:space="preserve">，乔木层以旱柳为单优种，林下灌木偶见粉团蔷薇，林下草本层主要有南荻、益母草、百球藨草、蛇床等。 </w:t>
      </w:r>
    </w:p>
    <w:p>
      <w:pPr>
        <w:adjustRightInd w:val="0"/>
        <w:snapToGrid w:val="0"/>
        <w:spacing w:line="360" w:lineRule="auto"/>
        <w:jc w:val="left"/>
        <w:rPr>
          <w:color w:val="auto"/>
        </w:rPr>
      </w:pPr>
      <w:r>
        <w:rPr>
          <w:color w:val="auto"/>
        </w:rPr>
        <w:drawing>
          <wp:inline distT="0" distB="0" distL="114300" distR="114300">
            <wp:extent cx="5199380" cy="1809115"/>
            <wp:effectExtent l="0" t="0" r="1270" b="635"/>
            <wp:docPr id="5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8"/>
                    <pic:cNvPicPr>
                      <a:picLocks noChangeAspect="1"/>
                    </pic:cNvPicPr>
                  </pic:nvPicPr>
                  <pic:blipFill>
                    <a:blip r:embed="rId67"/>
                    <a:stretch>
                      <a:fillRect/>
                    </a:stretch>
                  </pic:blipFill>
                  <pic:spPr>
                    <a:xfrm>
                      <a:off x="0" y="0"/>
                      <a:ext cx="5199380" cy="1809115"/>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②芦苇群落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芦苇是禾本科芦苇属的多年生草本植物，分布在中国各地，常见于江河湖泽、池塘沟渠沿岸和低湿地。芦苇的繁殖能力强，在适宜条件下，无论是种子、根状茎和地上茎都可栽种。芦苇花序雄伟美观，常用作湖边、河岸低湿处的观赏植物，有固堤、护坡、控制杂草的作用，杆为造纸原料或作编席织帘及建棚材料，根状茎供药用。芦苇还是湿地沼泽环境中重要的组成部分，且芦苇湿地的生态价值具有</w:t>
      </w:r>
      <w:r>
        <w:rPr>
          <w:rFonts w:hint="default" w:ascii="Times New Roman" w:hAnsi="Times New Roman" w:eastAsia="宋体" w:cs="Times New Roman"/>
          <w:bCs/>
          <w:color w:val="auto"/>
          <w:sz w:val="24"/>
          <w:szCs w:val="21"/>
          <w:highlight w:val="none"/>
          <w:u w:val="none"/>
          <w:lang w:val="en-US" w:eastAsia="zh-CN"/>
        </w:rPr>
        <w:t>“</w:t>
      </w:r>
      <w:r>
        <w:rPr>
          <w:rFonts w:hint="eastAsia" w:ascii="Times New Roman" w:hAnsi="Times New Roman" w:eastAsia="宋体" w:cs="Times New Roman"/>
          <w:bCs/>
          <w:color w:val="auto"/>
          <w:sz w:val="24"/>
          <w:szCs w:val="21"/>
          <w:highlight w:val="none"/>
          <w:u w:val="none"/>
          <w:lang w:val="en-US" w:eastAsia="zh-CN"/>
        </w:rPr>
        <w:t>第二森林</w:t>
      </w:r>
      <w:r>
        <w:rPr>
          <w:rFonts w:hint="default" w:ascii="Times New Roman" w:hAnsi="Times New Roman" w:eastAsia="宋体" w:cs="Times New Roman"/>
          <w:bCs/>
          <w:color w:val="auto"/>
          <w:sz w:val="24"/>
          <w:szCs w:val="21"/>
          <w:highlight w:val="none"/>
          <w:u w:val="none"/>
          <w:lang w:val="en-US" w:eastAsia="zh-CN"/>
        </w:rPr>
        <w:t>”</w:t>
      </w:r>
      <w:r>
        <w:rPr>
          <w:rFonts w:hint="eastAsia" w:ascii="Times New Roman" w:hAnsi="Times New Roman" w:eastAsia="宋体" w:cs="Times New Roman"/>
          <w:bCs/>
          <w:color w:val="auto"/>
          <w:sz w:val="24"/>
          <w:szCs w:val="21"/>
          <w:highlight w:val="none"/>
          <w:u w:val="none"/>
          <w:lang w:val="en-US" w:eastAsia="zh-CN"/>
        </w:rPr>
        <w:t xml:space="preserve">之美誉，在净化水源、调节气候和保护生物多样性等方面具有其他植物不可替代的作用。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该群落广泛分布于评价区荒地、农田田埂、藕池河河岸、堤坝。群落总盖度约</w:t>
      </w:r>
      <w:r>
        <w:rPr>
          <w:rFonts w:hint="default" w:ascii="Times New Roman" w:hAnsi="Times New Roman" w:eastAsia="宋体" w:cs="Times New Roman"/>
          <w:bCs/>
          <w:color w:val="auto"/>
          <w:sz w:val="24"/>
          <w:szCs w:val="21"/>
          <w:highlight w:val="none"/>
          <w:u w:val="none"/>
          <w:lang w:val="en-US" w:eastAsia="zh-CN"/>
        </w:rPr>
        <w:t>90%</w:t>
      </w:r>
      <w:r>
        <w:rPr>
          <w:rFonts w:hint="eastAsia" w:ascii="Times New Roman" w:hAnsi="Times New Roman" w:eastAsia="宋体" w:cs="Times New Roman"/>
          <w:bCs/>
          <w:color w:val="auto"/>
          <w:sz w:val="24"/>
          <w:szCs w:val="21"/>
          <w:highlight w:val="none"/>
          <w:u w:val="none"/>
          <w:lang w:val="en-US" w:eastAsia="zh-CN"/>
        </w:rPr>
        <w:t>，平均高度约</w:t>
      </w:r>
      <w:r>
        <w:rPr>
          <w:rFonts w:hint="default" w:ascii="Times New Roman" w:hAnsi="Times New Roman" w:eastAsia="宋体" w:cs="Times New Roman"/>
          <w:bCs/>
          <w:color w:val="auto"/>
          <w:sz w:val="24"/>
          <w:szCs w:val="21"/>
          <w:highlight w:val="none"/>
          <w:u w:val="none"/>
          <w:lang w:val="en-US" w:eastAsia="zh-CN"/>
        </w:rPr>
        <w:t>2m</w:t>
      </w:r>
      <w:r>
        <w:rPr>
          <w:rFonts w:hint="eastAsia" w:ascii="Times New Roman" w:hAnsi="Times New Roman" w:eastAsia="宋体" w:cs="Times New Roman"/>
          <w:bCs/>
          <w:color w:val="auto"/>
          <w:sz w:val="24"/>
          <w:szCs w:val="21"/>
          <w:highlight w:val="none"/>
          <w:u w:val="none"/>
          <w:lang w:val="en-US" w:eastAsia="zh-CN"/>
        </w:rPr>
        <w:t xml:space="preserve">。群落可分三层，第一层主要为芦苇，第二层主要有蛇床、益母草等，第三层主要有野老鹳、南苜蓿、救荒野豌豆、旋花等。 </w:t>
      </w:r>
    </w:p>
    <w:p>
      <w:pPr>
        <w:pStyle w:val="2"/>
        <w:ind w:left="0" w:leftChars="0" w:firstLine="0" w:firstLineChars="0"/>
        <w:rPr>
          <w:rFonts w:hint="eastAsia"/>
          <w:color w:val="auto"/>
          <w:lang w:val="en-US" w:eastAsia="zh-CN"/>
        </w:rPr>
      </w:pPr>
      <w:r>
        <w:rPr>
          <w:color w:val="auto"/>
        </w:rPr>
        <w:drawing>
          <wp:inline distT="0" distB="0" distL="114300" distR="114300">
            <wp:extent cx="5269865" cy="1863090"/>
            <wp:effectExtent l="0" t="0" r="6985" b="3810"/>
            <wp:docPr id="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9"/>
                    <pic:cNvPicPr>
                      <a:picLocks noChangeAspect="1"/>
                    </pic:cNvPicPr>
                  </pic:nvPicPr>
                  <pic:blipFill>
                    <a:blip r:embed="rId68"/>
                    <a:stretch>
                      <a:fillRect/>
                    </a:stretch>
                  </pic:blipFill>
                  <pic:spPr>
                    <a:xfrm>
                      <a:off x="0" y="0"/>
                      <a:ext cx="5269865" cy="1863090"/>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③南荻群系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南荻是禾本科、芒属多年生高大竹状草本植物。南荻产于中国长江中下游以南各省；生于江洲湖滩上，海拔</w:t>
      </w:r>
      <w:r>
        <w:rPr>
          <w:rFonts w:hint="default" w:ascii="Times New Roman" w:hAnsi="Times New Roman" w:eastAsia="宋体" w:cs="Times New Roman"/>
          <w:bCs/>
          <w:color w:val="auto"/>
          <w:sz w:val="24"/>
          <w:szCs w:val="21"/>
          <w:highlight w:val="none"/>
          <w:u w:val="none"/>
          <w:lang w:val="en-US" w:eastAsia="zh-CN"/>
        </w:rPr>
        <w:t>30-40 m</w:t>
      </w:r>
      <w:r>
        <w:rPr>
          <w:rFonts w:hint="eastAsia" w:ascii="Times New Roman" w:hAnsi="Times New Roman" w:eastAsia="宋体" w:cs="Times New Roman"/>
          <w:bCs/>
          <w:color w:val="auto"/>
          <w:sz w:val="24"/>
          <w:szCs w:val="21"/>
          <w:highlight w:val="none"/>
          <w:u w:val="none"/>
          <w:lang w:val="en-US" w:eastAsia="zh-CN"/>
        </w:rPr>
        <w:t>。南获的根状茎强壮，容易扩散繁殖，植株散生，分藥也多，而且生长迅速，植物纤维长且品质良好。大面积的南获可以调节气候，涵养水源，形成良好的湿地生态环境，为鸟类提供栖息、觅食、繁殖的家园。</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评价区内南荻群落主要生长于藕池河两岸河滩，面积较大，为天然群落。该群落以南荻为单一优势种，群落总盖度约为</w:t>
      </w:r>
      <w:r>
        <w:rPr>
          <w:rFonts w:hint="default" w:ascii="Times New Roman" w:hAnsi="Times New Roman" w:eastAsia="宋体" w:cs="Times New Roman"/>
          <w:bCs/>
          <w:color w:val="auto"/>
          <w:sz w:val="24"/>
          <w:szCs w:val="21"/>
          <w:highlight w:val="none"/>
          <w:u w:val="none"/>
          <w:lang w:val="en-US" w:eastAsia="zh-CN"/>
        </w:rPr>
        <w:t>85%</w:t>
      </w:r>
      <w:r>
        <w:rPr>
          <w:rFonts w:hint="eastAsia" w:ascii="Times New Roman" w:hAnsi="Times New Roman" w:eastAsia="宋体" w:cs="Times New Roman"/>
          <w:bCs/>
          <w:color w:val="auto"/>
          <w:sz w:val="24"/>
          <w:szCs w:val="21"/>
          <w:highlight w:val="none"/>
          <w:u w:val="none"/>
          <w:lang w:val="en-US" w:eastAsia="zh-CN"/>
        </w:rPr>
        <w:t>，平均高度</w:t>
      </w:r>
      <w:r>
        <w:rPr>
          <w:rFonts w:hint="default" w:ascii="Times New Roman" w:hAnsi="Times New Roman" w:eastAsia="宋体" w:cs="Times New Roman"/>
          <w:bCs/>
          <w:color w:val="auto"/>
          <w:sz w:val="24"/>
          <w:szCs w:val="21"/>
          <w:highlight w:val="none"/>
          <w:u w:val="none"/>
          <w:lang w:val="en-US" w:eastAsia="zh-CN"/>
        </w:rPr>
        <w:t>1.5m</w:t>
      </w:r>
      <w:r>
        <w:rPr>
          <w:rFonts w:hint="eastAsia" w:ascii="Times New Roman" w:hAnsi="Times New Roman" w:eastAsia="宋体" w:cs="Times New Roman"/>
          <w:bCs/>
          <w:color w:val="auto"/>
          <w:sz w:val="24"/>
          <w:szCs w:val="21"/>
          <w:highlight w:val="none"/>
          <w:u w:val="none"/>
          <w:lang w:val="en-US" w:eastAsia="zh-CN"/>
        </w:rPr>
        <w:t xml:space="preserve">，伴生草本主要有牛筋草、益母草、双穗雀稗等。 </w:t>
      </w:r>
    </w:p>
    <w:p>
      <w:pPr>
        <w:pStyle w:val="2"/>
        <w:ind w:left="0" w:leftChars="0" w:firstLine="0" w:firstLineChars="0"/>
        <w:rPr>
          <w:rFonts w:hint="eastAsia"/>
          <w:color w:val="auto"/>
          <w:lang w:val="en-US" w:eastAsia="zh-CN"/>
        </w:rPr>
      </w:pPr>
      <w:r>
        <w:rPr>
          <w:color w:val="auto"/>
        </w:rPr>
        <w:drawing>
          <wp:inline distT="0" distB="0" distL="114300" distR="114300">
            <wp:extent cx="5267325" cy="1799590"/>
            <wp:effectExtent l="0" t="0" r="9525" b="10160"/>
            <wp:docPr id="5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0"/>
                    <pic:cNvPicPr>
                      <a:picLocks noChangeAspect="1"/>
                    </pic:cNvPicPr>
                  </pic:nvPicPr>
                  <pic:blipFill>
                    <a:blip r:embed="rId69"/>
                    <a:stretch>
                      <a:fillRect/>
                    </a:stretch>
                  </pic:blipFill>
                  <pic:spPr>
                    <a:xfrm>
                      <a:off x="0" y="0"/>
                      <a:ext cx="5267325" cy="1799590"/>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水生植被</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① 黑藻群落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黑藻是水鳖科黑藻属多年生沉水草本。喜光照充足的环境，喜温暖，耐寒冷，在 </w:t>
      </w:r>
      <w:r>
        <w:rPr>
          <w:rFonts w:hint="default" w:ascii="Times New Roman" w:hAnsi="Times New Roman" w:eastAsia="宋体" w:cs="Times New Roman"/>
          <w:bCs/>
          <w:color w:val="auto"/>
          <w:sz w:val="24"/>
          <w:szCs w:val="21"/>
          <w:highlight w:val="none"/>
          <w:u w:val="none"/>
          <w:lang w:val="en-US" w:eastAsia="zh-CN"/>
        </w:rPr>
        <w:t>15-30℃</w:t>
      </w:r>
      <w:r>
        <w:rPr>
          <w:rFonts w:hint="eastAsia" w:ascii="Times New Roman" w:hAnsi="Times New Roman" w:eastAsia="宋体" w:cs="Times New Roman"/>
          <w:bCs/>
          <w:color w:val="auto"/>
          <w:sz w:val="24"/>
          <w:szCs w:val="21"/>
          <w:highlight w:val="none"/>
          <w:u w:val="none"/>
          <w:lang w:val="en-US" w:eastAsia="zh-CN"/>
        </w:rPr>
        <w:t xml:space="preserve">的温度范围内生长良好，越冬温度不宜低于 </w:t>
      </w:r>
      <w:r>
        <w:rPr>
          <w:rFonts w:hint="default" w:ascii="Times New Roman" w:hAnsi="Times New Roman" w:eastAsia="宋体" w:cs="Times New Roman"/>
          <w:bCs/>
          <w:color w:val="auto"/>
          <w:sz w:val="24"/>
          <w:szCs w:val="21"/>
          <w:highlight w:val="none"/>
          <w:u w:val="none"/>
          <w:lang w:val="en-US" w:eastAsia="zh-CN"/>
        </w:rPr>
        <w:t>4℃</w:t>
      </w:r>
      <w:r>
        <w:rPr>
          <w:rFonts w:hint="eastAsia" w:ascii="Times New Roman" w:hAnsi="Times New Roman" w:eastAsia="宋体" w:cs="Times New Roman"/>
          <w:bCs/>
          <w:color w:val="auto"/>
          <w:sz w:val="24"/>
          <w:szCs w:val="21"/>
          <w:highlight w:val="none"/>
          <w:u w:val="none"/>
          <w:lang w:val="en-US" w:eastAsia="zh-CN"/>
        </w:rPr>
        <w:t xml:space="preserve">。该种植物适合室内水体绿化，是装饰水族箱的良好材料，常作为中景、背景草使用。全草可做猪饲料，亦可作为绿肥使用；亦能入药，具利尿祛湿之功效。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现场调查结果显示，黑藻群落广泛分布于评价区北侧农田、原养虾池的静态水域中。群落以黑藻本种为单一优势种，伴生物种主要有水马齿、菹草等。 </w:t>
      </w:r>
    </w:p>
    <w:p>
      <w:pPr>
        <w:adjustRightInd w:val="0"/>
        <w:snapToGrid w:val="0"/>
        <w:spacing w:line="360" w:lineRule="auto"/>
        <w:jc w:val="left"/>
        <w:rPr>
          <w:rFonts w:hint="default" w:ascii="Times New Roman" w:hAnsi="Times New Roman" w:eastAsia="宋体" w:cs="Times New Roman"/>
          <w:bCs/>
          <w:color w:val="auto"/>
          <w:sz w:val="24"/>
          <w:szCs w:val="21"/>
          <w:highlight w:val="none"/>
          <w:u w:val="none"/>
          <w:lang w:val="en-US" w:eastAsia="zh-CN"/>
        </w:rPr>
      </w:pPr>
      <w:r>
        <w:rPr>
          <w:color w:val="auto"/>
        </w:rPr>
        <w:drawing>
          <wp:inline distT="0" distB="0" distL="114300" distR="114300">
            <wp:extent cx="5274310" cy="1909445"/>
            <wp:effectExtent l="0" t="0" r="2540" b="14605"/>
            <wp:docPr id="6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1"/>
                    <pic:cNvPicPr>
                      <a:picLocks noChangeAspect="1"/>
                    </pic:cNvPicPr>
                  </pic:nvPicPr>
                  <pic:blipFill>
                    <a:blip r:embed="rId70"/>
                    <a:stretch>
                      <a:fillRect/>
                    </a:stretch>
                  </pic:blipFill>
                  <pic:spPr>
                    <a:xfrm>
                      <a:off x="0" y="0"/>
                      <a:ext cx="5274310" cy="1909445"/>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 xml:space="preserve">② </w:t>
      </w:r>
      <w:r>
        <w:rPr>
          <w:rFonts w:hint="eastAsia" w:ascii="Times New Roman" w:hAnsi="Times New Roman" w:eastAsia="宋体" w:cs="Times New Roman"/>
          <w:bCs/>
          <w:color w:val="auto"/>
          <w:sz w:val="24"/>
          <w:szCs w:val="21"/>
          <w:highlight w:val="none"/>
          <w:u w:val="none"/>
          <w:lang w:val="en-US" w:eastAsia="zh-CN"/>
        </w:rPr>
        <w:t xml:space="preserve">菹草群落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菹草眼为子菜科眼子菜属的多年生沉水草本植物。常生于池塘、湖泊、溪流中，水体多呈微酸至中性。广泛生长在湖沼、池塘、河沟和稻田。菹草的生长时期与大多数水生植物有所不同，冬、春生长良好，对水域的富营养化有较强的适应能力。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根据现场调查结果显示，该群落主要分布于评价区北侧农田沟渠的流动水域中，群落物种多样性较为单一，以菹草为主。</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p>
    <w:p>
      <w:pPr>
        <w:adjustRightInd w:val="0"/>
        <w:snapToGrid w:val="0"/>
        <w:spacing w:line="360" w:lineRule="auto"/>
        <w:jc w:val="left"/>
        <w:rPr>
          <w:rFonts w:hint="eastAsia" w:ascii="Times New Roman" w:hAnsi="Times New Roman" w:eastAsia="宋体" w:cs="Times New Roman"/>
          <w:bCs/>
          <w:color w:val="auto"/>
          <w:sz w:val="24"/>
          <w:szCs w:val="21"/>
          <w:highlight w:val="none"/>
          <w:u w:val="none"/>
          <w:lang w:val="en-US" w:eastAsia="zh-CN"/>
        </w:rPr>
      </w:pPr>
      <w:r>
        <w:rPr>
          <w:color w:val="auto"/>
        </w:rPr>
        <w:drawing>
          <wp:inline distT="0" distB="0" distL="114300" distR="114300">
            <wp:extent cx="5267325" cy="1724025"/>
            <wp:effectExtent l="0" t="0" r="9525" b="9525"/>
            <wp:docPr id="6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2"/>
                    <pic:cNvPicPr>
                      <a:picLocks noChangeAspect="1"/>
                    </pic:cNvPicPr>
                  </pic:nvPicPr>
                  <pic:blipFill>
                    <a:blip r:embed="rId71"/>
                    <a:stretch>
                      <a:fillRect/>
                    </a:stretch>
                  </pic:blipFill>
                  <pic:spPr>
                    <a:xfrm>
                      <a:off x="0" y="0"/>
                      <a:ext cx="5267325" cy="1724025"/>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黑藻、菹草等原生水生植物在东洞庭湖国家级自然保护区湿地生态系统扮演至关重要的角色。在水质净化方面，黑藻能够吸收水体中的营养物质，如氮、磷等，有助于减少水体富营养化现象，其根系和茎叶可以减缓水流速度，帮助稳定底泥，防止沉积物再悬浮，从而保持水质清晰；在环境适应性方面，耐寒性强，能够在冬季存活，保证了湿地植被的连续性和稳定性；在生态保护方面促进了湿地生物多样性的提高，它不仅是许多水生动物的食物来源，还为微生物和其他小型生物提供了生存空间。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 xml:space="preserve">③ </w:t>
      </w:r>
      <w:r>
        <w:rPr>
          <w:rFonts w:hint="eastAsia" w:ascii="Times New Roman" w:hAnsi="Times New Roman" w:eastAsia="宋体" w:cs="Times New Roman"/>
          <w:bCs/>
          <w:color w:val="auto"/>
          <w:sz w:val="24"/>
          <w:szCs w:val="21"/>
          <w:highlight w:val="none"/>
          <w:u w:val="none"/>
          <w:lang w:val="en-US" w:eastAsia="zh-CN"/>
        </w:rPr>
        <w:t xml:space="preserve">空心莲子草群落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空心莲子草为苋科莲子草属多年生草本植物，喜旱莲子草原产巴西，引种我国后，逸为野生，现已成为恶性入侵杂草。该群落于评价区内广泛分布。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空心莲子草在湿地生态系统中的影响是双重的，既有正面作用也存在极其显著的负面影响。正面影响主要体现在水质净化、土壤保持和碳汇功能上；负面影响主要有，生态入侵、农业与水资源管理问题以及给当地的生态环境管理和经济发展带来负担。</w:t>
      </w:r>
    </w:p>
    <w:p>
      <w:pPr>
        <w:pStyle w:val="2"/>
        <w:ind w:left="0" w:leftChars="0" w:firstLine="0" w:firstLineChars="0"/>
        <w:rPr>
          <w:rFonts w:hint="eastAsia" w:ascii="Times New Roman" w:hAnsi="Times New Roman" w:eastAsia="宋体" w:cs="Times New Roman"/>
          <w:bCs/>
          <w:color w:val="auto"/>
          <w:sz w:val="24"/>
          <w:szCs w:val="21"/>
          <w:highlight w:val="none"/>
          <w:u w:val="none"/>
          <w:lang w:val="en-US" w:eastAsia="zh-CN"/>
        </w:rPr>
      </w:pPr>
      <w:r>
        <w:rPr>
          <w:color w:val="auto"/>
        </w:rPr>
        <w:drawing>
          <wp:inline distT="0" distB="0" distL="114300" distR="114300">
            <wp:extent cx="5273040" cy="1798955"/>
            <wp:effectExtent l="0" t="0" r="3810" b="10795"/>
            <wp:docPr id="6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3"/>
                    <pic:cNvPicPr>
                      <a:picLocks noChangeAspect="1"/>
                    </pic:cNvPicPr>
                  </pic:nvPicPr>
                  <pic:blipFill>
                    <a:blip r:embed="rId72"/>
                    <a:stretch>
                      <a:fillRect/>
                    </a:stretch>
                  </pic:blipFill>
                  <pic:spPr>
                    <a:xfrm>
                      <a:off x="0" y="0"/>
                      <a:ext cx="5273040" cy="1798955"/>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w:t>
      </w:r>
      <w:r>
        <w:rPr>
          <w:rFonts w:hint="eastAsia" w:cs="Times New Roman"/>
          <w:bCs/>
          <w:color w:val="auto"/>
          <w:sz w:val="24"/>
          <w:szCs w:val="21"/>
          <w:highlight w:val="none"/>
          <w:u w:val="none"/>
          <w:lang w:val="en-US" w:eastAsia="zh-CN"/>
        </w:rPr>
        <w:t>3</w:t>
      </w:r>
      <w:r>
        <w:rPr>
          <w:rFonts w:hint="eastAsia" w:ascii="Times New Roman" w:hAnsi="Times New Roman" w:eastAsia="宋体" w:cs="Times New Roman"/>
          <w:bCs/>
          <w:color w:val="auto"/>
          <w:sz w:val="24"/>
          <w:szCs w:val="21"/>
          <w:highlight w:val="none"/>
          <w:u w:val="none"/>
          <w:lang w:val="en-US" w:eastAsia="zh-CN"/>
        </w:rPr>
        <w:t xml:space="preserve">）木本类（栽培植被）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①</w:t>
      </w:r>
      <w:r>
        <w:rPr>
          <w:rFonts w:hint="eastAsia" w:ascii="Times New Roman" w:hAnsi="Times New Roman" w:eastAsia="宋体" w:cs="Times New Roman"/>
          <w:bCs/>
          <w:color w:val="auto"/>
          <w:sz w:val="24"/>
          <w:szCs w:val="21"/>
          <w:highlight w:val="none"/>
          <w:u w:val="none"/>
          <w:lang w:val="en-US" w:eastAsia="zh-CN"/>
        </w:rPr>
        <w:t xml:space="preserve">加杨林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加杨是杨柳科、杨属的大乔木，高可达</w:t>
      </w:r>
      <w:r>
        <w:rPr>
          <w:rFonts w:hint="default" w:ascii="Times New Roman" w:hAnsi="Times New Roman" w:eastAsia="宋体" w:cs="Times New Roman"/>
          <w:bCs/>
          <w:color w:val="auto"/>
          <w:sz w:val="24"/>
          <w:szCs w:val="21"/>
          <w:highlight w:val="none"/>
          <w:u w:val="none"/>
          <w:lang w:val="en-US" w:eastAsia="zh-CN"/>
        </w:rPr>
        <w:t>30</w:t>
      </w:r>
      <w:r>
        <w:rPr>
          <w:rFonts w:hint="eastAsia" w:ascii="Times New Roman" w:hAnsi="Times New Roman" w:eastAsia="宋体" w:cs="Times New Roman"/>
          <w:bCs/>
          <w:color w:val="auto"/>
          <w:sz w:val="24"/>
          <w:szCs w:val="21"/>
          <w:highlight w:val="none"/>
          <w:u w:val="none"/>
          <w:lang w:val="en-US" w:eastAsia="zh-CN"/>
        </w:rPr>
        <w:t xml:space="preserve">多米。加杨原产于加拿大，现于中国各省广泛分布。喜温暖湿润气候，喜光，耐寒，喜湿润而排水良好的冲积土，对水涝、盐碱和薄土地均有一定的适应能力。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现场调查结果显示，该群落主要分布于藕池河两岸，在农田水渠也有少量分布，乔木层以加杨为主，伴生有旱柳，群落盖度约为</w:t>
      </w:r>
      <w:r>
        <w:rPr>
          <w:rFonts w:hint="default" w:ascii="Times New Roman" w:hAnsi="Times New Roman" w:eastAsia="宋体" w:cs="Times New Roman"/>
          <w:bCs/>
          <w:color w:val="auto"/>
          <w:sz w:val="24"/>
          <w:szCs w:val="21"/>
          <w:highlight w:val="none"/>
          <w:u w:val="none"/>
          <w:lang w:val="en-US" w:eastAsia="zh-CN"/>
        </w:rPr>
        <w:t>80%</w:t>
      </w:r>
      <w:r>
        <w:rPr>
          <w:rFonts w:hint="eastAsia" w:ascii="Times New Roman" w:hAnsi="Times New Roman" w:eastAsia="宋体" w:cs="Times New Roman"/>
          <w:bCs/>
          <w:color w:val="auto"/>
          <w:sz w:val="24"/>
          <w:szCs w:val="21"/>
          <w:highlight w:val="none"/>
          <w:u w:val="none"/>
          <w:lang w:val="en-US" w:eastAsia="zh-CN"/>
        </w:rPr>
        <w:t>，平均高度</w:t>
      </w:r>
      <w:r>
        <w:rPr>
          <w:rFonts w:hint="default" w:ascii="Times New Roman" w:hAnsi="Times New Roman" w:eastAsia="宋体" w:cs="Times New Roman"/>
          <w:bCs/>
          <w:color w:val="auto"/>
          <w:sz w:val="24"/>
          <w:szCs w:val="21"/>
          <w:highlight w:val="none"/>
          <w:u w:val="none"/>
          <w:lang w:val="en-US" w:eastAsia="zh-CN"/>
        </w:rPr>
        <w:t>10 m</w:t>
      </w:r>
      <w:r>
        <w:rPr>
          <w:rFonts w:hint="eastAsia" w:ascii="Times New Roman" w:hAnsi="Times New Roman" w:eastAsia="宋体" w:cs="Times New Roman"/>
          <w:bCs/>
          <w:color w:val="auto"/>
          <w:sz w:val="24"/>
          <w:szCs w:val="21"/>
          <w:highlight w:val="none"/>
          <w:u w:val="none"/>
          <w:lang w:val="en-US" w:eastAsia="zh-CN"/>
        </w:rPr>
        <w:t xml:space="preserve">；草本层主要有益母草、荔枝草、蓼子草和风花菜等。 </w:t>
      </w:r>
    </w:p>
    <w:p>
      <w:pPr>
        <w:adjustRightInd w:val="0"/>
        <w:snapToGrid w:val="0"/>
        <w:spacing w:line="360" w:lineRule="auto"/>
        <w:ind w:firstLine="420" w:firstLineChars="200"/>
        <w:jc w:val="left"/>
        <w:rPr>
          <w:color w:val="auto"/>
        </w:rPr>
      </w:pPr>
      <w:r>
        <w:rPr>
          <w:color w:val="auto"/>
        </w:rPr>
        <w:drawing>
          <wp:inline distT="0" distB="0" distL="114300" distR="114300">
            <wp:extent cx="4905375" cy="3476625"/>
            <wp:effectExtent l="0" t="0" r="9525" b="9525"/>
            <wp:docPr id="6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4"/>
                    <pic:cNvPicPr>
                      <a:picLocks noChangeAspect="1"/>
                    </pic:cNvPicPr>
                  </pic:nvPicPr>
                  <pic:blipFill>
                    <a:blip r:embed="rId73"/>
                    <a:stretch>
                      <a:fillRect/>
                    </a:stretch>
                  </pic:blipFill>
                  <pic:spPr>
                    <a:xfrm>
                      <a:off x="0" y="0"/>
                      <a:ext cx="4905375" cy="3476625"/>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②</w:t>
      </w:r>
      <w:r>
        <w:rPr>
          <w:rFonts w:hint="eastAsia" w:ascii="Times New Roman" w:hAnsi="Times New Roman" w:eastAsia="宋体" w:cs="Times New Roman"/>
          <w:bCs/>
          <w:color w:val="auto"/>
          <w:sz w:val="24"/>
          <w:szCs w:val="21"/>
          <w:highlight w:val="none"/>
          <w:u w:val="none"/>
          <w:lang w:val="en-US" w:eastAsia="zh-CN"/>
        </w:rPr>
        <w:t xml:space="preserve">水杉林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水杉树原产地是在中国湖北省，分布的地区环境都是比较湿润多雨的，之后在中国各地广泛移栽种植。水杉喜温暖湿润气候；喜深厚肥沃的酸性土；不耐旱，对土壤干旱较敏感，对二氧化硫等有害气体的抗性较弱。水杉木材质轻软，生长较快，纹理直，结构比较粗壮，早晚材硬度区别大，不耐水湿，是很好的工业原料，可供房屋及安置、板料、电杆、家具及木纤维工业原料使用。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现场调查结果表明，水杉林在评价区内分布面积较小，主要作为评价区居民区的四旁树。 </w:t>
      </w:r>
      <w:r>
        <w:rPr>
          <w:color w:val="auto"/>
        </w:rPr>
        <w:drawing>
          <wp:inline distT="0" distB="0" distL="114300" distR="114300">
            <wp:extent cx="5273040" cy="1869440"/>
            <wp:effectExtent l="0" t="0" r="3810" b="16510"/>
            <wp:docPr id="6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5"/>
                    <pic:cNvPicPr>
                      <a:picLocks noChangeAspect="1"/>
                    </pic:cNvPicPr>
                  </pic:nvPicPr>
                  <pic:blipFill>
                    <a:blip r:embed="rId74"/>
                    <a:stretch>
                      <a:fillRect/>
                    </a:stretch>
                  </pic:blipFill>
                  <pic:spPr>
                    <a:xfrm>
                      <a:off x="0" y="0"/>
                      <a:ext cx="5273040" cy="1869440"/>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在</w:t>
      </w:r>
      <w:r>
        <w:rPr>
          <w:rFonts w:hint="default" w:ascii="Times New Roman" w:hAnsi="Times New Roman" w:eastAsia="宋体" w:cs="Times New Roman"/>
          <w:bCs/>
          <w:color w:val="auto"/>
          <w:sz w:val="24"/>
          <w:szCs w:val="21"/>
          <w:highlight w:val="none"/>
          <w:u w:val="none"/>
          <w:lang w:val="en-US" w:eastAsia="zh-CN"/>
        </w:rPr>
        <w:t>20</w:t>
      </w:r>
      <w:r>
        <w:rPr>
          <w:rFonts w:hint="eastAsia" w:ascii="Times New Roman" w:hAnsi="Times New Roman" w:eastAsia="宋体" w:cs="Times New Roman"/>
          <w:bCs/>
          <w:color w:val="auto"/>
          <w:sz w:val="24"/>
          <w:szCs w:val="21"/>
          <w:highlight w:val="none"/>
          <w:u w:val="none"/>
          <w:lang w:val="en-US" w:eastAsia="zh-CN"/>
        </w:rPr>
        <w:t xml:space="preserve">世纪中后期，随着对湖区生态保护重视程度的增加，加杨、水杉开始在洞庭湖周边广泛种植。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加杨和水杉的结合种植，充分利用了各自的优势。加杨的快速生长特性有助于短期内建立植被覆盖，而水杉则能在长期内提供更加稳定的生态环境。两者共同种植不仅能增强湖泊周边的生态稳定性，还能提高整个区域的生物多样性和美观度，促进生态系统的健康与可持续发展。</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通过厂址现场实地调查和有关资料的记载，评价区内无珍稀古树名木和保护植物，项目位于城镇建成区腹地，远离野生植物生长范围，不会对项目范围内野生植物造成直接或间接的影响。</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3）动物多样性调查</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自然保护区实验区毗邻的岳阳楼区地块土地开发利用程度较高，周边为受人类活动的影响非常大，评价区内无大型陆生野生动物。评价范围内野生动物主要分布在东洞庭湖自然保护区内部核心区和缓冲区，本次位于东洞庭湖自然保护区实验区范围内（</w:t>
      </w:r>
      <w:r>
        <w:rPr>
          <w:rFonts w:hint="eastAsia" w:cs="Times New Roman"/>
          <w:bCs/>
          <w:color w:val="auto"/>
          <w:sz w:val="24"/>
          <w:szCs w:val="21"/>
          <w:highlight w:val="none"/>
          <w:u w:val="none"/>
          <w:lang w:val="en-US" w:eastAsia="zh-CN"/>
        </w:rPr>
        <w:t>自然保护区整合优化后</w:t>
      </w:r>
      <w:r>
        <w:rPr>
          <w:rFonts w:hint="eastAsia" w:ascii="Times New Roman" w:hAnsi="Times New Roman" w:eastAsia="宋体" w:cs="Times New Roman"/>
          <w:bCs/>
          <w:color w:val="auto"/>
          <w:sz w:val="24"/>
          <w:szCs w:val="21"/>
          <w:highlight w:val="none"/>
          <w:u w:val="none"/>
          <w:lang w:val="en-US" w:eastAsia="zh-CN"/>
        </w:rPr>
        <w:t>的自然保护区</w:t>
      </w:r>
      <w:r>
        <w:rPr>
          <w:rFonts w:hint="eastAsia" w:cs="Times New Roman"/>
          <w:bCs/>
          <w:color w:val="auto"/>
          <w:sz w:val="24"/>
          <w:szCs w:val="21"/>
          <w:highlight w:val="none"/>
          <w:u w:val="none"/>
          <w:lang w:val="en-US" w:eastAsia="zh-CN"/>
        </w:rPr>
        <w:t>边界</w:t>
      </w:r>
      <w:r>
        <w:rPr>
          <w:rFonts w:hint="eastAsia" w:ascii="Times New Roman" w:hAnsi="Times New Roman" w:eastAsia="宋体" w:cs="Times New Roman"/>
          <w:bCs/>
          <w:color w:val="auto"/>
          <w:sz w:val="24"/>
          <w:szCs w:val="21"/>
          <w:highlight w:val="none"/>
          <w:u w:val="none"/>
          <w:lang w:val="en-US" w:eastAsia="zh-CN"/>
        </w:rPr>
        <w:t>外）。</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①</w:t>
      </w:r>
      <w:r>
        <w:rPr>
          <w:rFonts w:hint="eastAsia" w:ascii="Times New Roman" w:hAnsi="Times New Roman" w:eastAsia="宋体" w:cs="Times New Roman"/>
          <w:bCs/>
          <w:color w:val="auto"/>
          <w:sz w:val="24"/>
          <w:szCs w:val="21"/>
          <w:highlight w:val="none"/>
          <w:u w:val="none"/>
          <w:lang w:val="en-US" w:eastAsia="zh-CN"/>
        </w:rPr>
        <w:t xml:space="preserve">兽类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通过实地调查和参考相关资料</w:t>
      </w:r>
      <w:r>
        <w:rPr>
          <w:rFonts w:hint="eastAsia" w:cs="Times New Roman"/>
          <w:bCs/>
          <w:color w:val="auto"/>
          <w:sz w:val="24"/>
          <w:szCs w:val="21"/>
          <w:highlight w:val="none"/>
          <w:u w:val="none"/>
          <w:lang w:val="en-US" w:eastAsia="zh-CN"/>
        </w:rPr>
        <w:t>——</w:t>
      </w:r>
      <w:r>
        <w:rPr>
          <w:rFonts w:hint="eastAsia" w:ascii="Times New Roman" w:hAnsi="Times New Roman" w:eastAsia="宋体" w:cs="宋体"/>
          <w:bCs/>
          <w:color w:val="auto"/>
          <w:sz w:val="24"/>
          <w:szCs w:val="21"/>
          <w:lang w:val="en-US" w:eastAsia="zh-CN"/>
        </w:rPr>
        <w:t>《</w:t>
      </w:r>
      <w:r>
        <w:rPr>
          <w:rFonts w:hint="default" w:ascii="Times New Roman" w:hAnsi="Times New Roman" w:eastAsia="宋体" w:cs="宋体"/>
          <w:bCs/>
          <w:color w:val="auto"/>
          <w:sz w:val="24"/>
          <w:szCs w:val="21"/>
          <w:lang w:val="en-US" w:eastAsia="zh-CN"/>
        </w:rPr>
        <w:t>华容县团洲垸决口灾后农村居民集中安置房项目</w:t>
      </w:r>
      <w:r>
        <w:rPr>
          <w:rFonts w:hint="eastAsia" w:ascii="Times New Roman" w:hAnsi="Times New Roman" w:eastAsia="宋体" w:cs="宋体"/>
          <w:bCs/>
          <w:color w:val="auto"/>
          <w:sz w:val="24"/>
          <w:szCs w:val="21"/>
          <w:lang w:val="en-US" w:eastAsia="zh-CN"/>
        </w:rPr>
        <w:t>对湖南东洞庭湖国家级自然保护区生物多样性影响评价报告》</w:t>
      </w:r>
      <w:r>
        <w:rPr>
          <w:rFonts w:hint="eastAsia" w:ascii="Times New Roman" w:hAnsi="Times New Roman" w:eastAsia="宋体" w:cs="Times New Roman"/>
          <w:bCs/>
          <w:color w:val="auto"/>
          <w:sz w:val="24"/>
          <w:szCs w:val="21"/>
          <w:highlight w:val="none"/>
          <w:u w:val="none"/>
          <w:lang w:val="en-US" w:eastAsia="zh-CN"/>
        </w:rPr>
        <w:t>，评价区</w:t>
      </w:r>
      <w:r>
        <w:rPr>
          <w:rFonts w:hint="eastAsia" w:cs="Times New Roman"/>
          <w:bCs/>
          <w:color w:val="auto"/>
          <w:sz w:val="24"/>
          <w:szCs w:val="21"/>
          <w:highlight w:val="none"/>
          <w:u w:val="none"/>
          <w:lang w:val="en-US" w:eastAsia="zh-CN"/>
        </w:rPr>
        <w:t>范围内</w:t>
      </w:r>
      <w:r>
        <w:rPr>
          <w:rFonts w:hint="eastAsia" w:ascii="Times New Roman" w:hAnsi="Times New Roman" w:eastAsia="宋体" w:cs="Times New Roman"/>
          <w:bCs/>
          <w:color w:val="auto"/>
          <w:sz w:val="24"/>
          <w:szCs w:val="21"/>
          <w:highlight w:val="none"/>
          <w:u w:val="none"/>
          <w:lang w:val="en-US" w:eastAsia="zh-CN"/>
        </w:rPr>
        <w:t>共记录哺乳动物</w:t>
      </w:r>
      <w:r>
        <w:rPr>
          <w:rFonts w:hint="default" w:ascii="Times New Roman" w:hAnsi="Times New Roman" w:eastAsia="宋体" w:cs="Times New Roman"/>
          <w:bCs/>
          <w:color w:val="auto"/>
          <w:sz w:val="24"/>
          <w:szCs w:val="21"/>
          <w:highlight w:val="none"/>
          <w:u w:val="none"/>
          <w:lang w:val="en-US" w:eastAsia="zh-CN"/>
        </w:rPr>
        <w:t>7</w:t>
      </w:r>
      <w:r>
        <w:rPr>
          <w:rFonts w:hint="eastAsia" w:ascii="Times New Roman" w:hAnsi="Times New Roman" w:eastAsia="宋体" w:cs="Times New Roman"/>
          <w:bCs/>
          <w:color w:val="auto"/>
          <w:sz w:val="24"/>
          <w:szCs w:val="21"/>
          <w:highlight w:val="none"/>
          <w:u w:val="none"/>
          <w:lang w:val="en-US" w:eastAsia="zh-CN"/>
        </w:rPr>
        <w:t>种，隶属于</w:t>
      </w:r>
      <w:r>
        <w:rPr>
          <w:rFonts w:hint="default" w:ascii="Times New Roman" w:hAnsi="Times New Roman" w:eastAsia="宋体" w:cs="Times New Roman"/>
          <w:bCs/>
          <w:color w:val="auto"/>
          <w:sz w:val="24"/>
          <w:szCs w:val="21"/>
          <w:highlight w:val="none"/>
          <w:u w:val="none"/>
          <w:lang w:val="en-US" w:eastAsia="zh-CN"/>
        </w:rPr>
        <w:t>5</w:t>
      </w:r>
      <w:r>
        <w:rPr>
          <w:rFonts w:hint="eastAsia" w:ascii="Times New Roman" w:hAnsi="Times New Roman" w:eastAsia="宋体" w:cs="Times New Roman"/>
          <w:bCs/>
          <w:color w:val="auto"/>
          <w:sz w:val="24"/>
          <w:szCs w:val="21"/>
          <w:highlight w:val="none"/>
          <w:u w:val="none"/>
          <w:lang w:val="en-US" w:eastAsia="zh-CN"/>
        </w:rPr>
        <w:t>目</w:t>
      </w:r>
      <w:r>
        <w:rPr>
          <w:rFonts w:hint="default" w:ascii="Times New Roman" w:hAnsi="Times New Roman" w:eastAsia="宋体" w:cs="Times New Roman"/>
          <w:bCs/>
          <w:color w:val="auto"/>
          <w:sz w:val="24"/>
          <w:szCs w:val="21"/>
          <w:highlight w:val="none"/>
          <w:u w:val="none"/>
          <w:lang w:val="en-US" w:eastAsia="zh-CN"/>
        </w:rPr>
        <w:t>6</w:t>
      </w:r>
      <w:r>
        <w:rPr>
          <w:rFonts w:hint="eastAsia" w:ascii="Times New Roman" w:hAnsi="Times New Roman" w:eastAsia="宋体" w:cs="Times New Roman"/>
          <w:bCs/>
          <w:color w:val="auto"/>
          <w:sz w:val="24"/>
          <w:szCs w:val="21"/>
          <w:highlight w:val="none"/>
          <w:u w:val="none"/>
          <w:lang w:val="en-US" w:eastAsia="zh-CN"/>
        </w:rPr>
        <w:t>科。其中劳亚食虫目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种，兔形目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种，啮齿目</w:t>
      </w:r>
      <w:r>
        <w:rPr>
          <w:rFonts w:hint="default" w:ascii="Times New Roman" w:hAnsi="Times New Roman" w:eastAsia="宋体" w:cs="Times New Roman"/>
          <w:bCs/>
          <w:color w:val="auto"/>
          <w:sz w:val="24"/>
          <w:szCs w:val="21"/>
          <w:highlight w:val="none"/>
          <w:u w:val="none"/>
          <w:lang w:val="en-US" w:eastAsia="zh-CN"/>
        </w:rPr>
        <w:t xml:space="preserve">2 </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3</w:t>
      </w:r>
      <w:r>
        <w:rPr>
          <w:rFonts w:hint="eastAsia" w:ascii="Times New Roman" w:hAnsi="Times New Roman" w:eastAsia="宋体" w:cs="Times New Roman"/>
          <w:bCs/>
          <w:color w:val="auto"/>
          <w:sz w:val="24"/>
          <w:szCs w:val="21"/>
          <w:highlight w:val="none"/>
          <w:u w:val="none"/>
          <w:lang w:val="en-US" w:eastAsia="zh-CN"/>
        </w:rPr>
        <w:t>种，食肉目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种，翼手目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 xml:space="preserve">种。统计得出，有 </w:t>
      </w:r>
      <w:r>
        <w:rPr>
          <w:rFonts w:hint="default" w:ascii="Times New Roman" w:hAnsi="Times New Roman" w:eastAsia="宋体" w:cs="Times New Roman"/>
          <w:bCs/>
          <w:color w:val="auto"/>
          <w:sz w:val="24"/>
          <w:szCs w:val="21"/>
          <w:highlight w:val="none"/>
          <w:u w:val="none"/>
          <w:lang w:val="en-US" w:eastAsia="zh-CN"/>
        </w:rPr>
        <w:t xml:space="preserve">3 </w:t>
      </w:r>
      <w:r>
        <w:rPr>
          <w:rFonts w:hint="eastAsia" w:ascii="Times New Roman" w:hAnsi="Times New Roman" w:eastAsia="宋体" w:cs="Times New Roman"/>
          <w:bCs/>
          <w:color w:val="auto"/>
          <w:sz w:val="24"/>
          <w:szCs w:val="21"/>
          <w:highlight w:val="none"/>
          <w:u w:val="none"/>
          <w:lang w:val="en-US" w:eastAsia="zh-CN"/>
        </w:rPr>
        <w:t xml:space="preserve">种哺乳动物被列入《湖南省地方种重点保护野生动物名录》，即隐纹花鼠、东北刺猬、黄鼬。所有物种受威胁等级均为无危。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②</w:t>
      </w:r>
      <w:r>
        <w:rPr>
          <w:rFonts w:hint="eastAsia" w:ascii="Times New Roman" w:hAnsi="Times New Roman" w:eastAsia="宋体" w:cs="Times New Roman"/>
          <w:bCs/>
          <w:color w:val="auto"/>
          <w:sz w:val="24"/>
          <w:szCs w:val="21"/>
          <w:highlight w:val="none"/>
          <w:u w:val="none"/>
          <w:lang w:val="en-US" w:eastAsia="zh-CN"/>
        </w:rPr>
        <w:t>鸟类</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根据实地调查、访问调查和查阅有关文献，评价区共记录鸟类</w:t>
      </w:r>
      <w:r>
        <w:rPr>
          <w:rFonts w:hint="default" w:ascii="Times New Roman" w:hAnsi="Times New Roman" w:eastAsia="宋体" w:cs="Times New Roman"/>
          <w:bCs/>
          <w:color w:val="auto"/>
          <w:sz w:val="24"/>
          <w:szCs w:val="21"/>
          <w:highlight w:val="none"/>
          <w:u w:val="none"/>
          <w:lang w:val="en-US" w:eastAsia="zh-CN"/>
        </w:rPr>
        <w:t>56</w:t>
      </w:r>
      <w:r>
        <w:rPr>
          <w:rFonts w:hint="eastAsia" w:ascii="Times New Roman" w:hAnsi="Times New Roman" w:eastAsia="宋体" w:cs="Times New Roman"/>
          <w:bCs/>
          <w:color w:val="auto"/>
          <w:sz w:val="24"/>
          <w:szCs w:val="21"/>
          <w:highlight w:val="none"/>
          <w:u w:val="none"/>
          <w:lang w:val="en-US" w:eastAsia="zh-CN"/>
        </w:rPr>
        <w:t>种，隶属</w:t>
      </w:r>
      <w:r>
        <w:rPr>
          <w:rFonts w:hint="default" w:ascii="Times New Roman" w:hAnsi="Times New Roman" w:eastAsia="宋体" w:cs="Times New Roman"/>
          <w:bCs/>
          <w:color w:val="auto"/>
          <w:sz w:val="24"/>
          <w:szCs w:val="21"/>
          <w:highlight w:val="none"/>
          <w:u w:val="none"/>
          <w:lang w:val="en-US" w:eastAsia="zh-CN"/>
        </w:rPr>
        <w:t>11</w:t>
      </w:r>
      <w:r>
        <w:rPr>
          <w:rFonts w:hint="eastAsia" w:ascii="Times New Roman" w:hAnsi="Times New Roman" w:eastAsia="宋体" w:cs="Times New Roman"/>
          <w:bCs/>
          <w:color w:val="auto"/>
          <w:sz w:val="24"/>
          <w:szCs w:val="21"/>
          <w:highlight w:val="none"/>
          <w:u w:val="none"/>
          <w:lang w:val="en-US" w:eastAsia="zh-CN"/>
        </w:rPr>
        <w:t>目</w:t>
      </w:r>
      <w:r>
        <w:rPr>
          <w:rFonts w:hint="default" w:ascii="Times New Roman" w:hAnsi="Times New Roman" w:eastAsia="宋体" w:cs="Times New Roman"/>
          <w:bCs/>
          <w:color w:val="auto"/>
          <w:sz w:val="24"/>
          <w:szCs w:val="21"/>
          <w:highlight w:val="none"/>
          <w:u w:val="none"/>
          <w:lang w:val="en-US" w:eastAsia="zh-CN"/>
        </w:rPr>
        <w:t>30</w:t>
      </w:r>
      <w:r>
        <w:rPr>
          <w:rFonts w:hint="eastAsia" w:ascii="Times New Roman" w:hAnsi="Times New Roman" w:eastAsia="宋体" w:cs="Times New Roman"/>
          <w:bCs/>
          <w:color w:val="auto"/>
          <w:sz w:val="24"/>
          <w:szCs w:val="21"/>
          <w:highlight w:val="none"/>
          <w:u w:val="none"/>
          <w:lang w:val="en-US" w:eastAsia="zh-CN"/>
        </w:rPr>
        <w:t>科，其中雁形目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种、鹈形目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6</w:t>
      </w:r>
      <w:r>
        <w:rPr>
          <w:rFonts w:hint="eastAsia" w:ascii="Times New Roman" w:hAnsi="Times New Roman" w:eastAsia="宋体" w:cs="Times New Roman"/>
          <w:bCs/>
          <w:color w:val="auto"/>
          <w:sz w:val="24"/>
          <w:szCs w:val="21"/>
          <w:highlight w:val="none"/>
          <w:u w:val="none"/>
          <w:lang w:val="en-US" w:eastAsia="zh-CN"/>
        </w:rPr>
        <w:t>种、䴙䴘目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 xml:space="preserve">种、鹤形目 </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种、鸻形目</w:t>
      </w:r>
      <w:r>
        <w:rPr>
          <w:rFonts w:hint="default" w:ascii="Times New Roman" w:hAnsi="Times New Roman" w:eastAsia="宋体"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3</w:t>
      </w:r>
      <w:r>
        <w:rPr>
          <w:rFonts w:hint="eastAsia" w:ascii="Times New Roman" w:hAnsi="Times New Roman" w:eastAsia="宋体" w:cs="Times New Roman"/>
          <w:bCs/>
          <w:color w:val="auto"/>
          <w:sz w:val="24"/>
          <w:szCs w:val="21"/>
          <w:highlight w:val="none"/>
          <w:u w:val="none"/>
          <w:lang w:val="en-US" w:eastAsia="zh-CN"/>
        </w:rPr>
        <w:t>种、鸡形目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种、鹃形目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种、佛法僧目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 xml:space="preserve">科 </w:t>
      </w:r>
      <w:r>
        <w:rPr>
          <w:rFonts w:hint="default" w:ascii="Times New Roman" w:hAnsi="Times New Roman" w:eastAsia="宋体"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种、鸽形目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种、犀鸟目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种、雀形目</w:t>
      </w:r>
      <w:r>
        <w:rPr>
          <w:rFonts w:hint="default" w:ascii="Times New Roman" w:hAnsi="Times New Roman" w:eastAsia="宋体" w:cs="Times New Roman"/>
          <w:bCs/>
          <w:color w:val="auto"/>
          <w:sz w:val="24"/>
          <w:szCs w:val="21"/>
          <w:highlight w:val="none"/>
          <w:u w:val="none"/>
          <w:lang w:val="en-US" w:eastAsia="zh-CN"/>
        </w:rPr>
        <w:t>19</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34</w:t>
      </w:r>
      <w:r>
        <w:rPr>
          <w:rFonts w:hint="eastAsia" w:ascii="Times New Roman" w:hAnsi="Times New Roman" w:eastAsia="宋体" w:cs="Times New Roman"/>
          <w:bCs/>
          <w:color w:val="auto"/>
          <w:sz w:val="24"/>
          <w:szCs w:val="21"/>
          <w:highlight w:val="none"/>
          <w:u w:val="none"/>
          <w:lang w:val="en-US" w:eastAsia="zh-CN"/>
        </w:rPr>
        <w:t>种。有小䴙䴘、白鹭、苍鹭等</w:t>
      </w:r>
      <w:r>
        <w:rPr>
          <w:rFonts w:hint="default" w:ascii="Times New Roman" w:hAnsi="Times New Roman" w:eastAsia="宋体" w:cs="Times New Roman"/>
          <w:bCs/>
          <w:color w:val="auto"/>
          <w:sz w:val="24"/>
          <w:szCs w:val="21"/>
          <w:highlight w:val="none"/>
          <w:u w:val="none"/>
          <w:lang w:val="en-US" w:eastAsia="zh-CN"/>
        </w:rPr>
        <w:t>27</w:t>
      </w:r>
      <w:r>
        <w:rPr>
          <w:rFonts w:hint="eastAsia" w:ascii="Times New Roman" w:hAnsi="Times New Roman" w:eastAsia="宋体" w:cs="Times New Roman"/>
          <w:bCs/>
          <w:color w:val="auto"/>
          <w:sz w:val="24"/>
          <w:szCs w:val="21"/>
          <w:highlight w:val="none"/>
          <w:u w:val="none"/>
          <w:lang w:val="en-US" w:eastAsia="zh-CN"/>
        </w:rPr>
        <w:t xml:space="preserve">种鸟类被列入《湖南省地方重点保护野生动物名录》。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③</w:t>
      </w:r>
      <w:r>
        <w:rPr>
          <w:rFonts w:hint="eastAsia" w:ascii="Times New Roman" w:hAnsi="Times New Roman" w:eastAsia="宋体" w:cs="Times New Roman"/>
          <w:bCs/>
          <w:color w:val="auto"/>
          <w:sz w:val="24"/>
          <w:szCs w:val="21"/>
          <w:highlight w:val="none"/>
          <w:u w:val="none"/>
          <w:lang w:val="en-US" w:eastAsia="zh-CN"/>
        </w:rPr>
        <w:t xml:space="preserve">爬行类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根据实地调查、访问调查及查阅文献得知，评价区共记录爬行动物</w:t>
      </w:r>
      <w:r>
        <w:rPr>
          <w:rFonts w:hint="default" w:ascii="Times New Roman" w:hAnsi="Times New Roman" w:eastAsia="宋体" w:cs="Times New Roman"/>
          <w:bCs/>
          <w:color w:val="auto"/>
          <w:sz w:val="24"/>
          <w:szCs w:val="21"/>
          <w:highlight w:val="none"/>
          <w:u w:val="none"/>
          <w:lang w:val="en-US" w:eastAsia="zh-CN"/>
        </w:rPr>
        <w:t>10</w:t>
      </w:r>
      <w:r>
        <w:rPr>
          <w:rFonts w:hint="eastAsia" w:ascii="Times New Roman" w:hAnsi="Times New Roman" w:eastAsia="宋体" w:cs="Times New Roman"/>
          <w:bCs/>
          <w:color w:val="auto"/>
          <w:sz w:val="24"/>
          <w:szCs w:val="21"/>
          <w:highlight w:val="none"/>
          <w:u w:val="none"/>
          <w:lang w:val="en-US" w:eastAsia="zh-CN"/>
        </w:rPr>
        <w:t>种，隶属于</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目</w:t>
      </w:r>
      <w:r>
        <w:rPr>
          <w:rFonts w:hint="default" w:ascii="Times New Roman" w:hAnsi="Times New Roman" w:eastAsia="宋体" w:cs="Times New Roman"/>
          <w:bCs/>
          <w:color w:val="auto"/>
          <w:sz w:val="24"/>
          <w:szCs w:val="21"/>
          <w:highlight w:val="none"/>
          <w:u w:val="none"/>
          <w:lang w:val="en-US" w:eastAsia="zh-CN"/>
        </w:rPr>
        <w:t>6</w:t>
      </w:r>
      <w:r>
        <w:rPr>
          <w:rFonts w:hint="eastAsia" w:ascii="Times New Roman" w:hAnsi="Times New Roman" w:eastAsia="宋体" w:cs="Times New Roman"/>
          <w:bCs/>
          <w:color w:val="auto"/>
          <w:sz w:val="24"/>
          <w:szCs w:val="21"/>
          <w:highlight w:val="none"/>
          <w:u w:val="none"/>
          <w:lang w:val="en-US" w:eastAsia="zh-CN"/>
        </w:rPr>
        <w:t>科。其中，壁虎科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种、蜥蜴科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种、石龙子科</w:t>
      </w:r>
      <w:r>
        <w:rPr>
          <w:rFonts w:hint="default" w:ascii="Times New Roman" w:hAnsi="Times New Roman" w:eastAsia="宋体"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种、游蛇科</w:t>
      </w:r>
      <w:r>
        <w:rPr>
          <w:rFonts w:hint="default" w:ascii="Times New Roman" w:hAnsi="Times New Roman" w:eastAsia="宋体" w:cs="Times New Roman"/>
          <w:bCs/>
          <w:color w:val="auto"/>
          <w:sz w:val="24"/>
          <w:szCs w:val="21"/>
          <w:highlight w:val="none"/>
          <w:u w:val="none"/>
          <w:lang w:val="en-US" w:eastAsia="zh-CN"/>
        </w:rPr>
        <w:t>4</w:t>
      </w:r>
      <w:r>
        <w:rPr>
          <w:rFonts w:hint="eastAsia" w:ascii="Times New Roman" w:hAnsi="Times New Roman" w:eastAsia="宋体" w:cs="Times New Roman"/>
          <w:bCs/>
          <w:color w:val="auto"/>
          <w:sz w:val="24"/>
          <w:szCs w:val="21"/>
          <w:highlight w:val="none"/>
          <w:u w:val="none"/>
          <w:lang w:val="en-US" w:eastAsia="zh-CN"/>
        </w:rPr>
        <w:t>种、水蛇科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种和蝰科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种，以游蛇科种类占优势。在评价区记录的</w:t>
      </w:r>
      <w:r>
        <w:rPr>
          <w:rFonts w:hint="default" w:ascii="Times New Roman" w:hAnsi="Times New Roman" w:eastAsia="宋体" w:cs="Times New Roman"/>
          <w:bCs/>
          <w:color w:val="auto"/>
          <w:sz w:val="24"/>
          <w:szCs w:val="21"/>
          <w:highlight w:val="none"/>
          <w:u w:val="none"/>
          <w:lang w:val="en-US" w:eastAsia="zh-CN"/>
        </w:rPr>
        <w:t>10</w:t>
      </w:r>
      <w:r>
        <w:rPr>
          <w:rFonts w:hint="eastAsia" w:ascii="Times New Roman" w:hAnsi="Times New Roman" w:eastAsia="宋体" w:cs="Times New Roman"/>
          <w:bCs/>
          <w:color w:val="auto"/>
          <w:sz w:val="24"/>
          <w:szCs w:val="21"/>
          <w:highlight w:val="none"/>
          <w:u w:val="none"/>
          <w:lang w:val="en-US" w:eastAsia="zh-CN"/>
        </w:rPr>
        <w:t xml:space="preserve">种爬行动物均属于湖南省地方重点保护陆生野生动物。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④两栖类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根据实地调查、访问调查及查阅相关文献得知，评价区内共记录两栖动物</w:t>
      </w:r>
      <w:r>
        <w:rPr>
          <w:rFonts w:hint="default" w:ascii="Times New Roman" w:hAnsi="Times New Roman" w:eastAsia="宋体" w:cs="Times New Roman"/>
          <w:bCs/>
          <w:color w:val="auto"/>
          <w:sz w:val="24"/>
          <w:szCs w:val="21"/>
          <w:highlight w:val="none"/>
          <w:u w:val="none"/>
          <w:lang w:val="en-US" w:eastAsia="zh-CN"/>
        </w:rPr>
        <w:t xml:space="preserve">7 </w:t>
      </w:r>
      <w:r>
        <w:rPr>
          <w:rFonts w:hint="eastAsia" w:ascii="Times New Roman" w:hAnsi="Times New Roman" w:eastAsia="宋体" w:cs="Times New Roman"/>
          <w:bCs/>
          <w:color w:val="auto"/>
          <w:sz w:val="24"/>
          <w:szCs w:val="21"/>
          <w:highlight w:val="none"/>
          <w:u w:val="none"/>
          <w:lang w:val="en-US" w:eastAsia="zh-CN"/>
        </w:rPr>
        <w:t>种，隶属于</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目</w:t>
      </w:r>
      <w:r>
        <w:rPr>
          <w:rFonts w:hint="default" w:ascii="Times New Roman" w:hAnsi="Times New Roman" w:eastAsia="宋体" w:cs="Times New Roman"/>
          <w:bCs/>
          <w:color w:val="auto"/>
          <w:sz w:val="24"/>
          <w:szCs w:val="21"/>
          <w:highlight w:val="none"/>
          <w:u w:val="none"/>
          <w:lang w:val="en-US" w:eastAsia="zh-CN"/>
        </w:rPr>
        <w:t>4</w:t>
      </w:r>
      <w:r>
        <w:rPr>
          <w:rFonts w:hint="eastAsia" w:ascii="Times New Roman" w:hAnsi="Times New Roman" w:eastAsia="宋体" w:cs="Times New Roman"/>
          <w:bCs/>
          <w:color w:val="auto"/>
          <w:sz w:val="24"/>
          <w:szCs w:val="21"/>
          <w:highlight w:val="none"/>
          <w:u w:val="none"/>
          <w:lang w:val="en-US" w:eastAsia="zh-CN"/>
        </w:rPr>
        <w:t>科。其中，蟾蜍科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种、蛙科</w:t>
      </w:r>
      <w:r>
        <w:rPr>
          <w:rFonts w:hint="default" w:ascii="Times New Roman" w:hAnsi="Times New Roman" w:eastAsia="宋体" w:cs="Times New Roman"/>
          <w:bCs/>
          <w:color w:val="auto"/>
          <w:sz w:val="24"/>
          <w:szCs w:val="21"/>
          <w:highlight w:val="none"/>
          <w:u w:val="none"/>
          <w:lang w:val="en-US" w:eastAsia="zh-CN"/>
        </w:rPr>
        <w:t>3</w:t>
      </w:r>
      <w:r>
        <w:rPr>
          <w:rFonts w:hint="eastAsia" w:ascii="Times New Roman" w:hAnsi="Times New Roman" w:eastAsia="宋体" w:cs="Times New Roman"/>
          <w:bCs/>
          <w:color w:val="auto"/>
          <w:sz w:val="24"/>
          <w:szCs w:val="21"/>
          <w:highlight w:val="none"/>
          <w:u w:val="none"/>
          <w:lang w:val="en-US" w:eastAsia="zh-CN"/>
        </w:rPr>
        <w:t>种、姬蛙科</w:t>
      </w:r>
      <w:r>
        <w:rPr>
          <w:rFonts w:hint="default" w:ascii="Times New Roman" w:hAnsi="Times New Roman" w:eastAsia="宋体"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种和叉舌蛙科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种。记录的</w:t>
      </w:r>
      <w:r>
        <w:rPr>
          <w:rFonts w:hint="default" w:ascii="Times New Roman" w:hAnsi="Times New Roman" w:eastAsia="宋体" w:cs="Times New Roman"/>
          <w:bCs/>
          <w:color w:val="auto"/>
          <w:sz w:val="24"/>
          <w:szCs w:val="21"/>
          <w:highlight w:val="none"/>
          <w:u w:val="none"/>
          <w:lang w:val="en-US" w:eastAsia="zh-CN"/>
        </w:rPr>
        <w:t>3</w:t>
      </w:r>
      <w:r>
        <w:rPr>
          <w:rFonts w:hint="eastAsia" w:ascii="Times New Roman" w:hAnsi="Times New Roman" w:eastAsia="宋体" w:cs="Times New Roman"/>
          <w:bCs/>
          <w:color w:val="auto"/>
          <w:sz w:val="24"/>
          <w:szCs w:val="21"/>
          <w:highlight w:val="none"/>
          <w:u w:val="none"/>
          <w:lang w:val="en-US" w:eastAsia="zh-CN"/>
        </w:rPr>
        <w:t xml:space="preserve">种两栖动物，均属于湖南省地方重点保护野生动物，即黑斑侧褶蛙、小弧斑姬蛙、饰纹姬蛙。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fldChar w:fldCharType="begin"/>
      </w:r>
      <w:r>
        <w:rPr>
          <w:rFonts w:hint="eastAsia" w:ascii="Times New Roman" w:hAnsi="Times New Roman" w:eastAsia="宋体" w:cs="Times New Roman"/>
          <w:bCs/>
          <w:color w:val="auto"/>
          <w:sz w:val="24"/>
          <w:szCs w:val="21"/>
          <w:highlight w:val="none"/>
          <w:u w:val="none"/>
          <w:lang w:val="en-US" w:eastAsia="zh-CN"/>
        </w:rPr>
        <w:instrText xml:space="preserve"> = 5 \* GB3 \* MERGEFORMAT </w:instrText>
      </w:r>
      <w:r>
        <w:rPr>
          <w:rFonts w:hint="eastAsia" w:ascii="Times New Roman" w:hAnsi="Times New Roman" w:eastAsia="宋体" w:cs="Times New Roman"/>
          <w:bCs/>
          <w:color w:val="auto"/>
          <w:sz w:val="24"/>
          <w:szCs w:val="21"/>
          <w:highlight w:val="none"/>
          <w:u w:val="none"/>
          <w:lang w:val="en-US" w:eastAsia="zh-CN"/>
        </w:rPr>
        <w:fldChar w:fldCharType="separate"/>
      </w:r>
      <w:r>
        <w:rPr>
          <w:rFonts w:hint="eastAsia" w:ascii="Times New Roman" w:hAnsi="Times New Roman" w:eastAsia="宋体" w:cs="Times New Roman"/>
          <w:bCs/>
          <w:color w:val="auto"/>
          <w:sz w:val="24"/>
          <w:szCs w:val="21"/>
          <w:highlight w:val="none"/>
          <w:u w:val="none"/>
          <w:lang w:val="en-US" w:eastAsia="zh-CN"/>
        </w:rPr>
        <w:t>⑤</w:t>
      </w:r>
      <w:r>
        <w:rPr>
          <w:rFonts w:hint="eastAsia" w:ascii="Times New Roman" w:hAnsi="Times New Roman" w:eastAsia="宋体" w:cs="Times New Roman"/>
          <w:bCs/>
          <w:color w:val="auto"/>
          <w:sz w:val="24"/>
          <w:szCs w:val="21"/>
          <w:highlight w:val="none"/>
          <w:u w:val="none"/>
          <w:lang w:val="en-US" w:eastAsia="zh-CN"/>
        </w:rPr>
        <w:fldChar w:fldCharType="end"/>
      </w:r>
      <w:r>
        <w:rPr>
          <w:rFonts w:hint="eastAsia" w:ascii="Times New Roman" w:hAnsi="Times New Roman" w:eastAsia="宋体" w:cs="Times New Roman"/>
          <w:bCs/>
          <w:color w:val="auto"/>
          <w:sz w:val="24"/>
          <w:szCs w:val="21"/>
          <w:highlight w:val="none"/>
          <w:u w:val="none"/>
          <w:lang w:val="en-US" w:eastAsia="zh-CN"/>
        </w:rPr>
        <w:t xml:space="preserve">鱼类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根据实地调查、访问调查及查阅相关文献得知，工程评价区共记录鱼类</w:t>
      </w:r>
      <w:r>
        <w:rPr>
          <w:rFonts w:hint="default" w:ascii="Times New Roman" w:hAnsi="Times New Roman" w:eastAsia="宋体" w:cs="Times New Roman"/>
          <w:bCs/>
          <w:color w:val="auto"/>
          <w:sz w:val="24"/>
          <w:szCs w:val="21"/>
          <w:highlight w:val="none"/>
          <w:u w:val="none"/>
          <w:lang w:val="en-US" w:eastAsia="zh-CN"/>
        </w:rPr>
        <w:t xml:space="preserve">15 </w:t>
      </w:r>
      <w:r>
        <w:rPr>
          <w:rFonts w:hint="eastAsia" w:ascii="Times New Roman" w:hAnsi="Times New Roman" w:eastAsia="宋体" w:cs="Times New Roman"/>
          <w:bCs/>
          <w:color w:val="auto"/>
          <w:sz w:val="24"/>
          <w:szCs w:val="21"/>
          <w:highlight w:val="none"/>
          <w:u w:val="none"/>
          <w:lang w:val="en-US" w:eastAsia="zh-CN"/>
        </w:rPr>
        <w:t>种，隶属于</w:t>
      </w:r>
      <w:r>
        <w:rPr>
          <w:rFonts w:hint="default" w:ascii="Times New Roman" w:hAnsi="Times New Roman" w:eastAsia="宋体" w:cs="Times New Roman"/>
          <w:bCs/>
          <w:color w:val="auto"/>
          <w:sz w:val="24"/>
          <w:szCs w:val="21"/>
          <w:highlight w:val="none"/>
          <w:u w:val="none"/>
          <w:lang w:val="en-US" w:eastAsia="zh-CN"/>
        </w:rPr>
        <w:t>4</w:t>
      </w:r>
      <w:r>
        <w:rPr>
          <w:rFonts w:hint="eastAsia" w:ascii="Times New Roman" w:hAnsi="Times New Roman" w:eastAsia="宋体" w:cs="Times New Roman"/>
          <w:bCs/>
          <w:color w:val="auto"/>
          <w:sz w:val="24"/>
          <w:szCs w:val="21"/>
          <w:highlight w:val="none"/>
          <w:u w:val="none"/>
          <w:lang w:val="en-US" w:eastAsia="zh-CN"/>
        </w:rPr>
        <w:t>目</w:t>
      </w:r>
      <w:r>
        <w:rPr>
          <w:rFonts w:hint="default" w:ascii="Times New Roman" w:hAnsi="Times New Roman" w:eastAsia="宋体" w:cs="Times New Roman"/>
          <w:bCs/>
          <w:color w:val="auto"/>
          <w:sz w:val="24"/>
          <w:szCs w:val="21"/>
          <w:highlight w:val="none"/>
          <w:u w:val="none"/>
          <w:lang w:val="en-US" w:eastAsia="zh-CN"/>
        </w:rPr>
        <w:t>6</w:t>
      </w:r>
      <w:r>
        <w:rPr>
          <w:rFonts w:hint="eastAsia" w:ascii="Times New Roman" w:hAnsi="Times New Roman" w:eastAsia="宋体" w:cs="Times New Roman"/>
          <w:bCs/>
          <w:color w:val="auto"/>
          <w:sz w:val="24"/>
          <w:szCs w:val="21"/>
          <w:highlight w:val="none"/>
          <w:u w:val="none"/>
          <w:lang w:val="en-US" w:eastAsia="zh-CN"/>
        </w:rPr>
        <w:t>科，其中鲤形目鱼类最多，共</w:t>
      </w:r>
      <w:r>
        <w:rPr>
          <w:rFonts w:hint="default" w:ascii="Times New Roman" w:hAnsi="Times New Roman" w:eastAsia="宋体"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11</w:t>
      </w:r>
      <w:r>
        <w:rPr>
          <w:rFonts w:hint="eastAsia" w:ascii="Times New Roman" w:hAnsi="Times New Roman" w:eastAsia="宋体" w:cs="Times New Roman"/>
          <w:bCs/>
          <w:color w:val="auto"/>
          <w:sz w:val="24"/>
          <w:szCs w:val="21"/>
          <w:highlight w:val="none"/>
          <w:u w:val="none"/>
          <w:lang w:val="en-US" w:eastAsia="zh-CN"/>
        </w:rPr>
        <w:t>种，占评价区鱼类总数的</w:t>
      </w:r>
      <w:r>
        <w:rPr>
          <w:rFonts w:hint="default" w:ascii="Times New Roman" w:hAnsi="Times New Roman" w:eastAsia="宋体" w:cs="Times New Roman"/>
          <w:bCs/>
          <w:color w:val="auto"/>
          <w:sz w:val="24"/>
          <w:szCs w:val="21"/>
          <w:highlight w:val="none"/>
          <w:u w:val="none"/>
          <w:lang w:val="en-US" w:eastAsia="zh-CN"/>
        </w:rPr>
        <w:t>73.33%</w:t>
      </w:r>
      <w:r>
        <w:rPr>
          <w:rFonts w:hint="eastAsia" w:ascii="Times New Roman" w:hAnsi="Times New Roman" w:eastAsia="宋体" w:cs="Times New Roman"/>
          <w:bCs/>
          <w:color w:val="auto"/>
          <w:sz w:val="24"/>
          <w:szCs w:val="21"/>
          <w:highlight w:val="none"/>
          <w:u w:val="none"/>
          <w:lang w:val="en-US" w:eastAsia="zh-CN"/>
        </w:rPr>
        <w:t>；鲈形目次之，共</w:t>
      </w:r>
      <w:r>
        <w:rPr>
          <w:rFonts w:hint="default" w:ascii="Times New Roman" w:hAnsi="Times New Roman" w:eastAsia="宋体"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种，占评价区鱼类总数的</w:t>
      </w:r>
      <w:r>
        <w:rPr>
          <w:rFonts w:hint="default" w:ascii="Times New Roman" w:hAnsi="Times New Roman" w:eastAsia="宋体" w:cs="Times New Roman"/>
          <w:bCs/>
          <w:color w:val="auto"/>
          <w:sz w:val="24"/>
          <w:szCs w:val="21"/>
          <w:highlight w:val="none"/>
          <w:u w:val="none"/>
          <w:lang w:val="en-US" w:eastAsia="zh-CN"/>
        </w:rPr>
        <w:t>13.33%</w:t>
      </w:r>
      <w:r>
        <w:rPr>
          <w:rFonts w:hint="eastAsia" w:ascii="Times New Roman" w:hAnsi="Times New Roman" w:eastAsia="宋体" w:cs="Times New Roman"/>
          <w:bCs/>
          <w:color w:val="auto"/>
          <w:sz w:val="24"/>
          <w:szCs w:val="21"/>
          <w:highlight w:val="none"/>
          <w:u w:val="none"/>
          <w:lang w:val="en-US" w:eastAsia="zh-CN"/>
        </w:rPr>
        <w:t>；合鳃鱼目和鲇形目各</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种，各占评价区鱼类总数的</w:t>
      </w:r>
      <w:r>
        <w:rPr>
          <w:rFonts w:hint="default" w:ascii="Times New Roman" w:hAnsi="Times New Roman" w:eastAsia="宋体" w:cs="Times New Roman"/>
          <w:bCs/>
          <w:color w:val="auto"/>
          <w:sz w:val="24"/>
          <w:szCs w:val="21"/>
          <w:highlight w:val="none"/>
          <w:u w:val="none"/>
          <w:lang w:val="en-US" w:eastAsia="zh-CN"/>
        </w:rPr>
        <w:t>6.67%</w:t>
      </w:r>
      <w:r>
        <w:rPr>
          <w:rFonts w:hint="eastAsia" w:ascii="Times New Roman" w:hAnsi="Times New Roman" w:eastAsia="宋体" w:cs="Times New Roman"/>
          <w:bCs/>
          <w:color w:val="auto"/>
          <w:sz w:val="24"/>
          <w:szCs w:val="21"/>
          <w:highlight w:val="none"/>
          <w:u w:val="none"/>
          <w:lang w:val="en-US" w:eastAsia="zh-CN"/>
        </w:rPr>
        <w:t>。</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东洞庭湖实验区内的野生动物主要由常见的小型和庭院动物构成，常见的物种有白头鹎、八哥、小云雀、戴胜、普通翠鸟、普通秧鸡、白鹃鸰、红嘴蓝鹊、普通秧鸡、中华大蟾蜍等。本项目评价区内无珍稀濒危陆生野生动物，且不涉及上述野生脊椎动物分布。</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4）自然遗迹调查</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本项目评价区内无需要保护的自然遗迹分布。</w:t>
      </w:r>
    </w:p>
    <w:bookmarkEnd w:id="233"/>
    <w:bookmarkEnd w:id="234"/>
    <w:bookmarkEnd w:id="235"/>
    <w:bookmarkEnd w:id="236"/>
    <w:bookmarkEnd w:id="237"/>
    <w:bookmarkEnd w:id="238"/>
    <w:bookmarkEnd w:id="239"/>
    <w:bookmarkEnd w:id="244"/>
    <w:bookmarkEnd w:id="245"/>
    <w:p>
      <w:pPr>
        <w:keepNext/>
        <w:keepLines/>
        <w:widowControl w:val="0"/>
        <w:adjustRightInd w:val="0"/>
        <w:snapToGrid w:val="0"/>
        <w:spacing w:before="0" w:after="0" w:line="360" w:lineRule="auto"/>
        <w:jc w:val="both"/>
        <w:outlineLvl w:val="1"/>
        <w:rPr>
          <w:rFonts w:hint="eastAsia" w:ascii="Times New Roman" w:hAnsi="Times New Roman" w:eastAsia="宋体" w:cs="Times New Roman"/>
          <w:b/>
          <w:bCs/>
          <w:color w:val="auto"/>
          <w:kern w:val="2"/>
          <w:sz w:val="28"/>
          <w:szCs w:val="28"/>
          <w:lang w:val="en-US" w:eastAsia="zh-CN" w:bidi="ar-SA"/>
        </w:rPr>
      </w:pPr>
      <w:bookmarkStart w:id="246" w:name="_Toc23303"/>
      <w:bookmarkStart w:id="247" w:name="_Toc13004"/>
      <w:bookmarkStart w:id="248" w:name="_Toc3826"/>
      <w:bookmarkStart w:id="249" w:name="_Toc31479"/>
      <w:bookmarkStart w:id="250" w:name="_Toc6054"/>
      <w:r>
        <w:rPr>
          <w:rFonts w:hint="eastAsia" w:ascii="Times New Roman" w:hAnsi="Times New Roman" w:eastAsia="宋体" w:cs="Times New Roman"/>
          <w:b/>
          <w:bCs/>
          <w:color w:val="auto"/>
          <w:kern w:val="2"/>
          <w:sz w:val="28"/>
          <w:szCs w:val="28"/>
          <w:lang w:val="en-US" w:eastAsia="zh-CN" w:bidi="ar-SA"/>
        </w:rPr>
        <w:t>3</w:t>
      </w:r>
      <w:r>
        <w:rPr>
          <w:rFonts w:hint="default" w:ascii="Times New Roman" w:hAnsi="Times New Roman" w:eastAsia="宋体" w:cs="Times New Roman"/>
          <w:b/>
          <w:bCs/>
          <w:color w:val="auto"/>
          <w:kern w:val="2"/>
          <w:sz w:val="28"/>
          <w:szCs w:val="28"/>
          <w:lang w:val="en-US" w:eastAsia="zh-CN" w:bidi="ar-SA"/>
        </w:rPr>
        <w:t>.</w:t>
      </w:r>
      <w:r>
        <w:rPr>
          <w:rFonts w:hint="eastAsia" w:ascii="Times New Roman" w:hAnsi="Times New Roman" w:eastAsia="宋体" w:cs="Times New Roman"/>
          <w:b/>
          <w:bCs/>
          <w:color w:val="auto"/>
          <w:kern w:val="2"/>
          <w:sz w:val="28"/>
          <w:szCs w:val="28"/>
          <w:lang w:val="en-US" w:eastAsia="zh-CN" w:bidi="ar-SA"/>
        </w:rPr>
        <w:t>3湖南东洞庭湖国家级自然保护区</w:t>
      </w:r>
      <w:bookmarkEnd w:id="246"/>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3.3.1本项目与保护区位置关系</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rPr>
      </w:pPr>
      <w:r>
        <w:rPr>
          <w:rFonts w:hint="eastAsia" w:ascii="Times New Roman" w:hAnsi="Times New Roman" w:eastAsia="宋体" w:cs="Times New Roman"/>
          <w:bCs/>
          <w:color w:val="auto"/>
          <w:sz w:val="24"/>
          <w:szCs w:val="21"/>
          <w:highlight w:val="none"/>
          <w:u w:val="none"/>
        </w:rPr>
        <w:t>位于东洞庭湖国家级自然保护区内，项目建设</w:t>
      </w:r>
      <w:r>
        <w:rPr>
          <w:rFonts w:hint="eastAsia" w:ascii="Times New Roman" w:hAnsi="Times New Roman" w:eastAsia="宋体" w:cs="Times New Roman"/>
          <w:bCs/>
          <w:color w:val="auto"/>
          <w:sz w:val="24"/>
          <w:szCs w:val="21"/>
          <w:highlight w:val="none"/>
          <w:u w:val="none"/>
          <w:lang w:val="en-US" w:eastAsia="zh-CN"/>
        </w:rPr>
        <w:t>位于保护区的实验区范围内，</w:t>
      </w:r>
      <w:r>
        <w:rPr>
          <w:rFonts w:hint="eastAsia" w:ascii="Times New Roman" w:hAnsi="Times New Roman" w:eastAsia="宋体" w:cs="Times New Roman"/>
          <w:bCs/>
          <w:color w:val="auto"/>
          <w:sz w:val="24"/>
          <w:szCs w:val="21"/>
          <w:highlight w:val="none"/>
          <w:u w:val="none"/>
        </w:rPr>
        <w:t>不涉及保护区的核心区和缓冲区，离核心区最近距离约</w:t>
      </w:r>
      <w:r>
        <w:rPr>
          <w:rFonts w:hint="eastAsia" w:ascii="Times New Roman" w:hAnsi="Times New Roman" w:eastAsia="宋体" w:cs="Times New Roman"/>
          <w:bCs/>
          <w:color w:val="auto"/>
          <w:sz w:val="24"/>
          <w:szCs w:val="21"/>
          <w:highlight w:val="none"/>
          <w:u w:val="none"/>
          <w:lang w:val="en-US" w:eastAsia="zh-CN"/>
        </w:rPr>
        <w:t>8.</w:t>
      </w:r>
      <w:r>
        <w:rPr>
          <w:rFonts w:hint="eastAsia" w:cs="Times New Roman"/>
          <w:bCs/>
          <w:color w:val="auto"/>
          <w:sz w:val="24"/>
          <w:szCs w:val="21"/>
          <w:highlight w:val="none"/>
          <w:u w:val="none"/>
          <w:lang w:val="en-US" w:eastAsia="zh-CN"/>
        </w:rPr>
        <w:t>3</w:t>
      </w:r>
      <w:r>
        <w:rPr>
          <w:rFonts w:hint="eastAsia" w:ascii="Times New Roman" w:hAnsi="Times New Roman" w:eastAsia="宋体" w:cs="Times New Roman"/>
          <w:bCs/>
          <w:color w:val="auto"/>
          <w:sz w:val="24"/>
          <w:szCs w:val="21"/>
          <w:highlight w:val="none"/>
          <w:u w:val="none"/>
          <w:lang w:val="en-US" w:eastAsia="zh-CN"/>
        </w:rPr>
        <w:t xml:space="preserve"> </w:t>
      </w:r>
      <w:r>
        <w:rPr>
          <w:rFonts w:hint="eastAsia" w:ascii="Times New Roman" w:hAnsi="Times New Roman" w:eastAsia="宋体" w:cs="Times New Roman"/>
          <w:bCs/>
          <w:color w:val="auto"/>
          <w:sz w:val="24"/>
          <w:szCs w:val="21"/>
          <w:highlight w:val="none"/>
          <w:u w:val="none"/>
        </w:rPr>
        <w:t>km，离缓冲区最近距离约</w:t>
      </w:r>
      <w:r>
        <w:rPr>
          <w:rFonts w:hint="eastAsia" w:ascii="Times New Roman" w:hAnsi="Times New Roman" w:eastAsia="宋体" w:cs="Times New Roman"/>
          <w:bCs/>
          <w:color w:val="auto"/>
          <w:sz w:val="24"/>
          <w:szCs w:val="21"/>
          <w:highlight w:val="none"/>
          <w:u w:val="none"/>
          <w:lang w:val="en-US" w:eastAsia="zh-CN"/>
        </w:rPr>
        <w:t>7.</w:t>
      </w:r>
      <w:r>
        <w:rPr>
          <w:rFonts w:hint="eastAsia" w:cs="Times New Roman"/>
          <w:bCs/>
          <w:color w:val="auto"/>
          <w:sz w:val="24"/>
          <w:szCs w:val="21"/>
          <w:highlight w:val="none"/>
          <w:u w:val="none"/>
          <w:lang w:val="en-US" w:eastAsia="zh-CN"/>
        </w:rPr>
        <w:t>6</w:t>
      </w:r>
      <w:r>
        <w:rPr>
          <w:rFonts w:hint="eastAsia" w:ascii="Times New Roman" w:hAnsi="Times New Roman" w:eastAsia="宋体" w:cs="Times New Roman"/>
          <w:bCs/>
          <w:color w:val="auto"/>
          <w:sz w:val="24"/>
          <w:szCs w:val="21"/>
          <w:highlight w:val="none"/>
          <w:u w:val="none"/>
        </w:rPr>
        <w:t>km。</w:t>
      </w:r>
      <w:r>
        <w:rPr>
          <w:rFonts w:hint="eastAsia" w:ascii="Times New Roman" w:hAnsi="Times New Roman" w:eastAsia="宋体" w:cs="Times New Roman"/>
          <w:bCs/>
          <w:color w:val="auto"/>
          <w:sz w:val="24"/>
          <w:szCs w:val="21"/>
          <w:highlight w:val="none"/>
          <w:u w:val="none"/>
          <w:lang w:val="en-US" w:eastAsia="zh-CN"/>
        </w:rPr>
        <w:t>东</w:t>
      </w:r>
      <w:r>
        <w:rPr>
          <w:rFonts w:hint="eastAsia" w:ascii="Times New Roman" w:hAnsi="Times New Roman" w:cs="Times New Roman"/>
          <w:bCs/>
          <w:color w:val="auto"/>
          <w:sz w:val="24"/>
          <w:szCs w:val="21"/>
          <w:highlight w:val="none"/>
          <w:u w:val="none"/>
          <w:lang w:val="en-US" w:eastAsia="zh-CN"/>
        </w:rPr>
        <w:t>洞庭湖自然保护区方案调整后，本项目处于保护区实验区边界之外（距离</w:t>
      </w:r>
      <w:r>
        <w:rPr>
          <w:rFonts w:hint="eastAsia" w:cs="Times New Roman"/>
          <w:bCs/>
          <w:color w:val="auto"/>
          <w:sz w:val="24"/>
          <w:szCs w:val="21"/>
          <w:highlight w:val="none"/>
          <w:u w:val="none"/>
          <w:lang w:val="en-US" w:eastAsia="zh-CN"/>
        </w:rPr>
        <w:t>整合优化</w:t>
      </w:r>
      <w:r>
        <w:rPr>
          <w:rFonts w:hint="eastAsia" w:ascii="Times New Roman" w:hAnsi="Times New Roman" w:cs="Times New Roman"/>
          <w:bCs/>
          <w:color w:val="auto"/>
          <w:sz w:val="24"/>
          <w:szCs w:val="21"/>
          <w:highlight w:val="none"/>
          <w:u w:val="none"/>
          <w:lang w:val="en-US" w:eastAsia="zh-CN"/>
        </w:rPr>
        <w:t>后</w:t>
      </w:r>
      <w:r>
        <w:rPr>
          <w:rFonts w:hint="eastAsia" w:cs="Times New Roman"/>
          <w:bCs/>
          <w:color w:val="auto"/>
          <w:sz w:val="24"/>
          <w:szCs w:val="21"/>
          <w:highlight w:val="none"/>
          <w:u w:val="none"/>
          <w:lang w:val="en-US" w:eastAsia="zh-CN"/>
        </w:rPr>
        <w:t>湖南东洞庭湖国家级自然保护区</w:t>
      </w:r>
      <w:r>
        <w:rPr>
          <w:rFonts w:hint="eastAsia" w:ascii="Times New Roman" w:hAnsi="Times New Roman" w:cs="Times New Roman"/>
          <w:bCs/>
          <w:color w:val="auto"/>
          <w:sz w:val="24"/>
          <w:szCs w:val="21"/>
          <w:highlight w:val="none"/>
          <w:u w:val="none"/>
          <w:lang w:val="en-US" w:eastAsia="zh-CN"/>
        </w:rPr>
        <w:t>约1.</w:t>
      </w:r>
      <w:r>
        <w:rPr>
          <w:rFonts w:hint="eastAsia" w:cs="Times New Roman"/>
          <w:bCs/>
          <w:color w:val="auto"/>
          <w:sz w:val="24"/>
          <w:szCs w:val="21"/>
          <w:highlight w:val="none"/>
          <w:u w:val="none"/>
          <w:lang w:val="en-US" w:eastAsia="zh-CN"/>
        </w:rPr>
        <w:t>5</w:t>
      </w:r>
      <w:r>
        <w:rPr>
          <w:rFonts w:hint="eastAsia" w:ascii="Times New Roman" w:hAnsi="Times New Roman" w:cs="Times New Roman"/>
          <w:bCs/>
          <w:color w:val="auto"/>
          <w:sz w:val="24"/>
          <w:szCs w:val="21"/>
          <w:highlight w:val="none"/>
          <w:u w:val="none"/>
          <w:lang w:val="en-US" w:eastAsia="zh-CN"/>
        </w:rPr>
        <w:t>km）。</w:t>
      </w:r>
    </w:p>
    <w:p>
      <w:pPr>
        <w:pStyle w:val="53"/>
        <w:adjustRightInd w:val="0"/>
        <w:snapToGrid w:val="0"/>
        <w:spacing w:line="360" w:lineRule="auto"/>
        <w:ind w:left="0" w:leftChars="0" w:firstLine="0" w:firstLineChars="0"/>
        <w:rPr>
          <w:rFonts w:hint="default" w:ascii="Times New Roman" w:hAnsi="Times New Roman" w:cs="Times New Roman"/>
          <w:b/>
          <w:color w:val="auto"/>
          <w:sz w:val="24"/>
          <w:szCs w:val="21"/>
          <w:lang w:val="en-US" w:eastAsia="zh-CN"/>
        </w:rPr>
      </w:pPr>
      <w:r>
        <w:rPr>
          <w:rFonts w:hint="eastAsia" w:ascii="Times New Roman" w:hAnsi="Times New Roman" w:cs="Times New Roman"/>
          <w:b/>
          <w:color w:val="auto"/>
          <w:sz w:val="24"/>
          <w:szCs w:val="21"/>
          <w:lang w:val="en-US" w:eastAsia="zh-CN"/>
        </w:rPr>
        <w:t>3.3.2保护区功能区划</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rPr>
      </w:pPr>
      <w:r>
        <w:rPr>
          <w:rFonts w:hint="eastAsia" w:ascii="Times New Roman" w:hAnsi="Times New Roman" w:cs="Times New Roman"/>
          <w:bCs/>
          <w:color w:val="auto"/>
          <w:sz w:val="24"/>
          <w:szCs w:val="21"/>
          <w:highlight w:val="none"/>
          <w:u w:val="none"/>
        </w:rPr>
        <w:t>东洞庭湖是洞庭湖湖系中最大的湖泊，年平均过湖水量达3126亿立方米。常年湖容量178亿立方米，水深4-22m，最大水位落差为17.76m，ph6.8-8.6。它的地貌呈沟港纵横的湿地景观。土壤为湖沼土和河沼土。年平均气温为17℃，湖水年平均温度17.5℃，总降水量1200-1330mm，无霜期258-275天</w:t>
      </w:r>
      <w:r>
        <w:rPr>
          <w:rFonts w:hint="eastAsia" w:ascii="Times New Roman" w:hAnsi="Times New Roman" w:cs="Times New Roman"/>
          <w:bCs/>
          <w:color w:val="auto"/>
          <w:sz w:val="24"/>
          <w:szCs w:val="21"/>
          <w:highlight w:val="none"/>
          <w:u w:val="none"/>
          <w:lang w:eastAsia="zh-CN"/>
        </w:rPr>
        <w:t>。</w:t>
      </w:r>
      <w:r>
        <w:rPr>
          <w:rFonts w:hint="eastAsia" w:ascii="Times New Roman" w:hAnsi="Times New Roman" w:cs="Times New Roman"/>
          <w:bCs/>
          <w:color w:val="auto"/>
          <w:sz w:val="24"/>
          <w:szCs w:val="21"/>
          <w:highlight w:val="none"/>
          <w:u w:val="none"/>
        </w:rPr>
        <w:t>东洞庭湖既是我国湿地水禽的重要越冬地，也是重要繁殖地、停歇地。栖息的雁鸭类、鸻鹬类等水鸟达数十万羽。</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eastAsia="zh-CN"/>
        </w:rPr>
      </w:pPr>
      <w:r>
        <w:rPr>
          <w:rFonts w:hint="eastAsia" w:ascii="Times New Roman" w:hAnsi="Times New Roman" w:cs="Times New Roman"/>
          <w:bCs/>
          <w:color w:val="auto"/>
          <w:sz w:val="24"/>
          <w:szCs w:val="21"/>
          <w:highlight w:val="none"/>
          <w:u w:val="none"/>
          <w:lang w:eastAsia="zh-CN"/>
        </w:rPr>
        <w:t>（</w:t>
      </w:r>
      <w:r>
        <w:rPr>
          <w:rFonts w:hint="eastAsia" w:ascii="Times New Roman" w:hAnsi="Times New Roman" w:cs="Times New Roman"/>
          <w:bCs/>
          <w:color w:val="auto"/>
          <w:sz w:val="24"/>
          <w:szCs w:val="21"/>
          <w:highlight w:val="none"/>
          <w:u w:val="none"/>
          <w:lang w:val="en-US" w:eastAsia="zh-CN"/>
        </w:rPr>
        <w:t>1</w:t>
      </w:r>
      <w:r>
        <w:rPr>
          <w:rFonts w:hint="eastAsia" w:ascii="Times New Roman" w:hAnsi="Times New Roman" w:cs="Times New Roman"/>
          <w:bCs/>
          <w:color w:val="auto"/>
          <w:sz w:val="24"/>
          <w:szCs w:val="21"/>
          <w:highlight w:val="none"/>
          <w:u w:val="none"/>
          <w:lang w:eastAsia="zh-CN"/>
        </w:rPr>
        <w:t>）功能区划概况</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东洞庭湖国家级自然保护区功能区划分情况为:</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①核心区。湿地生态系统完整，生物资源丰富，白鹤、黑鹤、东方白鹤、小天鹅、鸿雁等珍稀濒危鸟类集中栖息的地段，</w:t>
      </w:r>
      <w:r>
        <w:rPr>
          <w:rFonts w:hint="eastAsia" w:cs="Times New Roman"/>
          <w:bCs/>
          <w:color w:val="auto"/>
          <w:sz w:val="24"/>
          <w:szCs w:val="21"/>
          <w:highlight w:val="none"/>
          <w:u w:val="none"/>
          <w:lang w:val="en-US" w:eastAsia="zh-CN"/>
        </w:rPr>
        <w:t>3.3286</w:t>
      </w:r>
      <w:r>
        <w:rPr>
          <w:rFonts w:hint="eastAsia" w:ascii="Times New Roman" w:hAnsi="Times New Roman" w:cs="Times New Roman"/>
          <w:bCs/>
          <w:color w:val="auto"/>
          <w:sz w:val="24"/>
          <w:szCs w:val="21"/>
          <w:highlight w:val="none"/>
          <w:u w:val="none"/>
          <w:lang w:val="en-US" w:eastAsia="zh-CN"/>
        </w:rPr>
        <w:t>x10</w:t>
      </w:r>
      <w:r>
        <w:rPr>
          <w:rFonts w:hint="eastAsia" w:ascii="Times New Roman" w:hAnsi="Times New Roman" w:cs="Times New Roman"/>
          <w:bCs/>
          <w:color w:val="auto"/>
          <w:sz w:val="24"/>
          <w:szCs w:val="21"/>
          <w:highlight w:val="none"/>
          <w:u w:val="none"/>
          <w:vertAlign w:val="superscript"/>
          <w:lang w:val="en-US" w:eastAsia="zh-CN"/>
        </w:rPr>
        <w:t>4</w:t>
      </w:r>
      <w:r>
        <w:rPr>
          <w:rFonts w:hint="eastAsia" w:ascii="Times New Roman" w:hAnsi="Times New Roman" w:cs="Times New Roman"/>
          <w:bCs/>
          <w:color w:val="auto"/>
          <w:sz w:val="24"/>
          <w:szCs w:val="21"/>
          <w:highlight w:val="none"/>
          <w:u w:val="none"/>
          <w:lang w:val="en-US" w:eastAsia="zh-CN"/>
        </w:rPr>
        <w:t>hm²。</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将湿地生态系统完整、生物资源丰富、白鹤、黑鹳、东方白鹳、小天鹅、鸿雁等珍稀濒危鸟类集中栖息的地段作为核心区，总面积2.90万hm2。依据功能区划原则，又将保护区核心区分为3大块。即大小西湖-君山后湖核心区:从大小西湖、三坝、四坝至君山后湖包括黑嘴在内的定权发证区域，面积1.60万hm2;红旗湖核心区:上、下红旗湖、天鹅段定权发证区域，面积0.80万hm2:春风湖核心区:包括春风湖及其大片洲滩在内的0.50万hm2定权发证区域。核心区内，实行封闭式管理，严格控制外界人员随意进入或从事捕鱼、放牧等生产经营活动，并对湖水水位进行严格的管理和调控。</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fldChar w:fldCharType="begin"/>
      </w:r>
      <w:r>
        <w:rPr>
          <w:rFonts w:hint="eastAsia" w:ascii="Times New Roman" w:hAnsi="Times New Roman" w:cs="Times New Roman"/>
          <w:bCs/>
          <w:color w:val="auto"/>
          <w:sz w:val="24"/>
          <w:szCs w:val="21"/>
          <w:highlight w:val="none"/>
          <w:u w:val="none"/>
          <w:lang w:val="en-US" w:eastAsia="zh-CN"/>
        </w:rPr>
        <w:instrText xml:space="preserve"> = 2 \* GB3 \* MERGEFORMAT </w:instrText>
      </w:r>
      <w:r>
        <w:rPr>
          <w:rFonts w:hint="eastAsia" w:ascii="Times New Roman" w:hAnsi="Times New Roman" w:cs="Times New Roman"/>
          <w:bCs/>
          <w:color w:val="auto"/>
          <w:sz w:val="24"/>
          <w:szCs w:val="21"/>
          <w:highlight w:val="none"/>
          <w:u w:val="none"/>
          <w:lang w:val="en-US" w:eastAsia="zh-CN"/>
        </w:rPr>
        <w:fldChar w:fldCharType="separate"/>
      </w:r>
      <w:r>
        <w:rPr>
          <w:rFonts w:hint="eastAsia" w:ascii="Times New Roman" w:hAnsi="Times New Roman" w:cs="Times New Roman"/>
          <w:bCs/>
          <w:color w:val="auto"/>
          <w:sz w:val="24"/>
          <w:szCs w:val="21"/>
          <w:highlight w:val="none"/>
          <w:u w:val="none"/>
          <w:lang w:val="en-US" w:eastAsia="zh-CN"/>
        </w:rPr>
        <w:t>②</w:t>
      </w:r>
      <w:r>
        <w:rPr>
          <w:rFonts w:hint="eastAsia" w:ascii="Times New Roman" w:hAnsi="Times New Roman" w:cs="Times New Roman"/>
          <w:bCs/>
          <w:color w:val="auto"/>
          <w:sz w:val="24"/>
          <w:szCs w:val="21"/>
          <w:highlight w:val="none"/>
          <w:u w:val="none"/>
          <w:lang w:val="en-US" w:eastAsia="zh-CN"/>
        </w:rPr>
        <w:fldChar w:fldCharType="end"/>
      </w:r>
      <w:r>
        <w:rPr>
          <w:rFonts w:hint="eastAsia" w:ascii="Times New Roman" w:hAnsi="Times New Roman" w:cs="Times New Roman"/>
          <w:bCs/>
          <w:color w:val="auto"/>
          <w:sz w:val="24"/>
          <w:szCs w:val="21"/>
          <w:highlight w:val="none"/>
          <w:u w:val="none"/>
          <w:lang w:val="en-US" w:eastAsia="zh-CN"/>
        </w:rPr>
        <w:t>缓冲区。核心区外围所有东洞庭湖区域，面积3.</w:t>
      </w:r>
      <w:r>
        <w:rPr>
          <w:rFonts w:hint="eastAsia" w:cs="Times New Roman"/>
          <w:bCs/>
          <w:color w:val="auto"/>
          <w:sz w:val="24"/>
          <w:szCs w:val="21"/>
          <w:highlight w:val="none"/>
          <w:u w:val="none"/>
          <w:lang w:val="en-US" w:eastAsia="zh-CN"/>
        </w:rPr>
        <w:t>2369</w:t>
      </w:r>
      <w:r>
        <w:rPr>
          <w:rFonts w:hint="eastAsia" w:ascii="Times New Roman" w:hAnsi="Times New Roman" w:cs="Times New Roman"/>
          <w:bCs/>
          <w:color w:val="auto"/>
          <w:sz w:val="24"/>
          <w:szCs w:val="21"/>
          <w:highlight w:val="none"/>
          <w:u w:val="none"/>
          <w:lang w:val="en-US" w:eastAsia="zh-CN"/>
        </w:rPr>
        <w:t>x10</w:t>
      </w:r>
      <w:r>
        <w:rPr>
          <w:rFonts w:hint="eastAsia" w:ascii="Times New Roman" w:hAnsi="Times New Roman" w:cs="Times New Roman"/>
          <w:bCs/>
          <w:color w:val="auto"/>
          <w:sz w:val="24"/>
          <w:szCs w:val="21"/>
          <w:highlight w:val="none"/>
          <w:u w:val="none"/>
          <w:vertAlign w:val="superscript"/>
          <w:lang w:val="en-US" w:eastAsia="zh-CN"/>
        </w:rPr>
        <w:t>4</w:t>
      </w:r>
      <w:r>
        <w:rPr>
          <w:rFonts w:hint="eastAsia" w:ascii="Times New Roman" w:hAnsi="Times New Roman" w:cs="Times New Roman"/>
          <w:bCs/>
          <w:color w:val="auto"/>
          <w:sz w:val="24"/>
          <w:szCs w:val="21"/>
          <w:highlight w:val="none"/>
          <w:u w:val="none"/>
          <w:lang w:val="en-US" w:eastAsia="zh-CN"/>
        </w:rPr>
        <w:t>hm²。</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fldChar w:fldCharType="begin"/>
      </w:r>
      <w:r>
        <w:rPr>
          <w:rFonts w:hint="eastAsia" w:ascii="Times New Roman" w:hAnsi="Times New Roman" w:cs="Times New Roman"/>
          <w:bCs/>
          <w:color w:val="auto"/>
          <w:sz w:val="24"/>
          <w:szCs w:val="21"/>
          <w:highlight w:val="none"/>
          <w:u w:val="none"/>
          <w:lang w:val="en-US" w:eastAsia="zh-CN"/>
        </w:rPr>
        <w:instrText xml:space="preserve"> = 3 \* GB3 \* MERGEFORMAT </w:instrText>
      </w:r>
      <w:r>
        <w:rPr>
          <w:rFonts w:hint="eastAsia" w:ascii="Times New Roman" w:hAnsi="Times New Roman" w:cs="Times New Roman"/>
          <w:bCs/>
          <w:color w:val="auto"/>
          <w:sz w:val="24"/>
          <w:szCs w:val="21"/>
          <w:highlight w:val="none"/>
          <w:u w:val="none"/>
          <w:lang w:val="en-US" w:eastAsia="zh-CN"/>
        </w:rPr>
        <w:fldChar w:fldCharType="separate"/>
      </w:r>
      <w:r>
        <w:rPr>
          <w:rFonts w:hint="eastAsia" w:ascii="Times New Roman" w:hAnsi="Times New Roman" w:cs="Times New Roman"/>
          <w:bCs/>
          <w:color w:val="auto"/>
          <w:sz w:val="24"/>
          <w:szCs w:val="21"/>
          <w:highlight w:val="none"/>
          <w:u w:val="none"/>
          <w:lang w:val="en-US" w:eastAsia="zh-CN"/>
        </w:rPr>
        <w:t>③</w:t>
      </w:r>
      <w:r>
        <w:rPr>
          <w:rFonts w:hint="eastAsia" w:ascii="Times New Roman" w:hAnsi="Times New Roman" w:cs="Times New Roman"/>
          <w:bCs/>
          <w:color w:val="auto"/>
          <w:sz w:val="24"/>
          <w:szCs w:val="21"/>
          <w:highlight w:val="none"/>
          <w:u w:val="none"/>
          <w:lang w:val="en-US" w:eastAsia="zh-CN"/>
        </w:rPr>
        <w:fldChar w:fldCharType="end"/>
      </w:r>
      <w:r>
        <w:rPr>
          <w:rFonts w:hint="eastAsia" w:ascii="Times New Roman" w:hAnsi="Times New Roman" w:cs="Times New Roman"/>
          <w:bCs/>
          <w:color w:val="auto"/>
          <w:sz w:val="24"/>
          <w:szCs w:val="21"/>
          <w:highlight w:val="none"/>
          <w:u w:val="none"/>
          <w:lang w:val="en-US" w:eastAsia="zh-CN"/>
        </w:rPr>
        <w:t>实验区。保护区区界以内缓冲区以外的广大区域，包括采桑湖、团湖、方台湖、南湖、芭蕉湖等在内的烷内湖泊和农业用地，面积</w:t>
      </w:r>
      <w:r>
        <w:rPr>
          <w:rFonts w:hint="eastAsia" w:cs="Times New Roman"/>
          <w:bCs/>
          <w:color w:val="auto"/>
          <w:sz w:val="24"/>
          <w:szCs w:val="21"/>
          <w:highlight w:val="none"/>
          <w:u w:val="none"/>
          <w:lang w:val="en-US" w:eastAsia="zh-CN"/>
        </w:rPr>
        <w:t>9.1972</w:t>
      </w:r>
      <w:r>
        <w:rPr>
          <w:rFonts w:hint="eastAsia" w:ascii="Times New Roman" w:hAnsi="Times New Roman" w:cs="Times New Roman"/>
          <w:bCs/>
          <w:color w:val="auto"/>
          <w:sz w:val="24"/>
          <w:szCs w:val="21"/>
          <w:highlight w:val="none"/>
          <w:u w:val="none"/>
          <w:lang w:val="en-US" w:eastAsia="zh-CN"/>
        </w:rPr>
        <w:t>x104hm²。</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在缓冲区和实验区内，保护区将依法取缔各种非法渔具，全面禁止偷猎或毒杀珍禽的违法活动。</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保护区的核心区和缓冲区，是珍稀濒危野生动物的主要栖息地，又是湿地生态系统的典型区域。在该范围内以保护为主，除开展科研、调查活动外，尽量减少人为影响和干扰，绝对禁止在该区域开展经营活动和一切生产活动。</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实验区实际上应该为可持续发展示范区，且实验区内在有利于保护的基础上，该区域内可以开展自然资源的合理利用，特别是应开展非消耗性资源利用，如开展生态旅游业(观鸟、观荷花等)，以减少人们对自然资源的直接消耗和过分依赖。</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eastAsia="zh-CN"/>
        </w:rPr>
      </w:pPr>
      <w:r>
        <w:rPr>
          <w:rFonts w:hint="eastAsia" w:ascii="Times New Roman" w:hAnsi="Times New Roman" w:cs="Times New Roman"/>
          <w:bCs/>
          <w:color w:val="auto"/>
          <w:sz w:val="24"/>
          <w:szCs w:val="21"/>
          <w:highlight w:val="none"/>
          <w:u w:val="none"/>
          <w:lang w:eastAsia="zh-CN"/>
        </w:rPr>
        <w:t>（</w:t>
      </w:r>
      <w:r>
        <w:rPr>
          <w:rFonts w:hint="eastAsia" w:ascii="Times New Roman" w:hAnsi="Times New Roman" w:cs="Times New Roman"/>
          <w:bCs/>
          <w:color w:val="auto"/>
          <w:sz w:val="24"/>
          <w:szCs w:val="21"/>
          <w:highlight w:val="none"/>
          <w:u w:val="none"/>
          <w:lang w:val="en-US" w:eastAsia="zh-CN"/>
        </w:rPr>
        <w:t>2</w:t>
      </w:r>
      <w:r>
        <w:rPr>
          <w:rFonts w:hint="eastAsia" w:ascii="Times New Roman" w:hAnsi="Times New Roman" w:cs="Times New Roman"/>
          <w:bCs/>
          <w:color w:val="auto"/>
          <w:sz w:val="24"/>
          <w:szCs w:val="21"/>
          <w:highlight w:val="none"/>
          <w:u w:val="none"/>
          <w:lang w:eastAsia="zh-CN"/>
        </w:rPr>
        <w:t>）功能区划</w:t>
      </w:r>
      <w:r>
        <w:rPr>
          <w:rFonts w:hint="eastAsia" w:cs="Times New Roman"/>
          <w:bCs/>
          <w:color w:val="auto"/>
          <w:sz w:val="24"/>
          <w:szCs w:val="21"/>
          <w:highlight w:val="none"/>
          <w:u w:val="none"/>
          <w:lang w:val="en-US" w:eastAsia="zh-CN"/>
        </w:rPr>
        <w:t>拟</w:t>
      </w:r>
      <w:r>
        <w:rPr>
          <w:rFonts w:hint="eastAsia" w:ascii="Times New Roman" w:hAnsi="Times New Roman" w:cs="Times New Roman"/>
          <w:bCs/>
          <w:color w:val="auto"/>
          <w:sz w:val="24"/>
          <w:szCs w:val="21"/>
          <w:highlight w:val="none"/>
          <w:u w:val="none"/>
          <w:lang w:val="en-US" w:eastAsia="zh-CN"/>
        </w:rPr>
        <w:t>调整</w:t>
      </w:r>
      <w:r>
        <w:rPr>
          <w:rFonts w:hint="eastAsia" w:ascii="Times New Roman" w:hAnsi="Times New Roman" w:cs="Times New Roman"/>
          <w:bCs/>
          <w:color w:val="auto"/>
          <w:sz w:val="24"/>
          <w:szCs w:val="21"/>
          <w:highlight w:val="none"/>
          <w:u w:val="none"/>
          <w:lang w:eastAsia="zh-CN"/>
        </w:rPr>
        <w:t>概况</w:t>
      </w:r>
    </w:p>
    <w:p>
      <w:pPr>
        <w:pStyle w:val="65"/>
        <w:ind w:firstLine="480"/>
        <w:rPr>
          <w:rFonts w:hint="default" w:ascii="Times New Roman" w:hAnsi="Times New Roman" w:cs="Times New Roman"/>
          <w:color w:val="auto"/>
        </w:rPr>
      </w:pPr>
      <w:r>
        <w:rPr>
          <w:rFonts w:hint="default" w:ascii="Times New Roman" w:hAnsi="Times New Roman" w:cs="Times New Roman"/>
          <w:color w:val="auto"/>
        </w:rPr>
        <w:t>东洞庭湖国家级自然保护区位于长江中下游荆江江段南侧，地处湖南省东北部岳阳市境内，地理坐标为29°0′0″～29°37′45.7″N，112°43′59.5″～113°13′13.4″E之间。自然保护区北起长江湘鄂两省主航道分界线，南至磊石山，东至京广铁路，西至与南县交界。管理范围包括整个东洞庭湖水域及其近周平原岗地。</w:t>
      </w:r>
    </w:p>
    <w:p>
      <w:pPr>
        <w:pStyle w:val="65"/>
        <w:ind w:firstLine="480"/>
        <w:rPr>
          <w:rFonts w:hint="eastAsia" w:ascii="Times New Roman" w:hAnsi="Times New Roman" w:cs="Times New Roman"/>
          <w:color w:val="auto"/>
          <w:lang w:eastAsia="zh-CN"/>
        </w:rPr>
      </w:pPr>
      <w:r>
        <w:rPr>
          <w:rFonts w:hint="default" w:ascii="Times New Roman" w:hAnsi="Times New Roman" w:cs="Times New Roman"/>
          <w:color w:val="auto"/>
        </w:rPr>
        <w:t>东洞庭湖国家级自然保护区成立于1982年，1992年成为我国首批加入《国际湿地公约》的六块国际重要湿地之一，1994年经国务院批准升格为国家级自然保护区，2018年经国务院（国办函[2018]19号）批准，调整了保护区范围与功能区划。保护区划分为核心区、缓冲区和实验区，保护区面积157627公顷，其中核心区面积33286公顷，缓冲区面积32369公顷，实验区面积91972公顷。东洞庭湖是世界自然基金会（WWF）确定的全球200个生物多样性热点地区之一，湿地生物资源丰富，是东北亚迁徙候鸟重要的越冬地和栖息地。保护区有鸟类356种，其中国家一级保护的有东方白鹳、黑鹳、白鹤等18种，二级保护的64种；有维管束植物486种；鱼类117种，其中国家一级保护的有白鲟、中华鲟2种；两栖类12种，爬行类11种，哺乳类31种，其中国家一级保护2种，即江豚和目前中国最大的自然野化种群麋鹿。2021年，洞庭湖越冬水鸟创历史新高达到28.8万只，麋鹿达到200余头，已成为最大的自然野化种群和稳定的东洞庭湖亚群。长江江豚持续增加，达到120多头。候鸟的欢歌、麋鹿的倩影、江豚的微笑已成为湖南生态文明建设的新名片</w:t>
      </w:r>
      <w:r>
        <w:rPr>
          <w:rFonts w:hint="eastAsia" w:ascii="Times New Roman" w:hAnsi="Times New Roman" w:cs="Times New Roman"/>
          <w:color w:val="auto"/>
          <w:lang w:eastAsia="zh-CN"/>
        </w:rPr>
        <w:t>。</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1）规划拟调整概况</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东洞庭湖自然保护区现正在整合优化，关于湖南东洞庭湖国家级自然保护区整合优化方案情况已</w:t>
      </w:r>
      <w:r>
        <w:rPr>
          <w:rFonts w:hint="eastAsia" w:cs="Times New Roman"/>
          <w:bCs/>
          <w:color w:val="auto"/>
          <w:sz w:val="24"/>
          <w:szCs w:val="21"/>
          <w:highlight w:val="none"/>
          <w:u w:val="none"/>
          <w:lang w:val="en-US" w:eastAsia="zh-CN"/>
        </w:rPr>
        <w:t>于2023年3月</w:t>
      </w:r>
      <w:r>
        <w:rPr>
          <w:rFonts w:hint="eastAsia" w:ascii="Times New Roman" w:hAnsi="Times New Roman" w:cs="Times New Roman"/>
          <w:bCs/>
          <w:color w:val="auto"/>
          <w:sz w:val="24"/>
          <w:szCs w:val="21"/>
          <w:highlight w:val="none"/>
          <w:u w:val="none"/>
          <w:lang w:val="en-US" w:eastAsia="zh-CN"/>
        </w:rPr>
        <w:t>在岳阳市林业局网站进行公示，目前</w:t>
      </w:r>
      <w:r>
        <w:rPr>
          <w:rFonts w:hint="eastAsia" w:cs="Times New Roman"/>
          <w:bCs/>
          <w:color w:val="auto"/>
          <w:sz w:val="24"/>
          <w:szCs w:val="21"/>
          <w:highlight w:val="none"/>
          <w:u w:val="none"/>
          <w:lang w:val="en-US" w:eastAsia="zh-CN"/>
        </w:rPr>
        <w:t>整合优化方案及新的自然保护区规划正在积极编制中</w:t>
      </w:r>
      <w:r>
        <w:rPr>
          <w:rFonts w:hint="eastAsia" w:ascii="Times New Roman" w:hAnsi="Times New Roman" w:cs="Times New Roman"/>
          <w:bCs/>
          <w:color w:val="auto"/>
          <w:sz w:val="24"/>
          <w:szCs w:val="21"/>
          <w:highlight w:val="none"/>
          <w:u w:val="none"/>
          <w:lang w:val="en-US" w:eastAsia="zh-CN"/>
        </w:rPr>
        <w:t>，未正式发布。此次范围调整只涉及将部分实验区部分区域调出保护区</w:t>
      </w:r>
      <w:r>
        <w:rPr>
          <w:rFonts w:hint="eastAsia" w:cs="Times New Roman"/>
          <w:bCs/>
          <w:color w:val="auto"/>
          <w:sz w:val="24"/>
          <w:szCs w:val="21"/>
          <w:highlight w:val="none"/>
          <w:u w:val="none"/>
          <w:lang w:val="en-US" w:eastAsia="zh-CN"/>
        </w:rPr>
        <w:t>；</w:t>
      </w:r>
      <w:r>
        <w:rPr>
          <w:rFonts w:hint="eastAsia" w:ascii="Times New Roman" w:hAnsi="Times New Roman" w:cs="Times New Roman"/>
          <w:bCs/>
          <w:color w:val="auto"/>
          <w:sz w:val="24"/>
          <w:szCs w:val="21"/>
          <w:highlight w:val="none"/>
          <w:u w:val="none"/>
          <w:lang w:val="en-US" w:eastAsia="zh-CN"/>
        </w:rPr>
        <w:t>功能区调整拟将部分实验区调整为</w:t>
      </w:r>
      <w:r>
        <w:rPr>
          <w:rFonts w:hint="eastAsia" w:cs="Times New Roman"/>
          <w:bCs/>
          <w:color w:val="auto"/>
          <w:sz w:val="24"/>
          <w:szCs w:val="21"/>
          <w:highlight w:val="none"/>
          <w:u w:val="none"/>
          <w:lang w:val="en-US" w:eastAsia="zh-CN"/>
        </w:rPr>
        <w:t>一般狗控制区</w:t>
      </w:r>
      <w:r>
        <w:rPr>
          <w:rFonts w:hint="eastAsia" w:ascii="Times New Roman" w:hAnsi="Times New Roman" w:cs="Times New Roman"/>
          <w:bCs/>
          <w:color w:val="auto"/>
          <w:sz w:val="24"/>
          <w:szCs w:val="21"/>
          <w:highlight w:val="none"/>
          <w:u w:val="none"/>
          <w:lang w:val="en-US" w:eastAsia="zh-CN"/>
        </w:rPr>
        <w:t>，并将</w:t>
      </w:r>
      <w:r>
        <w:rPr>
          <w:rFonts w:hint="eastAsia" w:cs="Times New Roman"/>
          <w:bCs/>
          <w:color w:val="auto"/>
          <w:sz w:val="24"/>
          <w:szCs w:val="21"/>
          <w:highlight w:val="none"/>
          <w:u w:val="none"/>
          <w:lang w:val="en-US" w:eastAsia="zh-CN"/>
        </w:rPr>
        <w:t>原有核心区以及</w:t>
      </w:r>
      <w:r>
        <w:rPr>
          <w:rFonts w:hint="eastAsia" w:ascii="Times New Roman" w:hAnsi="Times New Roman" w:cs="Times New Roman"/>
          <w:bCs/>
          <w:color w:val="auto"/>
          <w:sz w:val="24"/>
          <w:szCs w:val="21"/>
          <w:highlight w:val="none"/>
          <w:u w:val="none"/>
          <w:lang w:val="en-US" w:eastAsia="zh-CN"/>
        </w:rPr>
        <w:t>部分缓冲区调整为</w:t>
      </w:r>
      <w:r>
        <w:rPr>
          <w:rFonts w:hint="eastAsia" w:cs="Times New Roman"/>
          <w:bCs/>
          <w:color w:val="auto"/>
          <w:sz w:val="24"/>
          <w:szCs w:val="21"/>
          <w:highlight w:val="none"/>
          <w:u w:val="none"/>
          <w:lang w:val="en-US" w:eastAsia="zh-CN"/>
        </w:rPr>
        <w:t>核心保护区</w:t>
      </w:r>
      <w:r>
        <w:rPr>
          <w:rFonts w:hint="eastAsia" w:ascii="Times New Roman" w:hAnsi="Times New Roman" w:cs="Times New Roman"/>
          <w:bCs/>
          <w:color w:val="auto"/>
          <w:sz w:val="24"/>
          <w:szCs w:val="21"/>
          <w:highlight w:val="none"/>
          <w:u w:val="none"/>
          <w:lang w:val="en-US" w:eastAsia="zh-CN"/>
        </w:rPr>
        <w:t>。</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2）调整范围</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拟将</w:t>
      </w:r>
      <w:r>
        <w:rPr>
          <w:rFonts w:hint="eastAsia" w:cs="Times New Roman"/>
          <w:bCs/>
          <w:color w:val="auto"/>
          <w:sz w:val="24"/>
          <w:szCs w:val="21"/>
          <w:highlight w:val="none"/>
          <w:u w:val="none"/>
          <w:lang w:val="en-US" w:eastAsia="zh-CN"/>
        </w:rPr>
        <w:t>部分</w:t>
      </w:r>
      <w:r>
        <w:rPr>
          <w:rFonts w:hint="eastAsia" w:ascii="Times New Roman" w:hAnsi="Times New Roman" w:cs="Times New Roman"/>
          <w:bCs/>
          <w:color w:val="auto"/>
          <w:sz w:val="24"/>
          <w:szCs w:val="21"/>
          <w:highlight w:val="none"/>
          <w:u w:val="none"/>
          <w:lang w:val="en-US" w:eastAsia="zh-CN"/>
        </w:rPr>
        <w:t>实验区地块调出自然保护区范围。由于历史原因，这些区域（详见附图）早在80年代被划入了自然保护区，被划为自然保护区的实验区进行保护管理。由于人口密集，工农业聚集，管理难度极大，基本不具各自然保护区实验区的保护意义。通过组织专家进行实地调查发现，该区域近洞庭湖大堤区域大部分为城市集镇，城区周边区域则多为平原、农田村庄。</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湖南东洞庭湖国家级自然保护区调整后范围为地理坐标在N29</w:t>
      </w:r>
      <w:r>
        <w:rPr>
          <w:rFonts w:hint="eastAsia" w:ascii="微软雅黑" w:hAnsi="微软雅黑" w:eastAsia="微软雅黑" w:cs="微软雅黑"/>
          <w:bCs/>
          <w:color w:val="auto"/>
          <w:sz w:val="24"/>
          <w:szCs w:val="21"/>
          <w:highlight w:val="none"/>
          <w:u w:val="none"/>
          <w:lang w:val="en-US" w:eastAsia="zh-CN"/>
        </w:rPr>
        <w:t>⁰</w:t>
      </w:r>
      <w:r>
        <w:rPr>
          <w:rFonts w:hint="eastAsia" w:ascii="Times New Roman" w:hAnsi="Times New Roman" w:cs="Times New Roman"/>
          <w:bCs/>
          <w:color w:val="auto"/>
          <w:sz w:val="24"/>
          <w:szCs w:val="21"/>
          <w:highlight w:val="none"/>
          <w:u w:val="none"/>
          <w:lang w:val="en-US" w:eastAsia="zh-CN"/>
        </w:rPr>
        <w:t>0'0"-29</w:t>
      </w:r>
      <w:r>
        <w:rPr>
          <w:rFonts w:hint="eastAsia" w:ascii="微软雅黑" w:hAnsi="微软雅黑" w:eastAsia="微软雅黑" w:cs="微软雅黑"/>
          <w:bCs/>
          <w:color w:val="auto"/>
          <w:sz w:val="24"/>
          <w:szCs w:val="21"/>
          <w:highlight w:val="none"/>
          <w:u w:val="none"/>
          <w:lang w:val="en-US" w:eastAsia="zh-CN"/>
        </w:rPr>
        <w:t>⁰</w:t>
      </w:r>
      <w:r>
        <w:rPr>
          <w:rFonts w:hint="eastAsia" w:ascii="Times New Roman" w:hAnsi="Times New Roman" w:cs="Times New Roman"/>
          <w:bCs/>
          <w:color w:val="auto"/>
          <w:sz w:val="24"/>
          <w:szCs w:val="21"/>
          <w:highlight w:val="none"/>
          <w:u w:val="none"/>
          <w:lang w:val="en-US" w:eastAsia="zh-CN"/>
        </w:rPr>
        <w:t>37'45.7"，E112</w:t>
      </w:r>
      <w:r>
        <w:rPr>
          <w:rFonts w:hint="eastAsia" w:ascii="微软雅黑" w:hAnsi="微软雅黑" w:eastAsia="微软雅黑" w:cs="微软雅黑"/>
          <w:bCs/>
          <w:color w:val="auto"/>
          <w:sz w:val="24"/>
          <w:szCs w:val="21"/>
          <w:highlight w:val="none"/>
          <w:u w:val="none"/>
          <w:lang w:val="en-US" w:eastAsia="zh-CN"/>
        </w:rPr>
        <w:t>⁰</w:t>
      </w:r>
      <w:r>
        <w:rPr>
          <w:rFonts w:hint="eastAsia" w:ascii="Times New Roman" w:hAnsi="Times New Roman" w:cs="Times New Roman"/>
          <w:bCs/>
          <w:color w:val="auto"/>
          <w:sz w:val="24"/>
          <w:szCs w:val="21"/>
          <w:highlight w:val="none"/>
          <w:u w:val="none"/>
          <w:lang w:val="en-US" w:eastAsia="zh-CN"/>
        </w:rPr>
        <w:t>43'59.5"-113</w:t>
      </w:r>
      <w:r>
        <w:rPr>
          <w:rFonts w:hint="eastAsia" w:ascii="微软雅黑" w:hAnsi="微软雅黑" w:eastAsia="微软雅黑" w:cs="微软雅黑"/>
          <w:bCs/>
          <w:color w:val="auto"/>
          <w:sz w:val="24"/>
          <w:szCs w:val="21"/>
          <w:highlight w:val="none"/>
          <w:u w:val="none"/>
          <w:lang w:val="en-US" w:eastAsia="zh-CN"/>
        </w:rPr>
        <w:t>⁰</w:t>
      </w:r>
      <w:r>
        <w:rPr>
          <w:rFonts w:hint="eastAsia" w:ascii="Times New Roman" w:hAnsi="Times New Roman" w:cs="Times New Roman"/>
          <w:bCs/>
          <w:color w:val="auto"/>
          <w:sz w:val="24"/>
          <w:szCs w:val="21"/>
          <w:highlight w:val="none"/>
          <w:u w:val="none"/>
          <w:lang w:val="en-US" w:eastAsia="zh-CN"/>
        </w:rPr>
        <w:t>13'13.4"之间，自然保护区北起长江湘鄂两省主航道分界线，南至汨罗磊石山，东至京广铁路，西与南县交界。东西宽约50公里，南北长70公里，总面积</w:t>
      </w:r>
      <w:r>
        <w:rPr>
          <w:rFonts w:hint="eastAsia" w:cs="Times New Roman"/>
          <w:bCs/>
          <w:color w:val="auto"/>
          <w:sz w:val="24"/>
          <w:szCs w:val="21"/>
          <w:highlight w:val="none"/>
          <w:u w:val="none"/>
          <w:lang w:val="en-US" w:eastAsia="zh-CN"/>
        </w:rPr>
        <w:t>101152.28</w:t>
      </w:r>
      <w:r>
        <w:rPr>
          <w:rFonts w:hint="eastAsia" w:ascii="Times New Roman" w:hAnsi="Times New Roman" w:cs="Times New Roman"/>
          <w:bCs/>
          <w:color w:val="auto"/>
          <w:sz w:val="24"/>
          <w:szCs w:val="21"/>
          <w:highlight w:val="none"/>
          <w:u w:val="none"/>
          <w:lang w:val="en-US" w:eastAsia="zh-CN"/>
        </w:rPr>
        <w:t>公顷，东洞庭湖自然保护区方案调整后，本项目正好处于</w:t>
      </w:r>
      <w:r>
        <w:rPr>
          <w:rFonts w:hint="eastAsia" w:cs="Times New Roman"/>
          <w:bCs/>
          <w:color w:val="auto"/>
          <w:sz w:val="24"/>
          <w:szCs w:val="21"/>
          <w:highlight w:val="none"/>
          <w:u w:val="none"/>
          <w:lang w:val="en-US" w:eastAsia="zh-CN"/>
        </w:rPr>
        <w:t>湖南东洞庭湖自然保护区一般控制区</w:t>
      </w:r>
      <w:r>
        <w:rPr>
          <w:rFonts w:hint="eastAsia" w:ascii="Times New Roman" w:hAnsi="Times New Roman" w:cs="Times New Roman"/>
          <w:bCs/>
          <w:color w:val="auto"/>
          <w:sz w:val="24"/>
          <w:szCs w:val="21"/>
          <w:highlight w:val="none"/>
          <w:u w:val="none"/>
          <w:lang w:val="en-US" w:eastAsia="zh-CN"/>
        </w:rPr>
        <w:t>边界之外（距离</w:t>
      </w:r>
      <w:r>
        <w:rPr>
          <w:rFonts w:hint="eastAsia" w:cs="Times New Roman"/>
          <w:bCs/>
          <w:color w:val="auto"/>
          <w:sz w:val="24"/>
          <w:szCs w:val="21"/>
          <w:highlight w:val="none"/>
          <w:u w:val="none"/>
          <w:lang w:val="en-US" w:eastAsia="zh-CN"/>
        </w:rPr>
        <w:t>湖南东洞庭湖国家级自然保护区</w:t>
      </w:r>
      <w:r>
        <w:rPr>
          <w:rFonts w:hint="eastAsia" w:ascii="Times New Roman" w:hAnsi="Times New Roman" w:cs="Times New Roman"/>
          <w:bCs/>
          <w:color w:val="auto"/>
          <w:sz w:val="24"/>
          <w:szCs w:val="21"/>
          <w:highlight w:val="none"/>
          <w:u w:val="none"/>
          <w:lang w:val="en-US" w:eastAsia="zh-CN"/>
        </w:rPr>
        <w:t>约1.</w:t>
      </w:r>
      <w:r>
        <w:rPr>
          <w:rFonts w:hint="eastAsia" w:cs="Times New Roman"/>
          <w:bCs/>
          <w:color w:val="auto"/>
          <w:sz w:val="24"/>
          <w:szCs w:val="21"/>
          <w:highlight w:val="none"/>
          <w:u w:val="none"/>
          <w:lang w:val="en-US" w:eastAsia="zh-CN"/>
        </w:rPr>
        <w:t>5</w:t>
      </w:r>
      <w:r>
        <w:rPr>
          <w:rFonts w:hint="eastAsia" w:ascii="Times New Roman" w:hAnsi="Times New Roman" w:cs="Times New Roman"/>
          <w:bCs/>
          <w:color w:val="auto"/>
          <w:sz w:val="24"/>
          <w:szCs w:val="21"/>
          <w:highlight w:val="none"/>
          <w:u w:val="none"/>
          <w:lang w:val="en-US" w:eastAsia="zh-CN"/>
        </w:rPr>
        <w:t>km），由于调整规划目前仍</w:t>
      </w:r>
      <w:r>
        <w:rPr>
          <w:rFonts w:hint="eastAsia" w:cs="Times New Roman"/>
          <w:bCs/>
          <w:color w:val="auto"/>
          <w:sz w:val="24"/>
          <w:szCs w:val="21"/>
          <w:highlight w:val="none"/>
          <w:u w:val="none"/>
          <w:lang w:val="en-US" w:eastAsia="zh-CN"/>
        </w:rPr>
        <w:t>未正式发布</w:t>
      </w:r>
      <w:r>
        <w:rPr>
          <w:rFonts w:hint="eastAsia" w:ascii="Times New Roman" w:hAnsi="Times New Roman" w:cs="Times New Roman"/>
          <w:bCs/>
          <w:color w:val="auto"/>
          <w:sz w:val="24"/>
          <w:szCs w:val="21"/>
          <w:highlight w:val="none"/>
          <w:u w:val="none"/>
          <w:lang w:val="en-US" w:eastAsia="zh-CN"/>
        </w:rPr>
        <w:t>，故本报告仍以原有功能区划为准。</w:t>
      </w:r>
    </w:p>
    <w:p>
      <w:pPr>
        <w:pStyle w:val="66"/>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表3-3 湖南东洞庭湖国家级自然保护区整合优化方案拟调整基本情况</w:t>
      </w:r>
    </w:p>
    <w:tbl>
      <w:tblPr>
        <w:tblStyle w:val="22"/>
        <w:tblW w:w="0" w:type="auto"/>
        <w:tblInd w:w="4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 w:type="dxa"/>
          <w:bottom w:w="0" w:type="dxa"/>
          <w:right w:w="10" w:type="dxa"/>
        </w:tblCellMar>
      </w:tblPr>
      <w:tblGrid>
        <w:gridCol w:w="616"/>
        <w:gridCol w:w="1233"/>
        <w:gridCol w:w="797"/>
        <w:gridCol w:w="461"/>
        <w:gridCol w:w="2899"/>
        <w:gridCol w:w="1300"/>
        <w:gridCol w:w="98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1040" w:hRule="atLeast"/>
        </w:trPr>
        <w:tc>
          <w:tcPr>
            <w:tcW w:w="616" w:type="dxa"/>
            <w:tcBorders>
              <w:tl2br w:val="nil"/>
              <w:tr2bl w:val="nil"/>
            </w:tcBorders>
            <w:vAlign w:val="center"/>
          </w:tcPr>
          <w:p>
            <w:pPr>
              <w:pStyle w:val="67"/>
              <w:jc w:val="center"/>
              <w:rPr>
                <w:rFonts w:hint="eastAsia" w:ascii="Times New Roman" w:hAnsi="Times New Roman" w:cs="Times New Roman"/>
                <w:color w:val="auto"/>
              </w:rPr>
            </w:pPr>
            <w:r>
              <w:rPr>
                <w:rFonts w:hint="eastAsia" w:ascii="Times New Roman" w:hAnsi="Times New Roman" w:cs="Times New Roman"/>
                <w:color w:val="auto"/>
              </w:rPr>
              <w:t>保护区名称</w:t>
            </w:r>
          </w:p>
        </w:tc>
        <w:tc>
          <w:tcPr>
            <w:tcW w:w="1233" w:type="dxa"/>
            <w:tcBorders>
              <w:tl2br w:val="nil"/>
              <w:tr2bl w:val="nil"/>
            </w:tcBorders>
            <w:vAlign w:val="center"/>
          </w:tcPr>
          <w:p>
            <w:pPr>
              <w:pStyle w:val="67"/>
              <w:jc w:val="center"/>
              <w:rPr>
                <w:rFonts w:hint="eastAsia" w:ascii="Times New Roman" w:hAnsi="Times New Roman" w:cs="Times New Roman"/>
                <w:color w:val="auto"/>
              </w:rPr>
            </w:pPr>
            <w:r>
              <w:rPr>
                <w:rFonts w:hint="eastAsia" w:ascii="Times New Roman" w:hAnsi="Times New Roman" w:cs="Times New Roman"/>
                <w:color w:val="auto"/>
              </w:rPr>
              <w:t>所在行政区域及地理坐标</w:t>
            </w:r>
          </w:p>
        </w:tc>
        <w:tc>
          <w:tcPr>
            <w:tcW w:w="797" w:type="dxa"/>
            <w:tcBorders>
              <w:tl2br w:val="nil"/>
              <w:tr2bl w:val="nil"/>
            </w:tcBorders>
            <w:vAlign w:val="center"/>
          </w:tcPr>
          <w:p>
            <w:pPr>
              <w:pStyle w:val="67"/>
              <w:jc w:val="center"/>
              <w:rPr>
                <w:rFonts w:hint="eastAsia" w:ascii="Times New Roman" w:hAnsi="Times New Roman" w:cs="Times New Roman"/>
                <w:color w:val="auto"/>
              </w:rPr>
            </w:pPr>
            <w:r>
              <w:rPr>
                <w:rFonts w:hint="eastAsia" w:ascii="Times New Roman" w:hAnsi="Times New Roman" w:cs="Times New Roman"/>
                <w:color w:val="auto"/>
              </w:rPr>
              <w:t>主要保护对象</w:t>
            </w:r>
          </w:p>
        </w:tc>
        <w:tc>
          <w:tcPr>
            <w:tcW w:w="461" w:type="dxa"/>
            <w:tcBorders>
              <w:tl2br w:val="nil"/>
              <w:tr2bl w:val="nil"/>
            </w:tcBorders>
            <w:vAlign w:val="center"/>
          </w:tcPr>
          <w:p>
            <w:pPr>
              <w:pStyle w:val="67"/>
              <w:jc w:val="center"/>
              <w:rPr>
                <w:rFonts w:hint="eastAsia" w:ascii="Times New Roman" w:hAnsi="Times New Roman" w:cs="Times New Roman"/>
                <w:color w:val="auto"/>
              </w:rPr>
            </w:pPr>
            <w:r>
              <w:rPr>
                <w:rFonts w:hint="eastAsia" w:ascii="Times New Roman" w:hAnsi="Times New Roman" w:cs="Times New Roman"/>
                <w:color w:val="auto"/>
              </w:rPr>
              <w:t>调整类型</w:t>
            </w:r>
          </w:p>
        </w:tc>
        <w:tc>
          <w:tcPr>
            <w:tcW w:w="2899" w:type="dxa"/>
            <w:tcBorders>
              <w:tl2br w:val="nil"/>
              <w:tr2bl w:val="nil"/>
            </w:tcBorders>
            <w:vAlign w:val="center"/>
          </w:tcPr>
          <w:p>
            <w:pPr>
              <w:pStyle w:val="67"/>
              <w:jc w:val="center"/>
              <w:rPr>
                <w:rFonts w:hint="eastAsia" w:ascii="Times New Roman" w:hAnsi="Times New Roman" w:cs="Times New Roman"/>
                <w:color w:val="auto"/>
              </w:rPr>
            </w:pPr>
            <w:r>
              <w:rPr>
                <w:rFonts w:hint="eastAsia" w:ascii="Times New Roman" w:hAnsi="Times New Roman" w:cs="Times New Roman"/>
                <w:color w:val="auto"/>
              </w:rPr>
              <w:t>调整理由</w:t>
            </w:r>
          </w:p>
        </w:tc>
        <w:tc>
          <w:tcPr>
            <w:tcW w:w="1300" w:type="dxa"/>
            <w:tcBorders>
              <w:tl2br w:val="nil"/>
              <w:tr2bl w:val="nil"/>
            </w:tcBorders>
            <w:vAlign w:val="center"/>
          </w:tcPr>
          <w:p>
            <w:pPr>
              <w:pStyle w:val="67"/>
              <w:jc w:val="center"/>
              <w:rPr>
                <w:rFonts w:hint="eastAsia" w:ascii="Times New Roman" w:hAnsi="Times New Roman" w:cs="Times New Roman"/>
                <w:color w:val="auto"/>
              </w:rPr>
            </w:pPr>
            <w:r>
              <w:rPr>
                <w:rFonts w:hint="eastAsia" w:ascii="Times New Roman" w:hAnsi="Times New Roman" w:cs="Times New Roman"/>
                <w:color w:val="auto"/>
              </w:rPr>
              <w:t>调整前面积</w:t>
            </w:r>
          </w:p>
        </w:tc>
        <w:tc>
          <w:tcPr>
            <w:tcW w:w="980" w:type="dxa"/>
            <w:tcBorders>
              <w:tl2br w:val="nil"/>
              <w:tr2bl w:val="nil"/>
            </w:tcBorders>
            <w:vAlign w:val="center"/>
          </w:tcPr>
          <w:p>
            <w:pPr>
              <w:pStyle w:val="67"/>
              <w:jc w:val="center"/>
              <w:rPr>
                <w:rFonts w:hint="eastAsia" w:ascii="Times New Roman" w:hAnsi="Times New Roman" w:cs="Times New Roman"/>
                <w:color w:val="auto"/>
              </w:rPr>
            </w:pPr>
            <w:r>
              <w:rPr>
                <w:rFonts w:hint="eastAsia" w:ascii="Times New Roman" w:hAnsi="Times New Roman" w:cs="Times New Roman"/>
                <w:color w:val="auto"/>
              </w:rPr>
              <w:t>调整后面积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800" w:hRule="atLeast"/>
        </w:trPr>
        <w:tc>
          <w:tcPr>
            <w:tcW w:w="616" w:type="dxa"/>
            <w:tcBorders>
              <w:tl2br w:val="nil"/>
              <w:tr2bl w:val="nil"/>
            </w:tcBorders>
            <w:vAlign w:val="center"/>
          </w:tcPr>
          <w:p>
            <w:pPr>
              <w:pStyle w:val="67"/>
              <w:jc w:val="center"/>
              <w:rPr>
                <w:rFonts w:hint="eastAsia" w:ascii="Times New Roman" w:hAnsi="Times New Roman" w:cs="Times New Roman"/>
                <w:color w:val="auto"/>
              </w:rPr>
            </w:pPr>
          </w:p>
          <w:p>
            <w:pPr>
              <w:pStyle w:val="67"/>
              <w:jc w:val="center"/>
              <w:rPr>
                <w:rFonts w:hint="eastAsia" w:ascii="Times New Roman" w:hAnsi="Times New Roman" w:cs="Times New Roman"/>
                <w:color w:val="auto"/>
              </w:rPr>
            </w:pPr>
          </w:p>
          <w:p>
            <w:pPr>
              <w:pStyle w:val="67"/>
              <w:jc w:val="center"/>
              <w:rPr>
                <w:rFonts w:hint="eastAsia" w:ascii="Times New Roman" w:hAnsi="Times New Roman" w:cs="Times New Roman"/>
                <w:color w:val="auto"/>
              </w:rPr>
            </w:pPr>
          </w:p>
          <w:p>
            <w:pPr>
              <w:pStyle w:val="67"/>
              <w:jc w:val="center"/>
              <w:rPr>
                <w:rFonts w:hint="eastAsia" w:ascii="Times New Roman" w:hAnsi="Times New Roman" w:cs="Times New Roman"/>
                <w:color w:val="auto"/>
              </w:rPr>
            </w:pPr>
          </w:p>
          <w:p>
            <w:pPr>
              <w:pStyle w:val="67"/>
              <w:jc w:val="center"/>
              <w:rPr>
                <w:rFonts w:hint="eastAsia" w:ascii="Times New Roman" w:hAnsi="Times New Roman" w:cs="Times New Roman"/>
                <w:color w:val="auto"/>
              </w:rPr>
            </w:pPr>
          </w:p>
          <w:p>
            <w:pPr>
              <w:pStyle w:val="67"/>
              <w:jc w:val="center"/>
              <w:rPr>
                <w:rFonts w:hint="eastAsia" w:ascii="Times New Roman" w:hAnsi="Times New Roman" w:cs="Times New Roman"/>
                <w:color w:val="auto"/>
              </w:rPr>
            </w:pPr>
            <w:r>
              <w:rPr>
                <w:rFonts w:hint="eastAsia" w:ascii="Times New Roman" w:hAnsi="Times New Roman" w:cs="Times New Roman"/>
                <w:color w:val="auto"/>
              </w:rPr>
              <w:t>湖南东洞庭湖国家级自然保护区</w:t>
            </w:r>
          </w:p>
        </w:tc>
        <w:tc>
          <w:tcPr>
            <w:tcW w:w="1233" w:type="dxa"/>
            <w:tcBorders>
              <w:tl2br w:val="nil"/>
              <w:tr2bl w:val="nil"/>
            </w:tcBorders>
            <w:vAlign w:val="center"/>
          </w:tcPr>
          <w:p>
            <w:pPr>
              <w:pStyle w:val="67"/>
              <w:jc w:val="center"/>
              <w:rPr>
                <w:rFonts w:hint="eastAsia" w:ascii="Times New Roman" w:hAnsi="Times New Roman" w:cs="Times New Roman"/>
                <w:color w:val="auto"/>
              </w:rPr>
            </w:pPr>
          </w:p>
          <w:p>
            <w:pPr>
              <w:pStyle w:val="67"/>
              <w:jc w:val="center"/>
              <w:rPr>
                <w:rFonts w:hint="eastAsia" w:ascii="Times New Roman" w:hAnsi="Times New Roman" w:cs="Times New Roman"/>
                <w:color w:val="auto"/>
              </w:rPr>
            </w:pPr>
          </w:p>
          <w:p>
            <w:pPr>
              <w:pStyle w:val="67"/>
              <w:jc w:val="center"/>
              <w:rPr>
                <w:rFonts w:hint="eastAsia" w:ascii="Times New Roman" w:hAnsi="Times New Roman" w:cs="Times New Roman"/>
                <w:color w:val="auto"/>
              </w:rPr>
            </w:pPr>
          </w:p>
          <w:p>
            <w:pPr>
              <w:pStyle w:val="67"/>
              <w:jc w:val="center"/>
              <w:rPr>
                <w:rFonts w:hint="default" w:ascii="Times New Roman" w:hAnsi="Times New Roman" w:cs="Times New Roman"/>
                <w:color w:val="auto"/>
              </w:rPr>
            </w:pPr>
            <w:r>
              <w:rPr>
                <w:rFonts w:hint="eastAsia" w:ascii="Times New Roman" w:hAnsi="Times New Roman" w:cs="Times New Roman"/>
                <w:color w:val="auto"/>
              </w:rPr>
              <w:t>岳阳市岳阳楼区、君山区、云溪区、华容县、岳阳县、汨罗市。112</w:t>
            </w:r>
            <w:r>
              <w:rPr>
                <w:rFonts w:hint="default" w:ascii="Times New Roman" w:hAnsi="Times New Roman" w:cs="Times New Roman"/>
                <w:color w:val="auto"/>
              </w:rPr>
              <w:t>° 42'55”</w:t>
            </w:r>
            <w:r>
              <w:rPr>
                <w:rFonts w:hint="eastAsia" w:ascii="Times New Roman" w:hAnsi="Times New Roman" w:cs="Times New Roman"/>
                <w:color w:val="auto"/>
                <w:lang w:val="en-US" w:eastAsia="zh-CN"/>
              </w:rPr>
              <w:t xml:space="preserve"> </w:t>
            </w:r>
            <w:r>
              <w:rPr>
                <w:rFonts w:hint="default" w:ascii="Times New Roman" w:hAnsi="Times New Roman" w:cs="Times New Roman"/>
                <w:color w:val="auto"/>
              </w:rPr>
              <w:t>~113°13' 6"E.28° 59' 58"~29° 37'40"</w:t>
            </w:r>
          </w:p>
          <w:p>
            <w:pPr>
              <w:pStyle w:val="67"/>
              <w:jc w:val="center"/>
              <w:rPr>
                <w:rFonts w:hint="eastAsia" w:ascii="Times New Roman" w:hAnsi="Times New Roman" w:cs="Times New Roman"/>
                <w:color w:val="auto"/>
              </w:rPr>
            </w:pPr>
            <w:r>
              <w:rPr>
                <w:rFonts w:hint="default" w:ascii="Times New Roman" w:hAnsi="Times New Roman" w:cs="Times New Roman"/>
                <w:color w:val="auto"/>
              </w:rPr>
              <w:t>N.</w:t>
            </w:r>
          </w:p>
        </w:tc>
        <w:tc>
          <w:tcPr>
            <w:tcW w:w="797" w:type="dxa"/>
            <w:tcBorders>
              <w:tl2br w:val="nil"/>
              <w:tr2bl w:val="nil"/>
            </w:tcBorders>
            <w:vAlign w:val="center"/>
          </w:tcPr>
          <w:p>
            <w:pPr>
              <w:pStyle w:val="67"/>
              <w:jc w:val="center"/>
              <w:rPr>
                <w:rFonts w:hint="eastAsia" w:ascii="Times New Roman" w:hAnsi="Times New Roman" w:cs="Times New Roman"/>
                <w:color w:val="auto"/>
              </w:rPr>
            </w:pPr>
            <w:r>
              <w:rPr>
                <w:rFonts w:hint="eastAsia" w:ascii="Times New Roman" w:hAnsi="Times New Roman" w:cs="Times New Roman"/>
                <w:color w:val="auto"/>
              </w:rPr>
              <w:t>湖南东洞庭湖国家级自然保护区主要保护对象为白鹤、白头鹤、东方白鹤、黑鹤等越冬候乌和麋鹿、江豚、中华秋沙鸭等珍稀濒危野生动</w:t>
            </w:r>
          </w:p>
          <w:p>
            <w:pPr>
              <w:pStyle w:val="67"/>
              <w:jc w:val="center"/>
              <w:rPr>
                <w:rFonts w:hint="eastAsia" w:ascii="Times New Roman" w:hAnsi="Times New Roman" w:cs="Times New Roman"/>
                <w:color w:val="auto"/>
              </w:rPr>
            </w:pPr>
            <w:r>
              <w:rPr>
                <w:rFonts w:hint="eastAsia" w:ascii="Times New Roman" w:hAnsi="Times New Roman" w:cs="Times New Roman"/>
                <w:color w:val="auto"/>
              </w:rPr>
              <w:t>物及洞庭湖湿地生态系统和生物多样性</w:t>
            </w:r>
          </w:p>
        </w:tc>
        <w:tc>
          <w:tcPr>
            <w:tcW w:w="461" w:type="dxa"/>
            <w:tcBorders>
              <w:tl2br w:val="nil"/>
              <w:tr2bl w:val="nil"/>
            </w:tcBorders>
            <w:vAlign w:val="center"/>
          </w:tcPr>
          <w:p>
            <w:pPr>
              <w:pStyle w:val="67"/>
              <w:jc w:val="center"/>
              <w:rPr>
                <w:rFonts w:hint="eastAsia" w:ascii="Times New Roman" w:hAnsi="Times New Roman" w:cs="Times New Roman"/>
                <w:color w:val="auto"/>
              </w:rPr>
            </w:pPr>
          </w:p>
          <w:p>
            <w:pPr>
              <w:pStyle w:val="67"/>
              <w:jc w:val="center"/>
              <w:rPr>
                <w:rFonts w:hint="eastAsia" w:ascii="Times New Roman" w:hAnsi="Times New Roman" w:cs="Times New Roman"/>
                <w:color w:val="auto"/>
              </w:rPr>
            </w:pPr>
          </w:p>
          <w:p>
            <w:pPr>
              <w:pStyle w:val="67"/>
              <w:jc w:val="center"/>
              <w:rPr>
                <w:rFonts w:hint="eastAsia" w:ascii="Times New Roman" w:hAnsi="Times New Roman" w:cs="Times New Roman"/>
                <w:color w:val="auto"/>
              </w:rPr>
            </w:pPr>
          </w:p>
          <w:p>
            <w:pPr>
              <w:pStyle w:val="67"/>
              <w:jc w:val="center"/>
              <w:rPr>
                <w:rFonts w:hint="eastAsia" w:ascii="Times New Roman" w:hAnsi="Times New Roman" w:cs="Times New Roman"/>
                <w:color w:val="auto"/>
              </w:rPr>
            </w:pPr>
          </w:p>
          <w:p>
            <w:pPr>
              <w:pStyle w:val="67"/>
              <w:jc w:val="center"/>
              <w:rPr>
                <w:rFonts w:hint="eastAsia" w:ascii="Times New Roman" w:hAnsi="Times New Roman" w:cs="Times New Roman"/>
                <w:color w:val="auto"/>
              </w:rPr>
            </w:pPr>
          </w:p>
          <w:p>
            <w:pPr>
              <w:pStyle w:val="67"/>
              <w:jc w:val="center"/>
              <w:rPr>
                <w:rFonts w:hint="eastAsia" w:ascii="Times New Roman" w:hAnsi="Times New Roman" w:cs="Times New Roman"/>
                <w:color w:val="auto"/>
              </w:rPr>
            </w:pPr>
          </w:p>
          <w:p>
            <w:pPr>
              <w:pStyle w:val="67"/>
              <w:jc w:val="center"/>
              <w:rPr>
                <w:rFonts w:hint="eastAsia" w:ascii="Times New Roman" w:hAnsi="Times New Roman" w:cs="Times New Roman"/>
                <w:color w:val="auto"/>
              </w:rPr>
            </w:pPr>
            <w:r>
              <w:rPr>
                <w:rFonts w:hint="eastAsia" w:ascii="Times New Roman" w:hAnsi="Times New Roman" w:cs="Times New Roman"/>
                <w:color w:val="auto"/>
              </w:rPr>
              <w:t>范围和功能区</w:t>
            </w:r>
          </w:p>
          <w:p>
            <w:pPr>
              <w:pStyle w:val="67"/>
              <w:jc w:val="center"/>
              <w:rPr>
                <w:rFonts w:hint="eastAsia" w:ascii="Times New Roman" w:hAnsi="Times New Roman" w:cs="Times New Roman"/>
                <w:color w:val="auto"/>
              </w:rPr>
            </w:pPr>
            <w:r>
              <w:rPr>
                <w:rFonts w:hint="eastAsia" w:ascii="Times New Roman" w:hAnsi="Times New Roman" w:cs="Times New Roman"/>
                <w:color w:val="auto"/>
              </w:rPr>
              <w:t>调整</w:t>
            </w:r>
          </w:p>
        </w:tc>
        <w:tc>
          <w:tcPr>
            <w:tcW w:w="2899" w:type="dxa"/>
            <w:tcBorders>
              <w:tl2br w:val="nil"/>
              <w:tr2bl w:val="nil"/>
            </w:tcBorders>
            <w:vAlign w:val="center"/>
          </w:tcPr>
          <w:p>
            <w:pPr>
              <w:pStyle w:val="67"/>
              <w:jc w:val="center"/>
              <w:rPr>
                <w:rFonts w:hint="eastAsia" w:ascii="Times New Roman" w:hAnsi="Times New Roman" w:cs="Times New Roman"/>
                <w:color w:val="auto"/>
              </w:rPr>
            </w:pPr>
            <w:r>
              <w:rPr>
                <w:rFonts w:hint="eastAsia" w:ascii="Times New Roman" w:hAnsi="Times New Roman" w:cs="Times New Roman"/>
                <w:color w:val="auto"/>
              </w:rPr>
              <w:t>根据“中办发〔2019〕42号”“自然资函〔2020〕71号”“湘林保〔2020〕16号”等相关政策文件，要求开展自然保护地整合优化工作，合理确定自然保护地类型和功能定位，优化边界范围和功能分区，重点解决自然保护地空间重叠、边界不清、权责不明、保护与发展矛盾突出等问题。</w:t>
            </w:r>
          </w:p>
          <w:p>
            <w:pPr>
              <w:pStyle w:val="67"/>
              <w:jc w:val="center"/>
              <w:rPr>
                <w:rFonts w:hint="eastAsia" w:ascii="Times New Roman" w:hAnsi="Times New Roman" w:cs="Times New Roman"/>
                <w:color w:val="auto"/>
              </w:rPr>
            </w:pPr>
            <w:r>
              <w:rPr>
                <w:rFonts w:hint="eastAsia" w:ascii="Times New Roman" w:hAnsi="Times New Roman" w:cs="Times New Roman"/>
                <w:color w:val="auto"/>
              </w:rPr>
              <w:t>一是因湖南东洞庭湖国家级自然保护区与岳阳楼-东洞庭湖风景名胜区存在大量交叉重叠部分，为加强人文景观资源的保护，将其保留为风景风景名胜区，二是在设立之初，自然保护区划入了大量城镇建成区、村庄及永久基本农田，为有效解决历史遗留问题，促进自然保护区与社区和谐发展，将其调出自然保护区范围.</w:t>
            </w:r>
          </w:p>
        </w:tc>
        <w:tc>
          <w:tcPr>
            <w:tcW w:w="1300" w:type="dxa"/>
            <w:tcBorders>
              <w:tl2br w:val="nil"/>
              <w:tr2bl w:val="nil"/>
            </w:tcBorders>
            <w:vAlign w:val="center"/>
          </w:tcPr>
          <w:p>
            <w:pPr>
              <w:pStyle w:val="67"/>
              <w:jc w:val="center"/>
              <w:rPr>
                <w:rFonts w:hint="eastAsia" w:ascii="Times New Roman" w:hAnsi="Times New Roman" w:cs="Times New Roman"/>
                <w:color w:val="auto"/>
              </w:rPr>
            </w:pPr>
            <w:r>
              <w:rPr>
                <w:rFonts w:hint="eastAsia" w:ascii="Times New Roman" w:hAnsi="Times New Roman" w:cs="Times New Roman"/>
                <w:color w:val="auto"/>
              </w:rPr>
              <w:t>批复总面积</w:t>
            </w:r>
          </w:p>
          <w:p>
            <w:pPr>
              <w:pStyle w:val="67"/>
              <w:jc w:val="center"/>
              <w:rPr>
                <w:rFonts w:hint="eastAsia" w:ascii="Times New Roman" w:hAnsi="Times New Roman" w:cs="Times New Roman"/>
                <w:color w:val="auto"/>
              </w:rPr>
            </w:pPr>
            <w:r>
              <w:rPr>
                <w:rFonts w:hint="eastAsia" w:ascii="Times New Roman" w:hAnsi="Times New Roman" w:cs="Times New Roman"/>
                <w:color w:val="auto"/>
              </w:rPr>
              <w:t>157627.00公顷，落图总面积157534.30公顷.其中核心区批复面积33286.20公顷，落图面积</w:t>
            </w:r>
          </w:p>
          <w:p>
            <w:pPr>
              <w:pStyle w:val="67"/>
              <w:jc w:val="center"/>
              <w:rPr>
                <w:rFonts w:hint="eastAsia" w:ascii="Times New Roman" w:hAnsi="Times New Roman" w:cs="Times New Roman"/>
                <w:color w:val="auto"/>
              </w:rPr>
            </w:pPr>
            <w:r>
              <w:rPr>
                <w:rFonts w:hint="eastAsia" w:ascii="Times New Roman" w:hAnsi="Times New Roman" w:cs="Times New Roman"/>
                <w:color w:val="auto"/>
              </w:rPr>
              <w:t>33247.96公顷：缓冲区批复面积32369.80公顷，落图面积32456.51公顷：</w:t>
            </w:r>
          </w:p>
          <w:p>
            <w:pPr>
              <w:pStyle w:val="67"/>
              <w:jc w:val="center"/>
              <w:rPr>
                <w:rFonts w:hint="eastAsia" w:ascii="Times New Roman" w:hAnsi="Times New Roman" w:cs="Times New Roman"/>
                <w:color w:val="auto"/>
              </w:rPr>
            </w:pPr>
            <w:r>
              <w:rPr>
                <w:rFonts w:hint="eastAsia" w:ascii="Times New Roman" w:hAnsi="Times New Roman" w:cs="Times New Roman"/>
                <w:color w:val="auto"/>
              </w:rPr>
              <w:t>实验区批复面积91972.00公顷，落图面积9182983公顷</w:t>
            </w:r>
          </w:p>
        </w:tc>
        <w:tc>
          <w:tcPr>
            <w:tcW w:w="980" w:type="dxa"/>
            <w:tcBorders>
              <w:tl2br w:val="nil"/>
              <w:tr2bl w:val="nil"/>
            </w:tcBorders>
            <w:vAlign w:val="center"/>
          </w:tcPr>
          <w:p>
            <w:pPr>
              <w:pStyle w:val="67"/>
              <w:jc w:val="center"/>
              <w:rPr>
                <w:rFonts w:hint="eastAsia" w:ascii="Times New Roman" w:hAnsi="Times New Roman" w:cs="Times New Roman"/>
                <w:color w:val="auto"/>
              </w:rPr>
            </w:pPr>
            <w:r>
              <w:rPr>
                <w:rFonts w:hint="eastAsia" w:ascii="Times New Roman" w:hAnsi="Times New Roman" w:cs="Times New Roman"/>
                <w:color w:val="auto"/>
              </w:rPr>
              <w:t>总面积</w:t>
            </w:r>
          </w:p>
          <w:p>
            <w:pPr>
              <w:pStyle w:val="67"/>
              <w:jc w:val="center"/>
              <w:rPr>
                <w:rFonts w:hint="eastAsia" w:ascii="Times New Roman" w:hAnsi="Times New Roman" w:cs="Times New Roman"/>
                <w:color w:val="auto"/>
              </w:rPr>
            </w:pPr>
            <w:r>
              <w:rPr>
                <w:rFonts w:hint="eastAsia" w:ascii="Times New Roman" w:hAnsi="Times New Roman" w:cs="Times New Roman"/>
                <w:color w:val="auto"/>
              </w:rPr>
              <w:t>101152.28公顷其中：核心保护区面积68055.08公</w:t>
            </w:r>
          </w:p>
          <w:p>
            <w:pPr>
              <w:pStyle w:val="67"/>
              <w:jc w:val="center"/>
              <w:rPr>
                <w:rFonts w:hint="eastAsia" w:ascii="Times New Roman" w:hAnsi="Times New Roman" w:cs="Times New Roman"/>
                <w:color w:val="auto"/>
              </w:rPr>
            </w:pPr>
            <w:r>
              <w:rPr>
                <w:rFonts w:hint="eastAsia" w:ascii="Times New Roman" w:hAnsi="Times New Roman" w:cs="Times New Roman"/>
                <w:color w:val="auto"/>
              </w:rPr>
              <w:t>顷，一般控制区面积33097.21公</w:t>
            </w:r>
          </w:p>
          <w:p>
            <w:pPr>
              <w:pStyle w:val="67"/>
              <w:jc w:val="center"/>
              <w:rPr>
                <w:rFonts w:hint="eastAsia" w:ascii="Times New Roman" w:hAnsi="Times New Roman" w:cs="Times New Roman"/>
                <w:color w:val="auto"/>
              </w:rPr>
            </w:pPr>
            <w:r>
              <w:rPr>
                <w:rFonts w:hint="eastAsia" w:ascii="Times New Roman" w:hAnsi="Times New Roman" w:cs="Times New Roman"/>
                <w:color w:val="auto"/>
              </w:rPr>
              <w:t>顷.</w:t>
            </w:r>
          </w:p>
        </w:tc>
      </w:tr>
    </w:tbl>
    <w:p>
      <w:pPr>
        <w:pStyle w:val="53"/>
        <w:adjustRightInd w:val="0"/>
        <w:snapToGrid w:val="0"/>
        <w:spacing w:line="360" w:lineRule="auto"/>
        <w:ind w:left="0" w:leftChars="0" w:firstLine="0" w:firstLineChars="0"/>
        <w:rPr>
          <w:rFonts w:hint="default" w:ascii="Times New Roman" w:hAnsi="Times New Roman" w:cs="Times New Roman"/>
          <w:b/>
          <w:color w:val="auto"/>
          <w:sz w:val="24"/>
          <w:szCs w:val="21"/>
          <w:lang w:val="en-US" w:eastAsia="zh-CN"/>
        </w:rPr>
      </w:pPr>
      <w:r>
        <w:rPr>
          <w:rFonts w:hint="eastAsia" w:ascii="Times New Roman" w:hAnsi="Times New Roman" w:cs="Times New Roman"/>
          <w:b/>
          <w:color w:val="auto"/>
          <w:sz w:val="24"/>
          <w:szCs w:val="21"/>
          <w:lang w:val="en-US" w:eastAsia="zh-CN"/>
        </w:rPr>
        <w:t>3.3.2保护区内生态系统</w:t>
      </w:r>
    </w:p>
    <w:p>
      <w:pPr>
        <w:pStyle w:val="65"/>
        <w:ind w:firstLine="480"/>
        <w:rPr>
          <w:rFonts w:hint="default" w:ascii="Times New Roman" w:hAnsi="Times New Roman" w:cs="Times New Roman"/>
          <w:color w:val="auto"/>
          <w:lang w:val="en-US" w:eastAsia="zh-CN"/>
        </w:rPr>
      </w:pPr>
      <w:r>
        <w:rPr>
          <w:rFonts w:hint="eastAsia" w:cs="Times New Roman"/>
          <w:color w:val="auto"/>
          <w:lang w:val="en-US" w:eastAsia="zh-CN"/>
        </w:rPr>
        <w:t>（1）植被</w:t>
      </w:r>
    </w:p>
    <w:p>
      <w:pPr>
        <w:pStyle w:val="65"/>
        <w:ind w:firstLine="480"/>
        <w:rPr>
          <w:rFonts w:hint="default" w:ascii="Times New Roman" w:hAnsi="Times New Roman" w:cs="Times New Roman"/>
          <w:color w:val="auto"/>
        </w:rPr>
      </w:pPr>
      <w:r>
        <w:rPr>
          <w:rFonts w:hint="default" w:ascii="Times New Roman" w:hAnsi="Times New Roman" w:cs="Times New Roman"/>
          <w:color w:val="auto"/>
        </w:rPr>
        <w:t>植被以湿地植物为主，自然保护区范围因有丘陵岗地，也包括部分丘陵岗地的森林、灌丛类型，划分为7个植被型组（针叶林、针阔混交林、阔叶林、灌草丛、草甸型、沼泽型、水生植物型），63个群系（包括季节性群系）。保护区有维管束植物169科、541属、865种。其中蕨类植物24科、40属、63种，裸子植物7科、17属、22种，被子植物138科、484属、780种。自然保护区865种植物中，分布于湿地区域即水体、洲滩、湖堤等冲积土上的湿地植物共451种。典型的水生植物55种，其中挺水植物28种，浮叶植物7种，漂浮植物6种，沉水植物14种。</w:t>
      </w:r>
    </w:p>
    <w:p>
      <w:pPr>
        <w:pStyle w:val="65"/>
        <w:ind w:firstLine="480"/>
        <w:rPr>
          <w:rFonts w:hint="default" w:ascii="Times New Roman" w:hAnsi="Times New Roman" w:eastAsia="宋体" w:cs="Times New Roman"/>
          <w:color w:val="auto"/>
          <w:lang w:val="en-US" w:eastAsia="zh-CN"/>
        </w:rPr>
      </w:pPr>
      <w:r>
        <w:rPr>
          <w:rFonts w:hint="eastAsia" w:cs="Times New Roman"/>
          <w:color w:val="auto"/>
          <w:lang w:val="en-US" w:eastAsia="zh-CN"/>
        </w:rPr>
        <w:t>（2）动物</w:t>
      </w:r>
    </w:p>
    <w:p>
      <w:pPr>
        <w:pStyle w:val="65"/>
        <w:ind w:firstLine="480"/>
        <w:rPr>
          <w:rFonts w:hint="default" w:ascii="Times New Roman" w:hAnsi="Times New Roman" w:cs="Times New Roman"/>
          <w:color w:val="auto"/>
        </w:rPr>
      </w:pPr>
      <w:r>
        <w:rPr>
          <w:rFonts w:hint="default" w:ascii="Times New Roman" w:hAnsi="Times New Roman" w:cs="Times New Roman"/>
          <w:color w:val="auto"/>
        </w:rPr>
        <w:t>自然保护区有野生脊椎动物共有5纲37目110科534种。其中，鱼类7目19科117种；两栖类2目5科11种；爬行类3目8科25种；鸟类17/18目55/64科348种；哺乳类7目14科33种。保护区独特的水域湿地环境，决定了该区动物类群具有喜湿或半喜湿性特征。构成该区生物地理动物群的主体为水禽和鱼类，而绝大多数为迁徙性鸟类和洄游性鱼类，形成了复杂的区系特征，同时集中了许多珍稀濒危物种，且濒危物种还具有相当的数量，对于保持湿地生物多样性具有重要意义</w:t>
      </w:r>
    </w:p>
    <w:p>
      <w:pPr>
        <w:pStyle w:val="65"/>
        <w:ind w:firstLine="480"/>
        <w:rPr>
          <w:rFonts w:hint="default" w:ascii="Times New Roman" w:hAnsi="Times New Roman" w:cs="Times New Roman"/>
          <w:color w:val="auto"/>
        </w:rPr>
      </w:pPr>
      <w:r>
        <w:rPr>
          <w:rFonts w:hint="eastAsia" w:cs="Times New Roman"/>
          <w:color w:val="auto"/>
          <w:lang w:val="en-US" w:eastAsia="zh-CN"/>
        </w:rPr>
        <w:t>（3）</w:t>
      </w:r>
      <w:r>
        <w:rPr>
          <w:rFonts w:hint="eastAsia" w:ascii="Times New Roman" w:hAnsi="Times New Roman" w:cs="Times New Roman"/>
          <w:color w:val="auto"/>
        </w:rPr>
        <w:t>景观资源</w:t>
      </w:r>
    </w:p>
    <w:p>
      <w:pPr>
        <w:pStyle w:val="65"/>
        <w:ind w:firstLine="480"/>
        <w:rPr>
          <w:rFonts w:hint="eastAsia" w:ascii="Times New Roman" w:hAnsi="Times New Roman" w:eastAsia="宋体" w:cs="Times New Roman"/>
          <w:color w:val="auto"/>
        </w:rPr>
      </w:pPr>
      <w:r>
        <w:rPr>
          <w:rFonts w:hint="eastAsia" w:ascii="Times New Roman" w:hAnsi="Times New Roman" w:cs="Times New Roman"/>
          <w:color w:val="auto"/>
        </w:rPr>
        <w:t>壮丽的湿地景观：洞庭湖纳湘江、资江、澧水、沅江四水，吞吐长江，浩浩</w:t>
      </w:r>
      <w:r>
        <w:rPr>
          <w:rFonts w:hint="eastAsia" w:ascii="Times New Roman" w:hAnsi="Times New Roman" w:eastAsia="宋体" w:cs="Times New Roman"/>
          <w:color w:val="auto"/>
        </w:rPr>
        <w:t>荡荡，横无际涯，天水一色，云蒸霞蔚，气象万千，波澜壮阔的八百里洞庭胜景依稀呈现；秋冬时节，水退滩现，形成独特的湖中湖，各显峥嵘，条条水道将星罗棋布、大小不等、形状各异的湖泊连贯成串，形似一条壮观的超级项链；在一望无垠的水际洲滩上，自由翱翔的鸟群追风逐月，绵延不绝，潇湘八景之一的“平沙落雁”竞现眼前，令人心旷神怡，流连忘返。</w:t>
      </w:r>
    </w:p>
    <w:p>
      <w:pPr>
        <w:pStyle w:val="65"/>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丰富的生物景观：洞庭湖宽广的湖面，在地壳不断沉降与隆起的造地运动作用下，逐渐形成了不同的地形地貌和多样的湿地生态环境，从而孕育了丰富的植被群落和水生生物资源，为食性不同的百余种水禽提供了取之不尽的食物，成为冬侯鸟栖息的乐园。每到秋风劲吹的季节，成千上万的游禽和涉禽，飞越万水千山，从遥远的西北利亚、东北、西北等繁殖地成群结队来到洞庭湖湖区越冬。</w:t>
      </w:r>
    </w:p>
    <w:p>
      <w:pPr>
        <w:pStyle w:val="65"/>
        <w:ind w:firstLine="48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（4）重点保护对象</w:t>
      </w:r>
    </w:p>
    <w:p>
      <w:pPr>
        <w:pStyle w:val="65"/>
        <w:ind w:firstLine="48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重点保护对象：东洞庭湖国家级自然保护区湿地洲滩发育，是我国珍稀候鸟越冬栖息地和繁殖地。鸟类数量、种类，水生生物数量、种类，淡水鱼类数量、种类都十分丰富。鱼类有114种、贝类40余种、鸟类80余种、兽类10余种，野生植物有873种。其中属于国家一类保护的水禽有白鹤、丹顶鹤、白头鹤、白枕鹤、白图、黑鹤、斑嘴鸦鹏等7种，属于国家二类保护的水禽有大鸨、灰鹤、白琵鸳、天鹅等多种:还有属于国家一类保护的中华鲟、白鳍豚，属于国家二类保护的江豚、扬子鳄、麋鹿、具有十分重要的研究和保护价值。</w:t>
      </w:r>
    </w:p>
    <w:p>
      <w:pPr>
        <w:pStyle w:val="65"/>
        <w:ind w:firstLine="48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本项目位于该保护区现状实验区范围内、</w:t>
      </w:r>
      <w:r>
        <w:rPr>
          <w:rFonts w:hint="eastAsia" w:cs="Times New Roman"/>
          <w:color w:val="auto"/>
          <w:lang w:val="en-US" w:eastAsia="zh-CN"/>
        </w:rPr>
        <w:t>整合优化范围后的自然保护区范围</w:t>
      </w:r>
      <w:r>
        <w:rPr>
          <w:rFonts w:hint="eastAsia" w:ascii="Times New Roman" w:hAnsi="Times New Roman" w:eastAsia="宋体" w:cs="Times New Roman"/>
          <w:color w:val="auto"/>
          <w:lang w:val="en-US" w:eastAsia="zh-CN"/>
        </w:rPr>
        <w:t>外，不涉及珍稀保护动物。</w:t>
      </w:r>
    </w:p>
    <w:p>
      <w:pPr>
        <w:pStyle w:val="65"/>
        <w:ind w:firstLine="480"/>
        <w:rPr>
          <w:rFonts w:hint="eastAsia" w:ascii="Times New Roman" w:hAnsi="Times New Roman" w:eastAsia="宋体" w:cs="Times New Roman"/>
          <w:b/>
          <w:bCs w:val="0"/>
          <w:snapToGrid w:val="0"/>
          <w:color w:val="auto"/>
          <w:kern w:val="0"/>
          <w:sz w:val="30"/>
          <w:szCs w:val="30"/>
          <w:lang w:val="en-US" w:eastAsia="zh-CN" w:bidi="ar-SA"/>
        </w:rPr>
      </w:pPr>
      <w:r>
        <w:rPr>
          <w:rFonts w:hint="eastAsia" w:ascii="Times New Roman" w:hAnsi="Times New Roman" w:eastAsia="宋体" w:cs="Times New Roman"/>
          <w:b/>
          <w:bCs w:val="0"/>
          <w:snapToGrid w:val="0"/>
          <w:color w:val="auto"/>
          <w:kern w:val="0"/>
          <w:sz w:val="30"/>
          <w:szCs w:val="30"/>
          <w:lang w:val="en-US" w:eastAsia="zh-CN" w:bidi="ar-SA"/>
        </w:rPr>
        <w:br w:type="page"/>
      </w:r>
    </w:p>
    <w:p>
      <w:pPr>
        <w:keepNext/>
        <w:widowControl w:val="0"/>
        <w:overflowPunct w:val="0"/>
        <w:snapToGrid w:val="0"/>
        <w:spacing w:before="120" w:after="160" w:line="259" w:lineRule="auto"/>
        <w:ind w:left="432" w:hanging="432"/>
        <w:jc w:val="both"/>
        <w:outlineLvl w:val="0"/>
        <w:rPr>
          <w:rFonts w:ascii="Times New Roman" w:hAnsi="Times New Roman" w:eastAsia="黑体" w:cs="Times New Roman"/>
          <w:b w:val="0"/>
          <w:bCs/>
          <w:snapToGrid w:val="0"/>
          <w:color w:val="auto"/>
          <w:kern w:val="44"/>
          <w:sz w:val="30"/>
          <w:szCs w:val="30"/>
          <w:lang w:val="en-US" w:eastAsia="zh-CN" w:bidi="ar-SA"/>
        </w:rPr>
      </w:pPr>
      <w:bookmarkStart w:id="251" w:name="_Toc25163"/>
      <w:r>
        <w:rPr>
          <w:rFonts w:hint="eastAsia" w:ascii="Times New Roman" w:hAnsi="Times New Roman" w:eastAsia="宋体" w:cs="Times New Roman"/>
          <w:b/>
          <w:bCs w:val="0"/>
          <w:snapToGrid w:val="0"/>
          <w:color w:val="auto"/>
          <w:kern w:val="0"/>
          <w:sz w:val="30"/>
          <w:szCs w:val="30"/>
          <w:lang w:val="en-US" w:eastAsia="zh-CN" w:bidi="ar-SA"/>
        </w:rPr>
        <w:t>4</w:t>
      </w:r>
      <w:r>
        <w:rPr>
          <w:rFonts w:ascii="Times New Roman" w:hAnsi="Times New Roman" w:eastAsia="宋体" w:cs="Times New Roman"/>
          <w:b/>
          <w:bCs w:val="0"/>
          <w:snapToGrid w:val="0"/>
          <w:color w:val="auto"/>
          <w:kern w:val="0"/>
          <w:sz w:val="30"/>
          <w:szCs w:val="30"/>
          <w:lang w:val="en-US" w:eastAsia="zh-CN" w:bidi="ar-SA"/>
        </w:rPr>
        <w:t>生态环境</w:t>
      </w:r>
      <w:r>
        <w:rPr>
          <w:rFonts w:hint="eastAsia" w:ascii="Times New Roman" w:hAnsi="Times New Roman" w:eastAsia="宋体" w:cs="Times New Roman"/>
          <w:b/>
          <w:bCs w:val="0"/>
          <w:snapToGrid w:val="0"/>
          <w:color w:val="auto"/>
          <w:kern w:val="0"/>
          <w:sz w:val="30"/>
          <w:szCs w:val="30"/>
          <w:lang w:val="en-US" w:eastAsia="zh-CN" w:bidi="ar-SA"/>
        </w:rPr>
        <w:t>影响</w:t>
      </w:r>
      <w:r>
        <w:rPr>
          <w:rFonts w:ascii="Times New Roman" w:hAnsi="Times New Roman" w:eastAsia="宋体" w:cs="Times New Roman"/>
          <w:b/>
          <w:bCs w:val="0"/>
          <w:snapToGrid w:val="0"/>
          <w:color w:val="auto"/>
          <w:kern w:val="0"/>
          <w:sz w:val="30"/>
          <w:szCs w:val="30"/>
          <w:lang w:val="en-US" w:eastAsia="zh-CN" w:bidi="ar-SA"/>
        </w:rPr>
        <w:t>评价</w:t>
      </w:r>
      <w:bookmarkEnd w:id="247"/>
      <w:bookmarkEnd w:id="248"/>
      <w:bookmarkEnd w:id="249"/>
      <w:bookmarkEnd w:id="250"/>
      <w:bookmarkEnd w:id="251"/>
    </w:p>
    <w:p>
      <w:pPr>
        <w:keepNext/>
        <w:keepLines/>
        <w:widowControl w:val="0"/>
        <w:adjustRightInd w:val="0"/>
        <w:snapToGrid w:val="0"/>
        <w:spacing w:before="0" w:after="0" w:line="360" w:lineRule="auto"/>
        <w:jc w:val="both"/>
        <w:outlineLvl w:val="1"/>
        <w:rPr>
          <w:rFonts w:hint="default" w:ascii="Times New Roman" w:hAnsi="Times New Roman" w:eastAsia="宋体" w:cs="Times New Roman"/>
          <w:b/>
          <w:bCs/>
          <w:color w:val="auto"/>
          <w:kern w:val="2"/>
          <w:sz w:val="28"/>
          <w:szCs w:val="28"/>
          <w:lang w:val="en-US" w:eastAsia="zh-CN" w:bidi="ar-SA"/>
        </w:rPr>
      </w:pPr>
      <w:bookmarkStart w:id="252" w:name="_Toc21397"/>
      <w:bookmarkStart w:id="253" w:name="_Toc30972"/>
      <w:bookmarkStart w:id="254" w:name="_Toc31053"/>
      <w:bookmarkStart w:id="255" w:name="_Toc23237"/>
      <w:bookmarkStart w:id="256" w:name="_Toc20999"/>
      <w:bookmarkStart w:id="257" w:name="_Toc11496"/>
      <w:bookmarkStart w:id="258" w:name="_Toc280"/>
      <w:bookmarkStart w:id="259" w:name="_Toc1436"/>
      <w:r>
        <w:rPr>
          <w:rFonts w:ascii="Times New Roman" w:hAnsi="Times New Roman" w:eastAsia="宋体" w:cs="Times New Roman"/>
          <w:b/>
          <w:bCs/>
          <w:color w:val="auto"/>
          <w:kern w:val="2"/>
          <w:sz w:val="28"/>
          <w:szCs w:val="28"/>
          <w:lang w:val="en-US" w:eastAsia="zh-CN" w:bidi="ar-SA"/>
        </w:rPr>
        <w:t xml:space="preserve">4.1 </w:t>
      </w:r>
      <w:r>
        <w:rPr>
          <w:rFonts w:hint="eastAsia" w:ascii="Times New Roman" w:hAnsi="Times New Roman" w:eastAsia="宋体" w:cs="Times New Roman"/>
          <w:b/>
          <w:bCs/>
          <w:color w:val="auto"/>
          <w:kern w:val="2"/>
          <w:sz w:val="28"/>
          <w:szCs w:val="28"/>
          <w:lang w:val="en-US" w:eastAsia="zh-CN" w:bidi="ar-SA"/>
        </w:rPr>
        <w:t>施工期生态环境影响分析与评价</w:t>
      </w:r>
      <w:bookmarkEnd w:id="252"/>
      <w:bookmarkEnd w:id="253"/>
      <w:bookmarkEnd w:id="254"/>
    </w:p>
    <w:p>
      <w:pPr>
        <w:pStyle w:val="65"/>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w:t>
      </w:r>
      <w:r>
        <w:rPr>
          <w:rFonts w:hint="eastAsia" w:ascii="Times New Roman" w:hAnsi="Times New Roman" w:eastAsia="宋体" w:cs="Times New Roman"/>
          <w:color w:val="auto"/>
          <w:lang w:val="en-US" w:eastAsia="zh-CN"/>
        </w:rPr>
        <w:t>位于华容县团洲乡</w:t>
      </w:r>
      <w:r>
        <w:rPr>
          <w:rFonts w:hint="default" w:ascii="Times New Roman" w:hAnsi="Times New Roman" w:eastAsia="宋体" w:cs="Times New Roman"/>
          <w:color w:val="auto"/>
          <w:lang w:val="en-US" w:eastAsia="zh-CN"/>
        </w:rPr>
        <w:t>，项目占地及评价范围内不涉及自然保护区、风景名胜区等特殊生态敏感区。受开发建设和人类活动的影响，影响范围内植被主要为人工植被及次生植被毛竹、杉木及灌木、杂草</w:t>
      </w:r>
      <w:r>
        <w:rPr>
          <w:rFonts w:hint="eastAsia" w:ascii="Times New Roman" w:hAnsi="Times New Roman" w:eastAsia="宋体" w:cs="Times New Roman"/>
          <w:color w:val="auto"/>
          <w:lang w:val="en-US" w:eastAsia="zh-CN"/>
        </w:rPr>
        <w:t>、农作物</w:t>
      </w:r>
      <w:r>
        <w:rPr>
          <w:rFonts w:hint="default" w:ascii="Times New Roman" w:hAnsi="Times New Roman" w:eastAsia="宋体" w:cs="Times New Roman"/>
          <w:color w:val="auto"/>
          <w:lang w:val="en-US" w:eastAsia="zh-CN"/>
        </w:rPr>
        <w:t>等，主要动物为常见种类，如：鼠、麻雀等，无国家规定保护的珍稀动植物。项目</w:t>
      </w:r>
      <w:r>
        <w:rPr>
          <w:rFonts w:hint="eastAsia" w:ascii="Times New Roman" w:hAnsi="Times New Roman" w:eastAsia="宋体" w:cs="Times New Roman"/>
          <w:color w:val="auto"/>
          <w:lang w:val="en-US" w:eastAsia="zh-CN"/>
        </w:rPr>
        <w:t>施工期对</w:t>
      </w:r>
      <w:r>
        <w:rPr>
          <w:rFonts w:hint="default" w:ascii="Times New Roman" w:hAnsi="Times New Roman" w:eastAsia="宋体" w:cs="Times New Roman"/>
          <w:color w:val="auto"/>
          <w:lang w:val="en-US" w:eastAsia="zh-CN"/>
        </w:rPr>
        <w:t>生态环境</w:t>
      </w:r>
      <w:r>
        <w:rPr>
          <w:rFonts w:hint="eastAsia" w:ascii="Times New Roman" w:hAnsi="Times New Roman" w:eastAsia="宋体" w:cs="Times New Roman"/>
          <w:color w:val="auto"/>
          <w:lang w:val="en-US" w:eastAsia="zh-CN"/>
        </w:rPr>
        <w:t>的</w:t>
      </w:r>
      <w:r>
        <w:rPr>
          <w:rFonts w:hint="default" w:ascii="Times New Roman" w:hAnsi="Times New Roman" w:eastAsia="宋体" w:cs="Times New Roman"/>
          <w:color w:val="auto"/>
          <w:lang w:val="en-US" w:eastAsia="zh-CN"/>
        </w:rPr>
        <w:t>影响主要包括对土地利用、动植物、景观、加剧水土流失产生的影响。</w:t>
      </w:r>
    </w:p>
    <w:p>
      <w:pPr>
        <w:keepNext/>
        <w:widowControl w:val="0"/>
        <w:adjustRightInd w:val="0"/>
        <w:snapToGrid w:val="0"/>
        <w:spacing w:line="360" w:lineRule="auto"/>
        <w:ind w:firstLine="0" w:firstLineChars="0"/>
        <w:jc w:val="both"/>
        <w:outlineLvl w:val="2"/>
        <w:rPr>
          <w:rFonts w:hint="eastAsia"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 xml:space="preserve">4.1.1 </w:t>
      </w:r>
      <w:bookmarkEnd w:id="255"/>
      <w:bookmarkEnd w:id="256"/>
      <w:bookmarkEnd w:id="257"/>
      <w:bookmarkEnd w:id="258"/>
      <w:bookmarkEnd w:id="259"/>
      <w:r>
        <w:rPr>
          <w:rFonts w:hint="eastAsia" w:ascii="Times New Roman" w:hAnsi="Times New Roman" w:eastAsia="宋体" w:cs="Times New Roman"/>
          <w:b/>
          <w:color w:val="auto"/>
          <w:kern w:val="2"/>
          <w:sz w:val="24"/>
          <w:szCs w:val="24"/>
          <w:lang w:val="en-US" w:eastAsia="zh-CN" w:bidi="ar-SA"/>
        </w:rPr>
        <w:t>占地产生的影响</w:t>
      </w:r>
    </w:p>
    <w:p>
      <w:pPr>
        <w:pStyle w:val="65"/>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工程对土地利用形式变化的影响包括永久占地和临时占地两方面。</w:t>
      </w:r>
      <w:r>
        <w:rPr>
          <w:rFonts w:hint="eastAsia" w:ascii="Times New Roman" w:hAnsi="Times New Roman" w:eastAsia="宋体" w:cs="Times New Roman"/>
          <w:color w:val="auto"/>
          <w:lang w:val="en-US" w:eastAsia="zh-CN"/>
        </w:rPr>
        <w:t>因项目临时占地位于永久占地范围内，本次主要分析永久占地产生的影响。</w:t>
      </w:r>
      <w:r>
        <w:rPr>
          <w:rFonts w:hint="default" w:ascii="Times New Roman" w:hAnsi="Times New Roman" w:eastAsia="宋体" w:cs="Times New Roman"/>
          <w:color w:val="auto"/>
          <w:lang w:val="en-US" w:eastAsia="zh-CN"/>
        </w:rPr>
        <w:t>施工区占地将破坏土壤表层，从而使其变得疏松，受多风天气和降雨的影响，易发生风蚀、水蚀，造成水土流失，使土壤及其养分流失。</w:t>
      </w:r>
    </w:p>
    <w:p>
      <w:pPr>
        <w:pStyle w:val="65"/>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本项目工程永久占地主要是工程占地，永久占地面积为</w:t>
      </w:r>
      <w:r>
        <w:rPr>
          <w:rFonts w:hint="eastAsia" w:ascii="Times New Roman" w:hAnsi="Times New Roman" w:eastAsia="宋体" w:cs="Times New Roman"/>
          <w:color w:val="auto"/>
          <w:lang w:val="en-US" w:eastAsia="zh-CN"/>
        </w:rPr>
        <w:t>57672</w:t>
      </w:r>
      <w:r>
        <w:rPr>
          <w:rFonts w:hint="default" w:ascii="Times New Roman" w:hAnsi="Times New Roman" w:eastAsia="宋体" w:cs="Times New Roman"/>
          <w:color w:val="auto"/>
          <w:lang w:val="en-US" w:eastAsia="zh-CN"/>
        </w:rPr>
        <w:t>m</w:t>
      </w:r>
      <w:r>
        <w:rPr>
          <w:rFonts w:hint="default" w:ascii="Times New Roman" w:hAnsi="Times New Roman" w:eastAsia="宋体" w:cs="Times New Roman"/>
          <w:color w:val="auto"/>
          <w:vertAlign w:val="superscript"/>
          <w:lang w:val="en-US" w:eastAsia="zh-CN"/>
        </w:rPr>
        <w:t>2</w:t>
      </w:r>
      <w:r>
        <w:rPr>
          <w:rFonts w:hint="default" w:ascii="Times New Roman" w:hAnsi="Times New Roman" w:eastAsia="宋体" w:cs="Times New Roman"/>
          <w:color w:val="auto"/>
          <w:lang w:val="en-US" w:eastAsia="zh-CN"/>
        </w:rPr>
        <w:t>，占地类型主要为旱地</w:t>
      </w:r>
      <w:r>
        <w:rPr>
          <w:rFonts w:hint="eastAsia" w:ascii="Times New Roman" w:hAnsi="Times New Roman" w:eastAsia="宋体" w:cs="Times New Roman"/>
          <w:color w:val="auto"/>
          <w:lang w:val="en-US" w:eastAsia="zh-CN"/>
        </w:rPr>
        <w:t>、水田</w:t>
      </w:r>
      <w:r>
        <w:rPr>
          <w:rFonts w:hint="default" w:ascii="Times New Roman" w:hAnsi="Times New Roman" w:eastAsia="宋体" w:cs="Times New Roman"/>
          <w:color w:val="auto"/>
          <w:lang w:val="en-US" w:eastAsia="zh-CN"/>
        </w:rPr>
        <w:t>。</w:t>
      </w:r>
    </w:p>
    <w:p>
      <w:pPr>
        <w:pStyle w:val="65"/>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工程占地使土地利用价值发生了改变，对耕地来说，原有价值被</w:t>
      </w:r>
      <w:r>
        <w:rPr>
          <w:rFonts w:hint="eastAsia" w:ascii="Times New Roman" w:hAnsi="Times New Roman" w:eastAsia="宋体" w:cs="Times New Roman"/>
          <w:color w:val="auto"/>
          <w:lang w:val="en-US" w:eastAsia="zh-CN"/>
        </w:rPr>
        <w:t>安置区工程</w:t>
      </w:r>
      <w:r>
        <w:rPr>
          <w:rFonts w:hint="default" w:ascii="Times New Roman" w:hAnsi="Times New Roman" w:eastAsia="宋体" w:cs="Times New Roman"/>
          <w:color w:val="auto"/>
          <w:lang w:val="en-US" w:eastAsia="zh-CN"/>
        </w:rPr>
        <w:t>带来的</w:t>
      </w:r>
      <w:r>
        <w:rPr>
          <w:rFonts w:hint="eastAsia" w:ascii="Times New Roman" w:hAnsi="Times New Roman" w:eastAsia="宋体" w:cs="Times New Roman"/>
          <w:color w:val="auto"/>
          <w:lang w:val="en-US" w:eastAsia="zh-CN"/>
        </w:rPr>
        <w:t>社会</w:t>
      </w:r>
      <w:r>
        <w:rPr>
          <w:rFonts w:hint="default" w:ascii="Times New Roman" w:hAnsi="Times New Roman" w:eastAsia="宋体" w:cs="Times New Roman"/>
          <w:color w:val="auto"/>
          <w:lang w:val="en-US" w:eastAsia="zh-CN"/>
        </w:rPr>
        <w:t>价值所代替。工程占地将导致一定时期内耕地面积减少，农作物减产，</w:t>
      </w:r>
      <w:r>
        <w:rPr>
          <w:rFonts w:hint="eastAsia" w:ascii="Times New Roman" w:hAnsi="Times New Roman" w:eastAsia="宋体" w:cs="Times New Roman"/>
          <w:color w:val="auto"/>
          <w:lang w:val="en-US" w:eastAsia="zh-CN"/>
        </w:rPr>
        <w:t>项目所在地</w:t>
      </w:r>
      <w:r>
        <w:rPr>
          <w:rFonts w:hint="default" w:ascii="Times New Roman" w:hAnsi="Times New Roman" w:eastAsia="宋体" w:cs="Times New Roman"/>
          <w:color w:val="auto"/>
          <w:lang w:val="en-US" w:eastAsia="zh-CN"/>
        </w:rPr>
        <w:t>地区人多地少的矛盾，加剧对剩余耕地的压力，使农业生产受到影响。工程占地内的植被主要为杉木林、灌丛和草丛等，农作物主要有水稻、玉米等，可见，受工程建设影响的植被以人工植被和次生植被为主。</w:t>
      </w:r>
    </w:p>
    <w:p>
      <w:pPr>
        <w:pStyle w:val="65"/>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因此，尽管项目建设对当地耕地资源及植被资源有一定的影响，但由于</w:t>
      </w:r>
      <w:r>
        <w:rPr>
          <w:rFonts w:hint="eastAsia" w:ascii="Times New Roman" w:hAnsi="Times New Roman" w:eastAsia="宋体" w:cs="Times New Roman"/>
          <w:color w:val="auto"/>
          <w:lang w:val="en-US" w:eastAsia="zh-CN"/>
        </w:rPr>
        <w:t>本项目</w:t>
      </w:r>
      <w:r>
        <w:rPr>
          <w:rFonts w:hint="default" w:ascii="Times New Roman" w:hAnsi="Times New Roman" w:eastAsia="宋体" w:cs="Times New Roman"/>
          <w:color w:val="auto"/>
          <w:lang w:val="en-US" w:eastAsia="zh-CN"/>
        </w:rPr>
        <w:t>占地仅为很少的一部分，对于</w:t>
      </w:r>
      <w:r>
        <w:rPr>
          <w:rFonts w:hint="eastAsia" w:ascii="Times New Roman" w:hAnsi="Times New Roman" w:eastAsia="宋体" w:cs="Times New Roman"/>
          <w:color w:val="auto"/>
          <w:lang w:val="en-US" w:eastAsia="zh-CN"/>
        </w:rPr>
        <w:t>华容</w:t>
      </w:r>
      <w:r>
        <w:rPr>
          <w:rFonts w:hint="default" w:ascii="Times New Roman" w:hAnsi="Times New Roman" w:eastAsia="宋体" w:cs="Times New Roman"/>
          <w:color w:val="auto"/>
          <w:lang w:val="en-US" w:eastAsia="zh-CN"/>
        </w:rPr>
        <w:t>县的土地平衡影响很小；通过当地政府进行土地调整和规划，不会对当地土地利用总体格局产生大的影响，也不会对评价区植被稳定性造成较大影响。</w:t>
      </w:r>
    </w:p>
    <w:p>
      <w:pPr>
        <w:keepNext/>
        <w:widowControl w:val="0"/>
        <w:adjustRightInd w:val="0"/>
        <w:snapToGrid w:val="0"/>
        <w:spacing w:line="360" w:lineRule="auto"/>
        <w:ind w:firstLine="0" w:firstLineChars="0"/>
        <w:jc w:val="both"/>
        <w:outlineLvl w:val="2"/>
        <w:rPr>
          <w:rFonts w:hint="eastAsia"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4.1.2对自然保护区的影响</w:t>
      </w:r>
    </w:p>
    <w:p>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lang w:val="en-US" w:eastAsia="zh-CN"/>
        </w:rPr>
      </w:pPr>
      <w:r>
        <w:rPr>
          <w:rFonts w:hint="default" w:ascii="Times New Roman" w:hAnsi="Times New Roman" w:cs="Times New Roman"/>
          <w:bCs/>
          <w:color w:val="auto"/>
          <w:sz w:val="24"/>
          <w:szCs w:val="21"/>
          <w:highlight w:val="none"/>
          <w:u w:val="none"/>
          <w:lang w:val="en-US" w:eastAsia="zh-CN"/>
        </w:rPr>
        <w:t>本项目评价范围内主要为</w:t>
      </w:r>
      <w:r>
        <w:rPr>
          <w:rFonts w:hint="eastAsia" w:ascii="Times New Roman" w:hAnsi="Times New Roman" w:cs="Times New Roman"/>
          <w:bCs/>
          <w:color w:val="auto"/>
          <w:sz w:val="24"/>
          <w:szCs w:val="21"/>
          <w:highlight w:val="none"/>
          <w:u w:val="none"/>
          <w:lang w:val="en-US" w:eastAsia="zh-CN"/>
        </w:rPr>
        <w:t>农村</w:t>
      </w:r>
      <w:r>
        <w:rPr>
          <w:rFonts w:hint="default" w:ascii="Times New Roman" w:hAnsi="Times New Roman" w:cs="Times New Roman"/>
          <w:bCs/>
          <w:color w:val="auto"/>
          <w:sz w:val="24"/>
          <w:szCs w:val="21"/>
          <w:highlight w:val="none"/>
          <w:u w:val="none"/>
          <w:lang w:val="en-US" w:eastAsia="zh-CN"/>
        </w:rPr>
        <w:t>生态系统。</w:t>
      </w:r>
    </w:p>
    <w:p>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lang w:val="en-US" w:eastAsia="zh-CN"/>
        </w:rPr>
      </w:pPr>
      <w:r>
        <w:rPr>
          <w:rFonts w:hint="default" w:ascii="Times New Roman" w:hAnsi="Times New Roman" w:cs="Times New Roman"/>
          <w:bCs/>
          <w:color w:val="auto"/>
          <w:sz w:val="24"/>
          <w:szCs w:val="21"/>
          <w:highlight w:val="none"/>
          <w:u w:val="none"/>
          <w:lang w:val="en-US" w:eastAsia="zh-CN"/>
        </w:rPr>
        <w:t>东洞庭湖国家级自然保护区为湖泊类型湿地，主导功能是调蓄长江洪水径流，维系长江中下游地区的防洪安全，辅助功能主要是沉沙净污、湖泊湿地景观系统多样性以及在维系水陆复合系统中的生态前置库作用和功能，并具有保护渔业自然增值，繁衍生物多样性，特别是珍稀水禽栖息地的生态服务功能。</w:t>
      </w:r>
    </w:p>
    <w:p>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lang w:val="en-US" w:eastAsia="zh-CN"/>
        </w:rPr>
      </w:pPr>
      <w:r>
        <w:rPr>
          <w:rFonts w:hint="default" w:ascii="Times New Roman" w:hAnsi="Times New Roman" w:cs="Times New Roman"/>
          <w:bCs/>
          <w:color w:val="auto"/>
          <w:sz w:val="24"/>
          <w:szCs w:val="21"/>
          <w:highlight w:val="none"/>
          <w:u w:val="none"/>
          <w:lang w:val="en-US" w:eastAsia="zh-CN"/>
        </w:rPr>
        <w:t>本项目建设不涉及东洞庭湖国家级自然保护区的核心区与缓冲区，项目位于</w:t>
      </w:r>
      <w:r>
        <w:rPr>
          <w:rFonts w:hint="eastAsia" w:ascii="Times New Roman" w:hAnsi="Times New Roman" w:cs="Times New Roman"/>
          <w:bCs/>
          <w:color w:val="auto"/>
          <w:sz w:val="24"/>
          <w:szCs w:val="21"/>
          <w:highlight w:val="none"/>
          <w:u w:val="none"/>
          <w:lang w:val="en-US" w:eastAsia="zh-CN"/>
        </w:rPr>
        <w:t>团洲乡中心小学东侧，花园小区西侧</w:t>
      </w:r>
      <w:r>
        <w:rPr>
          <w:rFonts w:hint="default" w:ascii="Times New Roman" w:hAnsi="Times New Roman" w:cs="Times New Roman"/>
          <w:bCs/>
          <w:color w:val="auto"/>
          <w:sz w:val="24"/>
          <w:szCs w:val="21"/>
          <w:highlight w:val="none"/>
          <w:u w:val="none"/>
          <w:lang w:val="en-US" w:eastAsia="zh-CN"/>
        </w:rPr>
        <w:t>，项目所在区为该保护区</w:t>
      </w:r>
      <w:r>
        <w:rPr>
          <w:rFonts w:hint="eastAsia" w:cs="Times New Roman"/>
          <w:bCs/>
          <w:color w:val="auto"/>
          <w:sz w:val="24"/>
          <w:szCs w:val="21"/>
          <w:highlight w:val="none"/>
          <w:u w:val="none"/>
          <w:lang w:val="en-US" w:eastAsia="zh-CN"/>
        </w:rPr>
        <w:t>优化整合</w:t>
      </w:r>
      <w:r>
        <w:rPr>
          <w:rFonts w:hint="default" w:ascii="Times New Roman" w:hAnsi="Times New Roman" w:cs="Times New Roman"/>
          <w:bCs/>
          <w:color w:val="auto"/>
          <w:sz w:val="24"/>
          <w:szCs w:val="21"/>
          <w:highlight w:val="none"/>
          <w:u w:val="none"/>
          <w:lang w:val="en-US" w:eastAsia="zh-CN"/>
        </w:rPr>
        <w:t>前的实验区范围，实验区主要为分布于缓冲区以外的广大区域。且根据目前正在进行的保护区范围和功能区规划调整</w:t>
      </w:r>
      <w:r>
        <w:rPr>
          <w:rFonts w:hint="eastAsia" w:cs="Times New Roman"/>
          <w:bCs/>
          <w:color w:val="auto"/>
          <w:sz w:val="24"/>
          <w:szCs w:val="21"/>
          <w:highlight w:val="none"/>
          <w:u w:val="none"/>
          <w:lang w:val="en-US" w:eastAsia="zh-CN"/>
        </w:rPr>
        <w:t>的</w:t>
      </w:r>
      <w:r>
        <w:rPr>
          <w:rFonts w:hint="default" w:ascii="Times New Roman" w:hAnsi="Times New Roman" w:cs="Times New Roman"/>
          <w:bCs/>
          <w:color w:val="auto"/>
          <w:sz w:val="24"/>
          <w:szCs w:val="21"/>
          <w:highlight w:val="none"/>
          <w:u w:val="none"/>
          <w:lang w:val="en-US" w:eastAsia="zh-CN"/>
        </w:rPr>
        <w:t>材料来看，本项目</w:t>
      </w:r>
      <w:r>
        <w:rPr>
          <w:rFonts w:hint="eastAsia" w:cs="Times New Roman"/>
          <w:bCs/>
          <w:color w:val="auto"/>
          <w:sz w:val="24"/>
          <w:szCs w:val="21"/>
          <w:highlight w:val="none"/>
          <w:u w:val="none"/>
          <w:lang w:val="en-US" w:eastAsia="zh-CN"/>
        </w:rPr>
        <w:t>湖南东洞庭湖国家级自然保护区</w:t>
      </w:r>
      <w:r>
        <w:rPr>
          <w:rFonts w:hint="default" w:ascii="Times New Roman" w:hAnsi="Times New Roman" w:cs="Times New Roman"/>
          <w:bCs/>
          <w:color w:val="auto"/>
          <w:sz w:val="24"/>
          <w:szCs w:val="21"/>
          <w:highlight w:val="none"/>
          <w:u w:val="none"/>
          <w:lang w:val="en-US" w:eastAsia="zh-CN"/>
        </w:rPr>
        <w:t>在</w:t>
      </w:r>
      <w:r>
        <w:rPr>
          <w:rFonts w:hint="eastAsia" w:cs="Times New Roman"/>
          <w:bCs/>
          <w:color w:val="auto"/>
          <w:sz w:val="24"/>
          <w:szCs w:val="21"/>
          <w:highlight w:val="none"/>
          <w:u w:val="none"/>
          <w:lang w:val="en-US" w:eastAsia="zh-CN"/>
        </w:rPr>
        <w:t>优化整合</w:t>
      </w:r>
      <w:r>
        <w:rPr>
          <w:rFonts w:hint="default" w:ascii="Times New Roman" w:hAnsi="Times New Roman" w:cs="Times New Roman"/>
          <w:bCs/>
          <w:color w:val="auto"/>
          <w:sz w:val="24"/>
          <w:szCs w:val="21"/>
          <w:highlight w:val="none"/>
          <w:u w:val="none"/>
          <w:lang w:val="en-US" w:eastAsia="zh-CN"/>
        </w:rPr>
        <w:t>完成后，便不再属于自然保护区</w:t>
      </w:r>
      <w:r>
        <w:rPr>
          <w:rFonts w:hint="eastAsia" w:cs="Times New Roman"/>
          <w:bCs/>
          <w:color w:val="auto"/>
          <w:sz w:val="24"/>
          <w:szCs w:val="21"/>
          <w:highlight w:val="none"/>
          <w:u w:val="none"/>
          <w:lang w:val="en-US" w:eastAsia="zh-CN"/>
        </w:rPr>
        <w:t>范围</w:t>
      </w:r>
      <w:r>
        <w:rPr>
          <w:rFonts w:hint="default" w:ascii="Times New Roman" w:hAnsi="Times New Roman" w:cs="Times New Roman"/>
          <w:bCs/>
          <w:color w:val="auto"/>
          <w:sz w:val="24"/>
          <w:szCs w:val="21"/>
          <w:highlight w:val="none"/>
          <w:u w:val="none"/>
          <w:lang w:val="en-US" w:eastAsia="zh-CN"/>
        </w:rPr>
        <w:t>。</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本项目用地不涉及环保拆迁，拆迁由政府负责，建设方拿净地。项目属于房地产建设项目，不涉及具体生产内容。经现场踏勘，项目工程已完成，本次评价为补评。项目施工期没有明显的遗留环境污染问题，无周边单位投诉情况发生。本次拟不对施工期环境影响进行重点评价，仅对其进行简单的回顾性评价。</w:t>
      </w:r>
    </w:p>
    <w:p>
      <w:pPr>
        <w:keepNext/>
        <w:widowControl w:val="0"/>
        <w:adjustRightInd w:val="0"/>
        <w:snapToGrid w:val="0"/>
        <w:spacing w:line="360" w:lineRule="auto"/>
        <w:ind w:firstLine="0" w:firstLineChars="0"/>
        <w:jc w:val="both"/>
        <w:outlineLvl w:val="2"/>
        <w:rPr>
          <w:rFonts w:hint="eastAsia" w:ascii="Times New Roman" w:hAnsi="Times New Roman" w:eastAsia="宋体" w:cs="Times New Roman"/>
          <w:b/>
          <w:color w:val="auto"/>
          <w:kern w:val="2"/>
          <w:sz w:val="24"/>
          <w:szCs w:val="24"/>
          <w:lang w:val="en-US" w:eastAsia="zh-CN" w:bidi="ar-SA"/>
        </w:rPr>
      </w:pPr>
      <w:bookmarkStart w:id="260" w:name="_Toc16669"/>
      <w:bookmarkStart w:id="261" w:name="_Toc25718"/>
      <w:bookmarkStart w:id="262" w:name="_Toc28430"/>
      <w:bookmarkStart w:id="263" w:name="_Toc4017"/>
      <w:bookmarkStart w:id="264" w:name="_Toc13318"/>
      <w:r>
        <w:rPr>
          <w:rFonts w:hint="eastAsia" w:ascii="Times New Roman" w:hAnsi="Times New Roman" w:eastAsia="宋体" w:cs="Times New Roman"/>
          <w:b/>
          <w:color w:val="auto"/>
          <w:kern w:val="2"/>
          <w:sz w:val="24"/>
          <w:szCs w:val="24"/>
          <w:lang w:val="en-US" w:eastAsia="zh-CN" w:bidi="ar-SA"/>
        </w:rPr>
        <w:t>4.1.</w:t>
      </w:r>
      <w:bookmarkEnd w:id="260"/>
      <w:bookmarkEnd w:id="261"/>
      <w:bookmarkEnd w:id="262"/>
      <w:bookmarkEnd w:id="263"/>
      <w:bookmarkEnd w:id="264"/>
      <w:r>
        <w:rPr>
          <w:rFonts w:hint="eastAsia" w:ascii="Times New Roman" w:hAnsi="Times New Roman" w:eastAsia="宋体" w:cs="Times New Roman"/>
          <w:b/>
          <w:color w:val="auto"/>
          <w:kern w:val="2"/>
          <w:sz w:val="24"/>
          <w:szCs w:val="24"/>
          <w:lang w:val="en-US" w:eastAsia="zh-CN" w:bidi="ar-SA"/>
        </w:rPr>
        <w:t>3对动植物的影响</w:t>
      </w:r>
    </w:p>
    <w:p>
      <w:pPr>
        <w:pStyle w:val="65"/>
        <w:ind w:firstLine="48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w:t>
      </w:r>
      <w:r>
        <w:rPr>
          <w:rFonts w:hint="default" w:ascii="Times New Roman" w:hAnsi="Times New Roman" w:eastAsia="宋体" w:cs="Times New Roman"/>
          <w:color w:val="auto"/>
          <w:lang w:val="en-US" w:eastAsia="zh-CN"/>
        </w:rPr>
        <w:t>陆生植物影响</w:t>
      </w:r>
    </w:p>
    <w:p>
      <w:pPr>
        <w:pStyle w:val="65"/>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本项目施工过程将对现有植被破除或移植，会一定程度上减少区域范围内的植被面积，在短期内生态系统内绿地面积将会减少，植被覆盖率将总体下降，生态系统的调节作用有一定削弱。</w:t>
      </w:r>
    </w:p>
    <w:p>
      <w:pPr>
        <w:pStyle w:val="65"/>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用地及评价范围内没有古树名木，没有国家级和省级重点保护的野生植物及生境，项目区不在生态保护红线、国家公园、自然保护区、森林公园、湿地公园、风景名胜区、其他自然公园等生态敏感区内。因此，项目施工及影响区域范围内植被主要为毛竹林、杉木林、灌丛和草丛等次生植被及人工植被，无珍稀保护植物。施工开挖和占地会造成部分植被的破坏，但由于损失的面积相对于区域来说是少量的，且受影响的植被均属一般常见类型，在区域生长范围广，不存在因项目建设而导致植物种群消失或灭绝。待施工结束后边坡及临时工程采取植被恢复措施，进行一定程度的可还将弥补部分损失的生物量。因而，本项目建设不会影响该区域生态系统的稳定性和完整性。</w:t>
      </w:r>
    </w:p>
    <w:p>
      <w:pPr>
        <w:pStyle w:val="65"/>
        <w:ind w:firstLine="48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w:t>
      </w:r>
      <w:r>
        <w:rPr>
          <w:rFonts w:hint="default" w:ascii="Times New Roman" w:hAnsi="Times New Roman" w:eastAsia="宋体" w:cs="Times New Roman"/>
          <w:color w:val="auto"/>
          <w:lang w:val="en-US" w:eastAsia="zh-CN"/>
        </w:rPr>
        <w:t>陆生</w:t>
      </w:r>
      <w:r>
        <w:rPr>
          <w:rFonts w:hint="eastAsia" w:ascii="Times New Roman" w:hAnsi="Times New Roman" w:eastAsia="宋体" w:cs="Times New Roman"/>
          <w:color w:val="auto"/>
          <w:lang w:val="en-US" w:eastAsia="zh-CN"/>
        </w:rPr>
        <w:t>动</w:t>
      </w:r>
      <w:r>
        <w:rPr>
          <w:rFonts w:hint="default" w:ascii="Times New Roman" w:hAnsi="Times New Roman" w:eastAsia="宋体" w:cs="Times New Roman"/>
          <w:color w:val="auto"/>
          <w:lang w:val="en-US" w:eastAsia="zh-CN"/>
        </w:rPr>
        <w:t>物影响</w:t>
      </w:r>
    </w:p>
    <w:p>
      <w:pPr>
        <w:pStyle w:val="65"/>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项目施工对陆生动物的影响主要是植被破坏、施工噪声等。施工期工程占地缩小了陆生动物的栖息空间，</w:t>
      </w:r>
      <w:r>
        <w:rPr>
          <w:rFonts w:hint="eastAsia" w:ascii="Times New Roman" w:hAnsi="Times New Roman" w:eastAsia="宋体" w:cs="Times New Roman"/>
          <w:color w:val="auto"/>
          <w:lang w:val="en-US" w:eastAsia="zh-CN"/>
        </w:rPr>
        <w:t>缩减了</w:t>
      </w:r>
      <w:r>
        <w:rPr>
          <w:rFonts w:hint="default" w:ascii="Times New Roman" w:hAnsi="Times New Roman" w:eastAsia="宋体" w:cs="Times New Roman"/>
          <w:color w:val="auto"/>
          <w:lang w:val="en-US" w:eastAsia="zh-CN"/>
        </w:rPr>
        <w:t>部分动物的活动区域、觅食范围等，施工期作业机械发出的噪声、产生的振动以及施工人员的活动对陆生动物的生存产生了一定的影响。</w:t>
      </w:r>
    </w:p>
    <w:p>
      <w:pPr>
        <w:pStyle w:val="65"/>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但由于工程区域主要是常见的鸟类、啮齿类动物，暂未发现珍稀濒危保护野生动物。故工程建设虽然对一定范围内的野生动物产生一定程度的不利影响，但由于其可以迁移到远离施工区域的地方栖息和活动，因此，工程建设不会对其种群数量产生明显影响，更不会改变其种群结构。不过，施工期应加强对施工人员的教育宣传，严禁施工人员有不利于保护各种野生动物的活动。项目施工建设对动物影响时间较短，同时，可随植被的恢复而缓解、消失。</w:t>
      </w:r>
    </w:p>
    <w:p>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lang w:val="en-US" w:eastAsia="zh-CN"/>
        </w:rPr>
      </w:pPr>
      <w:r>
        <w:rPr>
          <w:rFonts w:hint="default" w:ascii="Times New Roman" w:hAnsi="Times New Roman" w:cs="Times New Roman"/>
          <w:bCs/>
          <w:color w:val="auto"/>
          <w:sz w:val="24"/>
          <w:szCs w:val="21"/>
          <w:highlight w:val="none"/>
          <w:u w:val="none"/>
          <w:lang w:val="en-US" w:eastAsia="zh-CN"/>
        </w:rPr>
        <w:t>1)对水生动物的影响</w:t>
      </w:r>
    </w:p>
    <w:p>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lang w:val="en-US" w:eastAsia="zh-CN"/>
        </w:rPr>
      </w:pPr>
      <w:r>
        <w:rPr>
          <w:rFonts w:hint="default" w:ascii="Times New Roman" w:hAnsi="Times New Roman" w:cs="Times New Roman"/>
          <w:bCs/>
          <w:color w:val="auto"/>
          <w:sz w:val="24"/>
          <w:szCs w:val="21"/>
          <w:highlight w:val="none"/>
          <w:u w:val="none"/>
          <w:lang w:val="en-US" w:eastAsia="zh-CN"/>
        </w:rPr>
        <w:t>对东洞庭湖自然保护区有一级保护鱼类中华鲟、二级保护鱼类胭脂鱼、以及江豚。按照江豚、中华鲟、胭脂鱼的生活习性，根据本项目施工及运营特征，项目不涉及水域施工，不涉及上述动物的分布区及洄游通道，故对东洞庭湖国家级自然保护区的影响区域很小，项目施工</w:t>
      </w:r>
      <w:r>
        <w:rPr>
          <w:rFonts w:hint="eastAsia" w:ascii="Times New Roman" w:hAnsi="Times New Roman" w:cs="Times New Roman"/>
          <w:bCs/>
          <w:color w:val="auto"/>
          <w:sz w:val="24"/>
          <w:szCs w:val="21"/>
          <w:highlight w:val="none"/>
          <w:u w:val="none"/>
          <w:lang w:val="en-US" w:eastAsia="zh-CN"/>
        </w:rPr>
        <w:t>过程未</w:t>
      </w:r>
      <w:r>
        <w:rPr>
          <w:rFonts w:hint="default" w:ascii="Times New Roman" w:hAnsi="Times New Roman" w:cs="Times New Roman"/>
          <w:bCs/>
          <w:color w:val="auto"/>
          <w:sz w:val="24"/>
          <w:szCs w:val="21"/>
          <w:highlight w:val="none"/>
          <w:u w:val="none"/>
          <w:lang w:val="en-US" w:eastAsia="zh-CN"/>
        </w:rPr>
        <w:t>对东洞庭湖国家级自然保护区的水生动物产生明显负影响。</w:t>
      </w:r>
    </w:p>
    <w:p>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lang w:val="en-US" w:eastAsia="zh-CN"/>
        </w:rPr>
      </w:pPr>
      <w:r>
        <w:rPr>
          <w:rFonts w:hint="default" w:ascii="Times New Roman" w:hAnsi="Times New Roman" w:cs="Times New Roman"/>
          <w:bCs/>
          <w:color w:val="auto"/>
          <w:sz w:val="24"/>
          <w:szCs w:val="21"/>
          <w:highlight w:val="none"/>
          <w:u w:val="none"/>
          <w:lang w:val="en-US" w:eastAsia="zh-CN"/>
        </w:rPr>
        <w:t>2)对鸟类的影响</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default" w:ascii="Times New Roman" w:hAnsi="Times New Roman" w:cs="Times New Roman"/>
          <w:bCs/>
          <w:color w:val="auto"/>
          <w:sz w:val="24"/>
          <w:szCs w:val="21"/>
          <w:highlight w:val="none"/>
          <w:u w:val="none"/>
          <w:lang w:val="en-US" w:eastAsia="zh-CN"/>
        </w:rPr>
        <w:t>东洞庭湖自然保护区的鸟类包括三大类，既冬候鸟、夏候鸟、留鸟。最为重要的是冬水禽。这些水禽中有很多珍贵的、稀有的种类，如:颧类CiconiaSP.、鹤类Grus SP.、雁类AnserSP.、天鹅类GygnusSP.等。项目建设对水禽的影响主要表现在以下两个方面。第一，冬候鸟夏季生活在凉爽的北方，入冬后，北方食物短缺，它们就沿着固定的路线迁移到南方越冬，地面地形、地貌的改变，环境的变化，直接影响它们的迁入，对其生态生境产生一定影响。第二，施工期间，在施工区域的这些优势种鸟类由于环境的变化影响了它们的生活、取食环境将被迫离开它们原来的领域，邻近领域的优势种鸟类也由于受到施工噪声的惊吓，也将远离原来的栖息地，但是这种不利影响有时间限制，当临时征地区域的植被恢复后，它们仍可以回到原来的领域，继续生活，而且这些鸟类在非施工区内可以找到相同或相似生境，可迁移到合适生境中生活，对其</w:t>
      </w:r>
      <w:r>
        <w:rPr>
          <w:rFonts w:hint="eastAsia" w:ascii="Times New Roman" w:hAnsi="Times New Roman" w:cs="Times New Roman"/>
          <w:bCs/>
          <w:color w:val="auto"/>
          <w:sz w:val="24"/>
          <w:szCs w:val="21"/>
          <w:highlight w:val="none"/>
          <w:u w:val="none"/>
          <w:lang w:val="en-US" w:eastAsia="zh-CN"/>
        </w:rPr>
        <w:t>生存不会造成长期的、不可逆的不利影响。</w:t>
      </w:r>
    </w:p>
    <w:p>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lang w:val="en-US" w:eastAsia="zh-CN"/>
        </w:rPr>
      </w:pPr>
      <w:r>
        <w:rPr>
          <w:rFonts w:hint="default" w:ascii="Times New Roman" w:hAnsi="Times New Roman" w:cs="Times New Roman"/>
          <w:bCs/>
          <w:color w:val="auto"/>
          <w:sz w:val="24"/>
          <w:szCs w:val="21"/>
          <w:highlight w:val="none"/>
          <w:u w:val="none"/>
          <w:lang w:val="en-US" w:eastAsia="zh-CN"/>
        </w:rPr>
        <w:t>3)对两栖类动物的影响</w:t>
      </w:r>
    </w:p>
    <w:p>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lang w:val="en-US" w:eastAsia="zh-CN"/>
        </w:rPr>
      </w:pPr>
      <w:r>
        <w:rPr>
          <w:rFonts w:hint="default" w:ascii="Times New Roman" w:hAnsi="Times New Roman" w:cs="Times New Roman"/>
          <w:bCs/>
          <w:color w:val="auto"/>
          <w:sz w:val="24"/>
          <w:szCs w:val="21"/>
          <w:highlight w:val="none"/>
          <w:u w:val="none"/>
          <w:lang w:val="en-US" w:eastAsia="zh-CN"/>
        </w:rPr>
        <w:t>两栖类动物最主要的生活习性就是在水域和陆地间交替生活，而且具有准确的迁徙路线。东洞庭湖自然保护区主要两栖类动物有鳖、龟类.、蛙类、蟹类、扬子鳄、麇鹿等。这些动物有国家重点保护的种类，有省级重点保护的种类。麇鹿、扬子鳄为国家一级保护种，科研价值、经济价值都很高。</w:t>
      </w:r>
    </w:p>
    <w:p>
      <w:pPr>
        <w:pStyle w:val="65"/>
        <w:ind w:firstLine="480"/>
        <w:rPr>
          <w:rFonts w:hint="eastAsia" w:ascii="Times New Roman" w:hAnsi="Times New Roman" w:eastAsia="宋体" w:cs="Times New Roman"/>
          <w:color w:val="auto"/>
          <w:lang w:val="en-US" w:eastAsia="zh-CN"/>
        </w:rPr>
      </w:pPr>
      <w:r>
        <w:rPr>
          <w:rFonts w:hint="default" w:ascii="Times New Roman" w:hAnsi="Times New Roman" w:cs="Times New Roman"/>
          <w:bCs/>
          <w:color w:val="auto"/>
          <w:sz w:val="24"/>
          <w:szCs w:val="21"/>
          <w:highlight w:val="none"/>
          <w:u w:val="none"/>
          <w:lang w:val="en-US" w:eastAsia="zh-CN"/>
        </w:rPr>
        <w:t>陆生动物和两栖类动物一样，有各自固定的活动范围和路线。保护区内的白额雁、灰鹤、麇鹿具有迁移特性，本项目距离麋鹿活动的红旗湖甚远(在30km以外)，并且不会对其并往返于长江-洞庭湖之间的通道产生阻拦和任何破坏，因此，项目工程建设不会对其产生影响。</w:t>
      </w:r>
    </w:p>
    <w:p>
      <w:pPr>
        <w:keepNext/>
        <w:widowControl w:val="0"/>
        <w:adjustRightInd w:val="0"/>
        <w:snapToGrid w:val="0"/>
        <w:spacing w:line="360" w:lineRule="auto"/>
        <w:ind w:firstLine="0" w:firstLineChars="0"/>
        <w:jc w:val="both"/>
        <w:outlineLvl w:val="2"/>
        <w:rPr>
          <w:rFonts w:hint="eastAsia" w:ascii="Times New Roman" w:hAnsi="Times New Roman" w:eastAsia="宋体" w:cs="Times New Roman"/>
          <w:b/>
          <w:color w:val="auto"/>
          <w:kern w:val="2"/>
          <w:sz w:val="24"/>
          <w:szCs w:val="24"/>
          <w:lang w:val="en-US" w:eastAsia="zh-CN" w:bidi="ar-SA"/>
        </w:rPr>
      </w:pPr>
      <w:bookmarkStart w:id="265" w:name="_Toc29006"/>
      <w:bookmarkStart w:id="266" w:name="_Toc9701"/>
      <w:bookmarkStart w:id="267" w:name="_Toc16148"/>
      <w:bookmarkStart w:id="268" w:name="_Toc18522"/>
      <w:bookmarkStart w:id="269" w:name="_Toc19684"/>
      <w:r>
        <w:rPr>
          <w:rFonts w:hint="eastAsia" w:ascii="Times New Roman" w:hAnsi="Times New Roman" w:eastAsia="宋体" w:cs="Times New Roman"/>
          <w:b/>
          <w:color w:val="auto"/>
          <w:kern w:val="2"/>
          <w:sz w:val="24"/>
          <w:szCs w:val="24"/>
          <w:lang w:val="en-US" w:eastAsia="zh-CN" w:bidi="ar-SA"/>
        </w:rPr>
        <w:t>4.1.</w:t>
      </w:r>
      <w:bookmarkEnd w:id="265"/>
      <w:bookmarkEnd w:id="266"/>
      <w:bookmarkEnd w:id="267"/>
      <w:bookmarkEnd w:id="268"/>
      <w:bookmarkEnd w:id="269"/>
      <w:r>
        <w:rPr>
          <w:rFonts w:hint="eastAsia" w:ascii="Times New Roman" w:hAnsi="Times New Roman" w:eastAsia="宋体" w:cs="Times New Roman"/>
          <w:b/>
          <w:color w:val="auto"/>
          <w:kern w:val="2"/>
          <w:sz w:val="24"/>
          <w:szCs w:val="24"/>
          <w:lang w:val="en-US" w:eastAsia="zh-CN" w:bidi="ar-SA"/>
        </w:rPr>
        <w:t>4水土流失影响</w:t>
      </w:r>
    </w:p>
    <w:p>
      <w:pPr>
        <w:pStyle w:val="65"/>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在施工过程中由于开挖地面、机械碾压、排放废弃物等原因，施工破坏了原有的地貌，进一步扰动了表土结构，致使土壤抗蚀能力降低。已裸露的土壤极易被降雨径流冲刷而产生水土流失，特别是暴雨时冲刷更为严重。其中地表开挖、填方等不同地貌部位和不同时期可发生不同形式的水土流失。</w:t>
      </w:r>
      <w:r>
        <w:rPr>
          <w:rFonts w:hint="eastAsia" w:ascii="Times New Roman" w:hAnsi="Times New Roman" w:eastAsia="宋体" w:cs="Times New Roman"/>
          <w:color w:val="auto"/>
          <w:lang w:val="en-US" w:eastAsia="zh-CN"/>
        </w:rPr>
        <w:t>项目目前已建成，根据现场走访、询问及勘查，施工期未出现大规模水土流失现象，现状场地已采取了合理的绿化及硬化措施，无裸露土壤存在，不存在水土流失隐患</w:t>
      </w:r>
      <w:r>
        <w:rPr>
          <w:rFonts w:hint="default" w:ascii="Times New Roman" w:hAnsi="Times New Roman" w:eastAsia="宋体" w:cs="Times New Roman"/>
          <w:color w:val="auto"/>
          <w:lang w:val="en-US" w:eastAsia="zh-CN"/>
        </w:rPr>
        <w:t>。</w:t>
      </w:r>
    </w:p>
    <w:p>
      <w:pPr>
        <w:keepNext/>
        <w:keepLines/>
        <w:widowControl w:val="0"/>
        <w:adjustRightInd w:val="0"/>
        <w:snapToGrid w:val="0"/>
        <w:spacing w:before="0" w:after="0" w:line="360" w:lineRule="auto"/>
        <w:jc w:val="both"/>
        <w:outlineLvl w:val="1"/>
        <w:rPr>
          <w:rFonts w:hint="default" w:ascii="Times New Roman" w:hAnsi="Times New Roman" w:eastAsia="宋体" w:cs="Times New Roman"/>
          <w:b/>
          <w:bCs/>
          <w:color w:val="auto"/>
          <w:kern w:val="2"/>
          <w:sz w:val="28"/>
          <w:szCs w:val="28"/>
          <w:lang w:val="en-US" w:eastAsia="zh-CN" w:bidi="ar-SA"/>
        </w:rPr>
      </w:pPr>
      <w:bookmarkStart w:id="270" w:name="_Toc28130"/>
      <w:bookmarkStart w:id="271" w:name="_Toc18090"/>
      <w:bookmarkStart w:id="272" w:name="_Toc6378"/>
      <w:r>
        <w:rPr>
          <w:rFonts w:ascii="Times New Roman" w:hAnsi="Times New Roman" w:eastAsia="宋体" w:cs="Times New Roman"/>
          <w:b/>
          <w:bCs/>
          <w:color w:val="auto"/>
          <w:kern w:val="2"/>
          <w:sz w:val="28"/>
          <w:szCs w:val="28"/>
          <w:lang w:val="en-US" w:eastAsia="zh-CN" w:bidi="ar-SA"/>
        </w:rPr>
        <w:t>4.</w:t>
      </w:r>
      <w:r>
        <w:rPr>
          <w:rFonts w:hint="eastAsia" w:ascii="Times New Roman" w:hAnsi="Times New Roman" w:eastAsia="宋体" w:cs="Times New Roman"/>
          <w:b/>
          <w:bCs/>
          <w:color w:val="auto"/>
          <w:kern w:val="2"/>
          <w:sz w:val="28"/>
          <w:szCs w:val="28"/>
          <w:lang w:val="en-US" w:eastAsia="zh-CN" w:bidi="ar-SA"/>
        </w:rPr>
        <w:t>2</w:t>
      </w:r>
      <w:r>
        <w:rPr>
          <w:rFonts w:ascii="Times New Roman" w:hAnsi="Times New Roman" w:eastAsia="宋体" w:cs="Times New Roman"/>
          <w:b/>
          <w:bCs/>
          <w:color w:val="auto"/>
          <w:kern w:val="2"/>
          <w:sz w:val="28"/>
          <w:szCs w:val="28"/>
          <w:lang w:val="en-US" w:eastAsia="zh-CN" w:bidi="ar-SA"/>
        </w:rPr>
        <w:t xml:space="preserve"> </w:t>
      </w:r>
      <w:r>
        <w:rPr>
          <w:rFonts w:hint="eastAsia" w:ascii="Times New Roman" w:hAnsi="Times New Roman" w:eastAsia="宋体" w:cs="Times New Roman"/>
          <w:b/>
          <w:bCs/>
          <w:color w:val="auto"/>
          <w:kern w:val="2"/>
          <w:sz w:val="28"/>
          <w:szCs w:val="28"/>
          <w:lang w:val="en-US" w:eastAsia="zh-CN" w:bidi="ar-SA"/>
        </w:rPr>
        <w:t>运营期生态环境影响分析与评价</w:t>
      </w:r>
      <w:bookmarkEnd w:id="270"/>
      <w:bookmarkEnd w:id="271"/>
      <w:bookmarkEnd w:id="272"/>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4.2</w:t>
      </w:r>
      <w:r>
        <w:rPr>
          <w:rFonts w:hint="default" w:ascii="Times New Roman" w:hAnsi="Times New Roman" w:eastAsia="宋体" w:cs="Times New Roman"/>
          <w:b/>
          <w:color w:val="auto"/>
          <w:kern w:val="2"/>
          <w:sz w:val="24"/>
          <w:szCs w:val="24"/>
          <w:lang w:val="en-US" w:eastAsia="zh-CN" w:bidi="ar-SA"/>
        </w:rPr>
        <w:t>.1占地类型环境影响分析</w:t>
      </w:r>
    </w:p>
    <w:p>
      <w:pPr>
        <w:pStyle w:val="65"/>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本工程建设占用的土地为永久占地，具有不可逆性，将对土地资源造成一定程度的影响。但是由于</w:t>
      </w:r>
      <w:r>
        <w:rPr>
          <w:rFonts w:hint="eastAsia" w:ascii="Times New Roman" w:hAnsi="Times New Roman" w:eastAsia="宋体" w:cs="Times New Roman"/>
          <w:color w:val="auto"/>
          <w:lang w:val="en-US" w:eastAsia="zh-CN"/>
        </w:rPr>
        <w:t>项目</w:t>
      </w:r>
      <w:r>
        <w:rPr>
          <w:rFonts w:hint="default" w:ascii="Times New Roman" w:hAnsi="Times New Roman" w:eastAsia="宋体" w:cs="Times New Roman"/>
          <w:color w:val="auto"/>
          <w:lang w:val="en-US" w:eastAsia="zh-CN"/>
        </w:rPr>
        <w:t>占地仅为直接影响区很少的一部分，对于</w:t>
      </w:r>
      <w:r>
        <w:rPr>
          <w:rFonts w:hint="eastAsia" w:ascii="Times New Roman" w:hAnsi="Times New Roman" w:eastAsia="宋体" w:cs="Times New Roman"/>
          <w:color w:val="auto"/>
          <w:lang w:val="en-US" w:eastAsia="zh-CN"/>
        </w:rPr>
        <w:t>华容</w:t>
      </w:r>
      <w:r>
        <w:rPr>
          <w:rFonts w:hint="default" w:ascii="Times New Roman" w:hAnsi="Times New Roman" w:eastAsia="宋体" w:cs="Times New Roman"/>
          <w:color w:val="auto"/>
          <w:lang w:val="en-US" w:eastAsia="zh-CN"/>
        </w:rPr>
        <w:t>县的土地平衡影响很小；通过当地政府进行土地调整和规划，不会对当地土地利用总体格局产生大的影响。工程临时用地主要为旱地及林地，临时用地施工结束后覆土，恢复原有土地利用功能，对占地影响较小。</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4.2</w:t>
      </w:r>
      <w:r>
        <w:rPr>
          <w:rFonts w:hint="default" w:ascii="Times New Roman" w:hAnsi="Times New Roman" w:eastAsia="宋体" w:cs="Times New Roman"/>
          <w:b/>
          <w:color w:val="auto"/>
          <w:kern w:val="2"/>
          <w:sz w:val="24"/>
          <w:szCs w:val="24"/>
          <w:lang w:val="en-US" w:eastAsia="zh-CN" w:bidi="ar-SA"/>
        </w:rPr>
        <w:t>.2对</w:t>
      </w:r>
      <w:r>
        <w:rPr>
          <w:rFonts w:hint="eastAsia" w:eastAsia="宋体" w:cs="Times New Roman"/>
          <w:b/>
          <w:color w:val="auto"/>
          <w:kern w:val="2"/>
          <w:sz w:val="24"/>
          <w:szCs w:val="24"/>
          <w:lang w:val="en-US" w:eastAsia="zh-CN" w:bidi="ar-SA"/>
        </w:rPr>
        <w:t>项目周边</w:t>
      </w:r>
      <w:r>
        <w:rPr>
          <w:rFonts w:hint="default" w:ascii="Times New Roman" w:hAnsi="Times New Roman" w:eastAsia="宋体" w:cs="Times New Roman"/>
          <w:b/>
          <w:color w:val="auto"/>
          <w:kern w:val="2"/>
          <w:sz w:val="24"/>
          <w:szCs w:val="24"/>
          <w:lang w:val="en-US" w:eastAsia="zh-CN" w:bidi="ar-SA"/>
        </w:rPr>
        <w:t>植被的影响分析</w:t>
      </w:r>
    </w:p>
    <w:p>
      <w:pPr>
        <w:pStyle w:val="65"/>
        <w:ind w:firstLine="480"/>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项目建成后的永久占地会对区域内主要植被造成一定的破坏，</w:t>
      </w:r>
      <w:r>
        <w:rPr>
          <w:rFonts w:hint="eastAsia" w:ascii="Times New Roman" w:hAnsi="Times New Roman" w:eastAsia="宋体" w:cs="Times New Roman"/>
          <w:color w:val="auto"/>
          <w:lang w:val="en-US" w:eastAsia="zh-CN"/>
        </w:rPr>
        <w:t>本项目为房地产开发建设项目，营运期的主要环境污染源为噪声和油烟、停车场废气以及少量垃圾桶恶臭，生活污水经隔油池和化粪池预处理后经自建管道流入市政污水管网，不直接外排，污染源对植被造成的影响很小，故营运期对植被的影响很小。</w:t>
      </w:r>
    </w:p>
    <w:p>
      <w:pPr>
        <w:pStyle w:val="65"/>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工程竣工后通过对进行景观绿化恢复会带来一定的正面影响。项目建设不会导致植被群落分布和群落结构的明显变化，更不会导致植被物种的消失，因此，项目运营后对植被影响较小。</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4.2</w:t>
      </w:r>
      <w:r>
        <w:rPr>
          <w:rFonts w:hint="default" w:ascii="Times New Roman" w:hAnsi="Times New Roman" w:eastAsia="宋体" w:cs="Times New Roman"/>
          <w:b/>
          <w:color w:val="auto"/>
          <w:kern w:val="2"/>
          <w:sz w:val="24"/>
          <w:szCs w:val="24"/>
          <w:lang w:val="en-US" w:eastAsia="zh-CN" w:bidi="ar-SA"/>
        </w:rPr>
        <w:t>.3对</w:t>
      </w:r>
      <w:r>
        <w:rPr>
          <w:rFonts w:hint="eastAsia" w:eastAsia="宋体" w:cs="Times New Roman"/>
          <w:b/>
          <w:color w:val="auto"/>
          <w:kern w:val="2"/>
          <w:sz w:val="24"/>
          <w:szCs w:val="24"/>
          <w:lang w:val="en-US" w:eastAsia="zh-CN" w:bidi="ar-SA"/>
        </w:rPr>
        <w:t>项目周边</w:t>
      </w:r>
      <w:r>
        <w:rPr>
          <w:rFonts w:hint="default" w:ascii="Times New Roman" w:hAnsi="Times New Roman" w:eastAsia="宋体" w:cs="Times New Roman"/>
          <w:b/>
          <w:color w:val="auto"/>
          <w:kern w:val="2"/>
          <w:sz w:val="24"/>
          <w:szCs w:val="24"/>
          <w:lang w:val="en-US" w:eastAsia="zh-CN" w:bidi="ar-SA"/>
        </w:rPr>
        <w:t>动物的影响分析</w:t>
      </w:r>
    </w:p>
    <w:p>
      <w:pPr>
        <w:pStyle w:val="65"/>
        <w:ind w:firstLine="48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项目所在区域动物主要为</w:t>
      </w:r>
      <w:r>
        <w:rPr>
          <w:rFonts w:hint="default" w:ascii="Times New Roman" w:hAnsi="Times New Roman" w:eastAsia="宋体" w:cs="Times New Roman"/>
          <w:color w:val="auto"/>
          <w:lang w:val="en-US" w:eastAsia="zh-CN"/>
        </w:rPr>
        <w:t>常见的鸟类、啮齿类动物，</w:t>
      </w:r>
      <w:r>
        <w:rPr>
          <w:rFonts w:hint="eastAsia" w:ascii="Times New Roman" w:hAnsi="Times New Roman" w:eastAsia="宋体" w:cs="Times New Roman"/>
          <w:color w:val="auto"/>
          <w:lang w:val="en-US" w:eastAsia="zh-CN"/>
        </w:rPr>
        <w:t>已基本适应了人类活动带来的影响。</w:t>
      </w:r>
    </w:p>
    <w:p>
      <w:pPr>
        <w:pStyle w:val="65"/>
        <w:ind w:firstLine="48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本项目为房地产开发建设项目，营运期的主要环境污染源为噪声和油烟、停车场废气以及少量垃圾桶恶臭，生活污水经隔油池和化粪池预处理后经自建管道流入市政污水管网，不直接外排，污染源对植被造成的影响很小，故营运期对</w:t>
      </w:r>
      <w:r>
        <w:rPr>
          <w:rFonts w:hint="default" w:ascii="Times New Roman" w:hAnsi="Times New Roman" w:eastAsia="宋体" w:cs="Times New Roman"/>
          <w:color w:val="auto"/>
          <w:lang w:val="en-US" w:eastAsia="zh-CN"/>
        </w:rPr>
        <w:t>对动物的种群大小和活动范围影响有限。</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4.2</w:t>
      </w:r>
      <w:r>
        <w:rPr>
          <w:rFonts w:hint="default" w:ascii="Times New Roman" w:hAnsi="Times New Roman" w:eastAsia="宋体" w:cs="Times New Roman"/>
          <w:b/>
          <w:color w:val="auto"/>
          <w:kern w:val="2"/>
          <w:sz w:val="24"/>
          <w:szCs w:val="24"/>
          <w:lang w:val="en-US" w:eastAsia="zh-CN" w:bidi="ar-SA"/>
        </w:rPr>
        <w:t>.4对区域生态体系完整性及景观的影响分析</w:t>
      </w:r>
    </w:p>
    <w:p>
      <w:pPr>
        <w:pStyle w:val="65"/>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项目区域植被主要以毛竹林、杉木林、灌丛和草丛等此生植被及人工植被为主。区域内植被分布面积较大，且组成较为单一，群落结构简单，</w:t>
      </w:r>
      <w:r>
        <w:rPr>
          <w:rFonts w:hint="eastAsia" w:ascii="Times New Roman" w:hAnsi="Times New Roman" w:eastAsia="宋体" w:cs="Times New Roman"/>
          <w:color w:val="auto"/>
          <w:lang w:val="en-US" w:eastAsia="zh-CN"/>
        </w:rPr>
        <w:t>项目</w:t>
      </w:r>
      <w:r>
        <w:rPr>
          <w:rFonts w:hint="default" w:ascii="Times New Roman" w:hAnsi="Times New Roman" w:eastAsia="宋体" w:cs="Times New Roman"/>
          <w:color w:val="auto"/>
          <w:lang w:val="en-US" w:eastAsia="zh-CN"/>
        </w:rPr>
        <w:t>建设占用面积比例较小，因此，项目运营期对项目评价区自然体系的生态影响也会很小，而且工程完工后通过自然生态系统体系的自我调节和水土保持及迹地恢复等工程措施，区域自然体系的性质和功能将得到恢复。</w:t>
      </w:r>
    </w:p>
    <w:p>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lang w:val="en-US" w:eastAsia="zh-CN"/>
        </w:rPr>
      </w:pPr>
      <w:bookmarkStart w:id="273" w:name="_Toc43457067"/>
      <w:r>
        <w:rPr>
          <w:rFonts w:hint="default" w:ascii="Times New Roman" w:hAnsi="Times New Roman" w:cs="Times New Roman"/>
          <w:bCs/>
          <w:color w:val="auto"/>
          <w:sz w:val="24"/>
          <w:szCs w:val="21"/>
          <w:highlight w:val="none"/>
          <w:u w:val="none"/>
          <w:lang w:val="en-US" w:eastAsia="zh-CN"/>
        </w:rPr>
        <w:t>生态景观是社会、经济、自然复合生态系统的多维生态网络，包括自然生态景观和人文生态景观，强调格局、过程和功能的多维耦合，是由物理的、化学的、生物的、区域的、社会的、经济的及文化的组分在时、空、量、构、序范畴上相互作用形成的人与自然的复合生态网络。它不仅包括有形的地理和生物景观，还包括了无形的个体与整体、内部与外部、过去和未来以及主观与客观问的系统生态联系。它强调人类生态系统内部与外部环境之间的和谐，系统结构和功能的耦合，过去、现在和未来发展的关联及融洽性。所以，该项目尽管只占地</w:t>
      </w:r>
      <w:r>
        <w:rPr>
          <w:rFonts w:hint="eastAsia" w:ascii="仿宋" w:hAnsi="仿宋" w:eastAsia="仿宋" w:cs="仿宋"/>
          <w:bCs w:val="0"/>
          <w:snapToGrid w:val="0"/>
          <w:color w:val="auto"/>
          <w:spacing w:val="0"/>
          <w:kern w:val="0"/>
          <w:position w:val="0"/>
          <w:sz w:val="28"/>
          <w:szCs w:val="28"/>
          <w:highlight w:val="none"/>
          <w:u w:val="none"/>
          <w:lang w:val="en-US" w:eastAsia="zh-CN" w:bidi="ar-SA"/>
        </w:rPr>
        <w:t>57672</w:t>
      </w:r>
      <w:r>
        <w:rPr>
          <w:rFonts w:hint="default" w:ascii="Times New Roman" w:hAnsi="Times New Roman" w:cs="Times New Roman"/>
          <w:bCs/>
          <w:color w:val="auto"/>
          <w:sz w:val="24"/>
          <w:szCs w:val="21"/>
          <w:highlight w:val="none"/>
          <w:u w:val="none"/>
          <w:lang w:val="en-US" w:eastAsia="zh-CN"/>
        </w:rPr>
        <w:t>m</w:t>
      </w:r>
      <w:r>
        <w:rPr>
          <w:rFonts w:hint="default" w:ascii="Times New Roman" w:hAnsi="Times New Roman" w:cs="Times New Roman"/>
          <w:bCs/>
          <w:color w:val="auto"/>
          <w:sz w:val="24"/>
          <w:szCs w:val="21"/>
          <w:highlight w:val="none"/>
          <w:u w:val="none"/>
          <w:vertAlign w:val="superscript"/>
          <w:lang w:val="en-US" w:eastAsia="zh-CN"/>
        </w:rPr>
        <w:t>2</w:t>
      </w:r>
      <w:r>
        <w:rPr>
          <w:rFonts w:hint="default" w:ascii="Times New Roman" w:hAnsi="Times New Roman" w:cs="Times New Roman"/>
          <w:bCs/>
          <w:color w:val="auto"/>
          <w:sz w:val="24"/>
          <w:szCs w:val="21"/>
          <w:highlight w:val="none"/>
          <w:u w:val="none"/>
          <w:lang w:val="en-US" w:eastAsia="zh-CN"/>
        </w:rPr>
        <w:t>，该地块景观生态风险体现在两个方面，一是对自然植被的移除，二是潜在的人工建筑的大小、体量、颜色、风格、式样需要进行精心设计及评估。</w:t>
      </w:r>
      <w:r>
        <w:rPr>
          <w:rFonts w:hint="eastAsia" w:ascii="Times New Roman" w:hAnsi="Times New Roman" w:cs="Times New Roman"/>
          <w:bCs/>
          <w:color w:val="auto"/>
          <w:sz w:val="24"/>
          <w:szCs w:val="21"/>
          <w:highlight w:val="none"/>
          <w:u w:val="none"/>
          <w:lang w:val="en-US" w:eastAsia="zh-CN"/>
        </w:rPr>
        <w:t>本项目目前已建成，项目周边为团洲乡城镇建成区，项目的整体建筑风格为徽派建筑，与周边环境较为相融。</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4.2.5</w:t>
      </w:r>
      <w:r>
        <w:rPr>
          <w:rFonts w:hint="default" w:ascii="Times New Roman" w:hAnsi="Times New Roman" w:eastAsia="宋体" w:cs="Times New Roman"/>
          <w:b/>
          <w:color w:val="auto"/>
          <w:kern w:val="2"/>
          <w:sz w:val="24"/>
          <w:szCs w:val="24"/>
          <w:lang w:val="en-US" w:eastAsia="zh-CN" w:bidi="ar-SA"/>
        </w:rPr>
        <w:t>保护区累积生态影响分析析</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评价范围内永久占地面积为</w:t>
      </w:r>
      <w:r>
        <w:rPr>
          <w:rFonts w:hint="eastAsia" w:ascii="Times New Roman" w:hAnsi="Times New Roman" w:eastAsia="宋体" w:cs="Times New Roman"/>
          <w:bCs/>
          <w:color w:val="auto"/>
          <w:sz w:val="24"/>
          <w:szCs w:val="21"/>
          <w:highlight w:val="none"/>
          <w:u w:val="none"/>
          <w:lang w:val="en-US" w:eastAsia="zh-CN"/>
        </w:rPr>
        <w:t>57672</w:t>
      </w:r>
      <w:r>
        <w:rPr>
          <w:rFonts w:hint="default" w:ascii="Times New Roman" w:hAnsi="Times New Roman" w:eastAsia="宋体" w:cs="Times New Roman"/>
          <w:bCs/>
          <w:color w:val="auto"/>
          <w:sz w:val="24"/>
          <w:szCs w:val="21"/>
          <w:highlight w:val="none"/>
          <w:u w:val="none"/>
          <w:lang w:val="en-US" w:eastAsia="zh-CN"/>
        </w:rPr>
        <w:t>m²，均为自然保护区</w:t>
      </w:r>
      <w:r>
        <w:rPr>
          <w:rFonts w:hint="eastAsia" w:cs="Times New Roman"/>
          <w:bCs/>
          <w:color w:val="auto"/>
          <w:sz w:val="24"/>
          <w:szCs w:val="21"/>
          <w:highlight w:val="none"/>
          <w:u w:val="none"/>
          <w:lang w:val="en-US" w:eastAsia="zh-CN"/>
        </w:rPr>
        <w:t>优化整合前的</w:t>
      </w:r>
      <w:r>
        <w:rPr>
          <w:rFonts w:hint="default" w:ascii="Times New Roman" w:hAnsi="Times New Roman" w:eastAsia="宋体" w:cs="Times New Roman"/>
          <w:bCs/>
          <w:color w:val="auto"/>
          <w:sz w:val="24"/>
          <w:szCs w:val="21"/>
          <w:highlight w:val="none"/>
          <w:u w:val="none"/>
          <w:lang w:val="en-US" w:eastAsia="zh-CN"/>
        </w:rPr>
        <w:t>实验区，实验区永久占地面积占自然保护区总面积((</w:t>
      </w:r>
      <w:r>
        <w:rPr>
          <w:rFonts w:hint="eastAsia" w:cs="Times New Roman"/>
          <w:bCs/>
          <w:color w:val="auto"/>
          <w:sz w:val="24"/>
          <w:szCs w:val="21"/>
          <w:highlight w:val="none"/>
          <w:u w:val="none"/>
          <w:lang w:val="en-US" w:eastAsia="zh-CN"/>
        </w:rPr>
        <w:t>15.7627</w:t>
      </w:r>
      <w:r>
        <w:rPr>
          <w:rFonts w:hint="default" w:ascii="Times New Roman" w:hAnsi="Times New Roman" w:eastAsia="宋体" w:cs="Times New Roman"/>
          <w:bCs/>
          <w:color w:val="auto"/>
          <w:sz w:val="24"/>
          <w:szCs w:val="21"/>
          <w:highlight w:val="none"/>
          <w:u w:val="none"/>
          <w:lang w:val="en-US" w:eastAsia="zh-CN"/>
        </w:rPr>
        <w:t>x10</w:t>
      </w:r>
      <w:r>
        <w:rPr>
          <w:rFonts w:hint="eastAsia" w:cs="Times New Roman"/>
          <w:bCs/>
          <w:color w:val="auto"/>
          <w:sz w:val="24"/>
          <w:szCs w:val="21"/>
          <w:highlight w:val="none"/>
          <w:u w:val="none"/>
          <w:vertAlign w:val="superscript"/>
          <w:lang w:val="en-US" w:eastAsia="zh-CN"/>
        </w:rPr>
        <w:t>4</w:t>
      </w:r>
      <w:r>
        <w:rPr>
          <w:rFonts w:hint="default" w:ascii="Times New Roman" w:hAnsi="Times New Roman" w:eastAsia="宋体" w:cs="Times New Roman"/>
          <w:bCs/>
          <w:color w:val="auto"/>
          <w:sz w:val="24"/>
          <w:szCs w:val="21"/>
          <w:highlight w:val="none"/>
          <w:u w:val="none"/>
          <w:lang w:val="en-US" w:eastAsia="zh-CN"/>
        </w:rPr>
        <w:t>hm</w:t>
      </w:r>
      <w:r>
        <w:rPr>
          <w:rFonts w:hint="default" w:ascii="Times New Roman" w:hAnsi="Times New Roman" w:eastAsia="宋体" w:cs="Times New Roman"/>
          <w:bCs/>
          <w:color w:val="auto"/>
          <w:sz w:val="24"/>
          <w:szCs w:val="21"/>
          <w:highlight w:val="none"/>
          <w:u w:val="none"/>
          <w:vertAlign w:val="superscript"/>
          <w:lang w:val="en-US" w:eastAsia="zh-CN"/>
        </w:rPr>
        <w:t>2</w:t>
      </w:r>
      <w:r>
        <w:rPr>
          <w:rFonts w:hint="default" w:ascii="Times New Roman" w:hAnsi="Times New Roman" w:eastAsia="宋体" w:cs="Times New Roman"/>
          <w:bCs/>
          <w:color w:val="auto"/>
          <w:sz w:val="24"/>
          <w:szCs w:val="21"/>
          <w:highlight w:val="none"/>
          <w:u w:val="none"/>
          <w:lang w:val="en-US" w:eastAsia="zh-CN"/>
        </w:rPr>
        <w:t>)的0.00</w:t>
      </w:r>
      <w:r>
        <w:rPr>
          <w:rFonts w:hint="eastAsia" w:cs="Times New Roman"/>
          <w:bCs/>
          <w:color w:val="auto"/>
          <w:sz w:val="24"/>
          <w:szCs w:val="21"/>
          <w:highlight w:val="none"/>
          <w:u w:val="none"/>
          <w:lang w:val="en-US" w:eastAsia="zh-CN"/>
        </w:rPr>
        <w:t>4</w:t>
      </w:r>
      <w:r>
        <w:rPr>
          <w:rFonts w:hint="default" w:ascii="Times New Roman" w:hAnsi="Times New Roman" w:eastAsia="宋体" w:cs="Times New Roman"/>
          <w:bCs/>
          <w:color w:val="auto"/>
          <w:sz w:val="24"/>
          <w:szCs w:val="21"/>
          <w:highlight w:val="none"/>
          <w:u w:val="none"/>
          <w:lang w:val="en-US" w:eastAsia="zh-CN"/>
        </w:rPr>
        <w:t>%，所占比重极小，且区域均为已有城市建成区，不会使保护区生态环境破碎化。</w:t>
      </w:r>
    </w:p>
    <w:p>
      <w:pPr>
        <w:adjustRightInd w:val="0"/>
        <w:snapToGrid w:val="0"/>
        <w:spacing w:line="360" w:lineRule="auto"/>
        <w:ind w:firstLine="480" w:firstLineChars="200"/>
        <w:jc w:val="left"/>
        <w:rPr>
          <w:rFonts w:ascii="Times New Roman" w:hAnsi="Times New Roman"/>
          <w:bCs w:val="0"/>
          <w:snapToGrid w:val="0"/>
          <w:color w:val="auto"/>
          <w:kern w:val="0"/>
          <w:sz w:val="30"/>
          <w:szCs w:val="30"/>
        </w:rPr>
        <w:sectPr>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eastAsia="宋体" w:cs="Times New Roman"/>
          <w:bCs/>
          <w:color w:val="auto"/>
          <w:sz w:val="24"/>
          <w:szCs w:val="21"/>
          <w:highlight w:val="none"/>
          <w:u w:val="none"/>
          <w:lang w:val="en-US" w:eastAsia="zh-CN"/>
        </w:rPr>
        <w:t>项目植被类型涉及的物种均为常见种，易于栽植和恢复;周边无珍稀濒危的野生植物种类:周边没有国家级珍稀野生动物分布，其影响数量有限。项目施工和运营不会使保护区某一生境或物种消失，且影响的种类在保护区范围内分布较多，不会对保护区原有生态系统结构和功能产生较大影响。项目因营运期污染主要为设备噪声、</w:t>
      </w:r>
      <w:r>
        <w:rPr>
          <w:rFonts w:hint="eastAsia" w:ascii="Times New Roman" w:hAnsi="Times New Roman" w:eastAsia="宋体" w:cs="Times New Roman"/>
          <w:bCs/>
          <w:color w:val="auto"/>
          <w:sz w:val="24"/>
          <w:szCs w:val="21"/>
          <w:highlight w:val="none"/>
          <w:u w:val="none"/>
          <w:lang w:val="en-US" w:eastAsia="zh-CN"/>
        </w:rPr>
        <w:t>厨房</w:t>
      </w:r>
      <w:r>
        <w:rPr>
          <w:rFonts w:hint="default" w:ascii="Times New Roman" w:hAnsi="Times New Roman" w:eastAsia="宋体" w:cs="Times New Roman"/>
          <w:bCs/>
          <w:color w:val="auto"/>
          <w:sz w:val="24"/>
          <w:szCs w:val="21"/>
          <w:highlight w:val="none"/>
          <w:u w:val="none"/>
          <w:lang w:val="en-US" w:eastAsia="zh-CN"/>
        </w:rPr>
        <w:t>油烟及住户产生的固废垃圾、生活污水，采取生态专题报告提出措施后，不会对保护区造成明显的不利影响。</w:t>
      </w:r>
      <w:r>
        <w:rPr>
          <w:rFonts w:hint="default" w:ascii="Times New Roman" w:hAnsi="Times New Roman" w:cs="Times New Roman"/>
          <w:b/>
          <w:bCs/>
          <w:color w:val="auto"/>
          <w:spacing w:val="20"/>
          <w:sz w:val="32"/>
          <w:szCs w:val="32"/>
          <w:lang w:val="en-GB"/>
        </w:rPr>
        <w:br w:type="page"/>
      </w:r>
    </w:p>
    <w:p>
      <w:pPr>
        <w:keepNext/>
        <w:widowControl w:val="0"/>
        <w:overflowPunct w:val="0"/>
        <w:snapToGrid w:val="0"/>
        <w:spacing w:before="120" w:after="160" w:line="259" w:lineRule="auto"/>
        <w:ind w:left="432" w:hanging="432"/>
        <w:jc w:val="both"/>
        <w:outlineLvl w:val="0"/>
        <w:rPr>
          <w:rFonts w:ascii="Times New Roman" w:hAnsi="Times New Roman" w:eastAsia="宋体" w:cs="Times New Roman"/>
          <w:b/>
          <w:bCs w:val="0"/>
          <w:snapToGrid w:val="0"/>
          <w:color w:val="auto"/>
          <w:kern w:val="0"/>
          <w:sz w:val="30"/>
          <w:szCs w:val="30"/>
          <w:lang w:val="en-US" w:eastAsia="zh-CN" w:bidi="ar-SA"/>
        </w:rPr>
      </w:pPr>
      <w:bookmarkStart w:id="274" w:name="_Toc26868"/>
      <w:bookmarkStart w:id="275" w:name="_Toc10029"/>
      <w:bookmarkStart w:id="276" w:name="_Toc6600"/>
      <w:bookmarkStart w:id="277" w:name="_Toc17890"/>
      <w:bookmarkStart w:id="278" w:name="_Toc9956"/>
      <w:r>
        <w:rPr>
          <w:rFonts w:ascii="Times New Roman" w:hAnsi="Times New Roman" w:eastAsia="宋体" w:cs="Times New Roman"/>
          <w:b/>
          <w:bCs w:val="0"/>
          <w:snapToGrid w:val="0"/>
          <w:color w:val="auto"/>
          <w:kern w:val="0"/>
          <w:sz w:val="30"/>
          <w:szCs w:val="30"/>
          <w:lang w:val="en-US" w:eastAsia="zh-CN" w:bidi="ar-SA"/>
        </w:rPr>
        <w:t>5生态</w:t>
      </w:r>
      <w:bookmarkEnd w:id="273"/>
      <w:r>
        <w:rPr>
          <w:rFonts w:ascii="Times New Roman" w:hAnsi="Times New Roman" w:eastAsia="宋体" w:cs="Times New Roman"/>
          <w:b/>
          <w:bCs w:val="0"/>
          <w:snapToGrid w:val="0"/>
          <w:color w:val="auto"/>
          <w:kern w:val="0"/>
          <w:sz w:val="30"/>
          <w:szCs w:val="30"/>
          <w:lang w:val="en-US" w:eastAsia="zh-CN" w:bidi="ar-SA"/>
        </w:rPr>
        <w:t>保护对策措施</w:t>
      </w:r>
      <w:bookmarkEnd w:id="274"/>
      <w:bookmarkEnd w:id="275"/>
      <w:bookmarkEnd w:id="276"/>
      <w:bookmarkEnd w:id="277"/>
      <w:bookmarkEnd w:id="278"/>
    </w:p>
    <w:p>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lang w:val="en-US" w:eastAsia="zh-CN" w:bidi="ar-SA"/>
        </w:rPr>
      </w:pPr>
      <w:bookmarkStart w:id="279" w:name="_Toc28369"/>
      <w:bookmarkStart w:id="280" w:name="_Toc1734"/>
      <w:bookmarkStart w:id="281" w:name="_Toc6967"/>
      <w:bookmarkStart w:id="282" w:name="_Toc15182"/>
      <w:bookmarkStart w:id="283" w:name="_Toc7266"/>
      <w:bookmarkStart w:id="284" w:name="_Toc8205"/>
      <w:bookmarkStart w:id="285" w:name="_Toc3275"/>
      <w:bookmarkStart w:id="286" w:name="_Toc5278"/>
      <w:r>
        <w:rPr>
          <w:rFonts w:ascii="Times New Roman" w:hAnsi="Times New Roman" w:eastAsia="宋体" w:cs="Times New Roman"/>
          <w:b/>
          <w:bCs/>
          <w:color w:val="auto"/>
          <w:kern w:val="2"/>
          <w:sz w:val="28"/>
          <w:szCs w:val="28"/>
          <w:lang w:val="en-US" w:eastAsia="zh-CN" w:bidi="ar-SA"/>
        </w:rPr>
        <w:t>5.1施工期生态保护措施</w:t>
      </w:r>
      <w:bookmarkEnd w:id="279"/>
      <w:bookmarkEnd w:id="280"/>
      <w:bookmarkEnd w:id="281"/>
      <w:bookmarkEnd w:id="282"/>
      <w:bookmarkEnd w:id="283"/>
      <w:bookmarkEnd w:id="284"/>
      <w:bookmarkEnd w:id="285"/>
      <w:bookmarkEnd w:id="286"/>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5.1.1</w:t>
      </w:r>
      <w:r>
        <w:rPr>
          <w:rFonts w:hint="default" w:ascii="Times New Roman" w:hAnsi="Times New Roman" w:cs="Times New Roman"/>
          <w:b/>
          <w:bCs/>
          <w:color w:val="auto"/>
          <w:lang w:val="en-US" w:eastAsia="zh-CN"/>
        </w:rPr>
        <w:t>施工管理</w:t>
      </w:r>
      <w:r>
        <w:rPr>
          <w:rFonts w:hint="eastAsia" w:ascii="Times New Roman" w:hAnsi="Times New Roman" w:cs="Times New Roman"/>
          <w:b/>
          <w:bCs/>
          <w:color w:val="auto"/>
          <w:lang w:val="en-US" w:eastAsia="zh-CN"/>
        </w:rPr>
        <w:t>措施</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项目现状已建成，根据回顾性调查，项目施工期</w:t>
      </w:r>
      <w:r>
        <w:rPr>
          <w:rFonts w:hint="default" w:ascii="Times New Roman" w:hAnsi="Times New Roman" w:eastAsia="宋体" w:cs="Times New Roman"/>
          <w:bCs/>
          <w:color w:val="auto"/>
          <w:sz w:val="24"/>
          <w:szCs w:val="21"/>
          <w:highlight w:val="none"/>
          <w:u w:val="none"/>
          <w:lang w:val="en-US" w:eastAsia="zh-CN"/>
        </w:rPr>
        <w:t>合理组织施工，严格施工作业，在建设过程中，做好防护，加强</w:t>
      </w:r>
      <w:r>
        <w:rPr>
          <w:rFonts w:hint="eastAsia" w:ascii="Times New Roman" w:hAnsi="Times New Roman" w:eastAsia="宋体" w:cs="Times New Roman"/>
          <w:bCs/>
          <w:color w:val="auto"/>
          <w:sz w:val="24"/>
          <w:szCs w:val="21"/>
          <w:highlight w:val="none"/>
          <w:u w:val="none"/>
          <w:lang w:val="en-US" w:eastAsia="zh-CN"/>
        </w:rPr>
        <w:t>了</w:t>
      </w:r>
      <w:r>
        <w:rPr>
          <w:rFonts w:hint="default" w:ascii="Times New Roman" w:hAnsi="Times New Roman" w:eastAsia="宋体" w:cs="Times New Roman"/>
          <w:bCs/>
          <w:color w:val="auto"/>
          <w:sz w:val="24"/>
          <w:szCs w:val="21"/>
          <w:highlight w:val="none"/>
          <w:u w:val="none"/>
          <w:lang w:val="en-US" w:eastAsia="zh-CN"/>
        </w:rPr>
        <w:t>施工区污废水、泥浆的管控</w:t>
      </w:r>
      <w:r>
        <w:rPr>
          <w:rFonts w:hint="eastAsia" w:ascii="Times New Roman" w:hAnsi="Times New Roman" w:eastAsia="宋体" w:cs="Times New Roman"/>
          <w:bCs/>
          <w:color w:val="auto"/>
          <w:sz w:val="24"/>
          <w:szCs w:val="21"/>
          <w:highlight w:val="none"/>
          <w:u w:val="none"/>
          <w:lang w:val="en-US" w:eastAsia="zh-CN"/>
        </w:rPr>
        <w:t>，未出现大量施工废水、泥浆外排现象；</w:t>
      </w:r>
      <w:r>
        <w:rPr>
          <w:rFonts w:hint="default" w:ascii="Times New Roman" w:hAnsi="Times New Roman" w:eastAsia="宋体" w:cs="Times New Roman"/>
          <w:bCs/>
          <w:color w:val="auto"/>
          <w:sz w:val="24"/>
          <w:szCs w:val="21"/>
          <w:highlight w:val="none"/>
          <w:u w:val="none"/>
          <w:lang w:val="en-US" w:eastAsia="zh-CN"/>
        </w:rPr>
        <w:t>加强施工期材料的管理，妥善放置，及时清理，</w:t>
      </w:r>
      <w:r>
        <w:rPr>
          <w:rFonts w:hint="eastAsia" w:ascii="Times New Roman" w:hAnsi="Times New Roman" w:eastAsia="宋体" w:cs="Times New Roman"/>
          <w:bCs/>
          <w:color w:val="auto"/>
          <w:sz w:val="24"/>
          <w:szCs w:val="21"/>
          <w:highlight w:val="none"/>
          <w:u w:val="none"/>
          <w:lang w:val="en-US" w:eastAsia="zh-CN"/>
        </w:rPr>
        <w:t>未对</w:t>
      </w:r>
      <w:r>
        <w:rPr>
          <w:rFonts w:hint="default" w:ascii="Times New Roman" w:hAnsi="Times New Roman" w:eastAsia="宋体" w:cs="Times New Roman"/>
          <w:bCs/>
          <w:color w:val="auto"/>
          <w:sz w:val="24"/>
          <w:szCs w:val="21"/>
          <w:highlight w:val="none"/>
          <w:u w:val="none"/>
          <w:lang w:val="en-US" w:eastAsia="zh-CN"/>
        </w:rPr>
        <w:t>对</w:t>
      </w:r>
      <w:r>
        <w:rPr>
          <w:rFonts w:hint="eastAsia" w:ascii="Times New Roman" w:hAnsi="Times New Roman" w:eastAsia="宋体" w:cs="Times New Roman"/>
          <w:bCs/>
          <w:color w:val="auto"/>
          <w:sz w:val="24"/>
          <w:szCs w:val="21"/>
          <w:highlight w:val="none"/>
          <w:u w:val="none"/>
          <w:lang w:val="en-US" w:eastAsia="zh-CN"/>
        </w:rPr>
        <w:t>周边</w:t>
      </w:r>
      <w:r>
        <w:rPr>
          <w:rFonts w:hint="default" w:ascii="Times New Roman" w:hAnsi="Times New Roman" w:eastAsia="宋体" w:cs="Times New Roman"/>
          <w:bCs/>
          <w:color w:val="auto"/>
          <w:sz w:val="24"/>
          <w:szCs w:val="21"/>
          <w:highlight w:val="none"/>
          <w:u w:val="none"/>
          <w:lang w:val="en-US" w:eastAsia="zh-CN"/>
        </w:rPr>
        <w:t>水质</w:t>
      </w:r>
      <w:r>
        <w:rPr>
          <w:rFonts w:hint="eastAsia" w:ascii="Times New Roman" w:hAnsi="Times New Roman" w:eastAsia="宋体" w:cs="Times New Roman"/>
          <w:bCs/>
          <w:color w:val="auto"/>
          <w:sz w:val="24"/>
          <w:szCs w:val="21"/>
          <w:highlight w:val="none"/>
          <w:u w:val="none"/>
          <w:lang w:val="en-US" w:eastAsia="zh-CN"/>
        </w:rPr>
        <w:t>以及周边大气环境</w:t>
      </w:r>
      <w:r>
        <w:rPr>
          <w:rFonts w:hint="default" w:ascii="Times New Roman" w:hAnsi="Times New Roman" w:eastAsia="宋体" w:cs="Times New Roman"/>
          <w:bCs/>
          <w:color w:val="auto"/>
          <w:sz w:val="24"/>
          <w:szCs w:val="21"/>
          <w:highlight w:val="none"/>
          <w:u w:val="none"/>
          <w:lang w:val="en-US" w:eastAsia="zh-CN"/>
        </w:rPr>
        <w:t>造成污染。</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5.1.2</w:t>
      </w:r>
      <w:r>
        <w:rPr>
          <w:rFonts w:hint="default" w:ascii="Times New Roman" w:hAnsi="Times New Roman" w:cs="Times New Roman"/>
          <w:b/>
          <w:bCs/>
          <w:color w:val="auto"/>
          <w:u w:val="none"/>
          <w:lang w:val="en-US" w:eastAsia="zh-CN"/>
        </w:rPr>
        <w:t>占地</w:t>
      </w:r>
      <w:r>
        <w:rPr>
          <w:rFonts w:hint="eastAsia" w:ascii="Times New Roman" w:hAnsi="Times New Roman" w:cs="Times New Roman"/>
          <w:b/>
          <w:bCs/>
          <w:color w:val="auto"/>
          <w:u w:val="none"/>
          <w:lang w:val="en-US" w:eastAsia="zh-CN"/>
        </w:rPr>
        <w:t>恢复措施</w:t>
      </w:r>
    </w:p>
    <w:p>
      <w:pPr>
        <w:adjustRightInd w:val="0"/>
        <w:snapToGrid w:val="0"/>
        <w:spacing w:line="360" w:lineRule="auto"/>
        <w:ind w:firstLine="480" w:firstLineChars="200"/>
        <w:jc w:val="left"/>
        <w:rPr>
          <w:rFonts w:hint="default" w:ascii="Times New Roman" w:hAnsi="Times New Roman" w:eastAsia="宋体" w:cs="Times New Roman"/>
          <w:color w:val="auto"/>
          <w:u w:val="none"/>
          <w:lang w:val="en-US" w:eastAsia="zh-CN"/>
        </w:rPr>
      </w:pPr>
      <w:r>
        <w:rPr>
          <w:rFonts w:hint="default" w:ascii="Times New Roman" w:hAnsi="Times New Roman" w:eastAsia="宋体" w:cs="Times New Roman"/>
          <w:bCs/>
          <w:color w:val="auto"/>
          <w:sz w:val="24"/>
          <w:szCs w:val="21"/>
          <w:highlight w:val="none"/>
          <w:u w:val="none"/>
          <w:lang w:val="en-US" w:eastAsia="zh-CN"/>
        </w:rPr>
        <w:t>本项目占地类型主要为旱地、</w:t>
      </w:r>
      <w:r>
        <w:rPr>
          <w:rFonts w:hint="eastAsia" w:ascii="Times New Roman" w:hAnsi="Times New Roman" w:eastAsia="宋体" w:cs="Times New Roman"/>
          <w:bCs/>
          <w:color w:val="auto"/>
          <w:sz w:val="24"/>
          <w:szCs w:val="21"/>
          <w:highlight w:val="none"/>
          <w:u w:val="none"/>
          <w:lang w:val="en-US" w:eastAsia="zh-CN"/>
        </w:rPr>
        <w:t>水田</w:t>
      </w:r>
      <w:r>
        <w:rPr>
          <w:rFonts w:hint="default" w:ascii="Times New Roman" w:hAnsi="Times New Roman" w:eastAsia="宋体" w:cs="Times New Roman"/>
          <w:bCs/>
          <w:color w:val="auto"/>
          <w:sz w:val="24"/>
          <w:szCs w:val="21"/>
          <w:highlight w:val="none"/>
          <w:u w:val="none"/>
          <w:lang w:val="en-US" w:eastAsia="zh-CN"/>
        </w:rPr>
        <w:t>，占地内现有地表植被将受到破坏，使区域生物量受到损失，对区域生态环境造成一定的影响。施工结束后对</w:t>
      </w:r>
      <w:r>
        <w:rPr>
          <w:rFonts w:hint="eastAsia" w:ascii="Times New Roman" w:hAnsi="Times New Roman" w:eastAsia="宋体" w:cs="Times New Roman"/>
          <w:bCs/>
          <w:color w:val="auto"/>
          <w:sz w:val="24"/>
          <w:szCs w:val="21"/>
          <w:highlight w:val="none"/>
          <w:u w:val="none"/>
          <w:lang w:val="en-US" w:eastAsia="zh-CN"/>
        </w:rPr>
        <w:t>安置区内绿化用地进行</w:t>
      </w:r>
      <w:r>
        <w:rPr>
          <w:rFonts w:hint="default" w:ascii="Times New Roman" w:hAnsi="Times New Roman" w:eastAsia="宋体" w:cs="Times New Roman"/>
          <w:bCs/>
          <w:color w:val="auto"/>
          <w:sz w:val="24"/>
          <w:szCs w:val="21"/>
          <w:highlight w:val="none"/>
          <w:u w:val="none"/>
          <w:lang w:val="en-US" w:eastAsia="zh-CN"/>
        </w:rPr>
        <w:t>回覆表土，</w:t>
      </w:r>
      <w:r>
        <w:rPr>
          <w:rFonts w:hint="eastAsia" w:ascii="Times New Roman" w:hAnsi="Times New Roman" w:eastAsia="宋体" w:cs="Times New Roman"/>
          <w:bCs/>
          <w:color w:val="auto"/>
          <w:sz w:val="24"/>
          <w:szCs w:val="21"/>
          <w:highlight w:val="none"/>
          <w:u w:val="none"/>
          <w:lang w:val="en-US" w:eastAsia="zh-CN"/>
        </w:rPr>
        <w:t>绿化恢复，</w:t>
      </w:r>
      <w:r>
        <w:rPr>
          <w:rFonts w:hint="default" w:ascii="Times New Roman" w:hAnsi="Times New Roman" w:eastAsia="宋体" w:cs="Times New Roman"/>
          <w:bCs/>
          <w:color w:val="auto"/>
          <w:sz w:val="24"/>
          <w:szCs w:val="21"/>
          <w:highlight w:val="none"/>
          <w:u w:val="none"/>
          <w:lang w:val="en-US" w:eastAsia="zh-CN"/>
        </w:rPr>
        <w:t>做好</w:t>
      </w:r>
      <w:r>
        <w:rPr>
          <w:rFonts w:hint="eastAsia" w:ascii="Times New Roman" w:hAnsi="Times New Roman" w:eastAsia="宋体" w:cs="Times New Roman"/>
          <w:bCs/>
          <w:color w:val="auto"/>
          <w:sz w:val="24"/>
          <w:szCs w:val="21"/>
          <w:highlight w:val="none"/>
          <w:u w:val="none"/>
          <w:lang w:val="en-US" w:eastAsia="zh-CN"/>
        </w:rPr>
        <w:t>了</w:t>
      </w:r>
      <w:r>
        <w:rPr>
          <w:rFonts w:hint="default" w:ascii="Times New Roman" w:hAnsi="Times New Roman" w:eastAsia="宋体" w:cs="Times New Roman"/>
          <w:bCs/>
          <w:color w:val="auto"/>
          <w:sz w:val="24"/>
          <w:szCs w:val="21"/>
          <w:highlight w:val="none"/>
          <w:u w:val="none"/>
          <w:lang w:val="en-US" w:eastAsia="zh-CN"/>
        </w:rPr>
        <w:t>绿化补偿工作</w:t>
      </w:r>
      <w:r>
        <w:rPr>
          <w:rFonts w:hint="default" w:ascii="Times New Roman" w:hAnsi="Times New Roman" w:eastAsia="宋体" w:cs="Times New Roman"/>
          <w:color w:val="auto"/>
          <w:u w:val="none"/>
          <w:lang w:val="en-US" w:eastAsia="zh-CN"/>
        </w:rPr>
        <w:t>。</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5.1.3对</w:t>
      </w:r>
      <w:r>
        <w:rPr>
          <w:rFonts w:hint="eastAsia" w:eastAsia="宋体" w:cs="Times New Roman"/>
          <w:b/>
          <w:color w:val="auto"/>
          <w:kern w:val="2"/>
          <w:sz w:val="24"/>
          <w:szCs w:val="24"/>
          <w:lang w:val="en-US" w:eastAsia="zh-CN" w:bidi="ar-SA"/>
        </w:rPr>
        <w:t>项目周边</w:t>
      </w:r>
      <w:r>
        <w:rPr>
          <w:rFonts w:hint="default" w:ascii="Times New Roman" w:hAnsi="Times New Roman" w:cs="Times New Roman"/>
          <w:b/>
          <w:bCs/>
          <w:color w:val="auto"/>
          <w:lang w:val="en-US" w:eastAsia="zh-CN"/>
        </w:rPr>
        <w:t>动植物保护措施</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1、</w:t>
      </w:r>
      <w:r>
        <w:rPr>
          <w:rFonts w:hint="default" w:ascii="Times New Roman" w:hAnsi="Times New Roman" w:eastAsia="宋体" w:cs="Times New Roman"/>
          <w:bCs/>
          <w:color w:val="auto"/>
          <w:sz w:val="24"/>
          <w:szCs w:val="21"/>
          <w:highlight w:val="none"/>
          <w:u w:val="none"/>
          <w:lang w:val="en-US" w:eastAsia="zh-CN"/>
        </w:rPr>
        <w:t>对施工</w:t>
      </w:r>
      <w:r>
        <w:rPr>
          <w:rFonts w:hint="eastAsia" w:ascii="Times New Roman" w:hAnsi="Times New Roman" w:eastAsia="宋体" w:cs="Times New Roman"/>
          <w:bCs/>
          <w:color w:val="auto"/>
          <w:sz w:val="24"/>
          <w:szCs w:val="21"/>
          <w:highlight w:val="none"/>
          <w:u w:val="none"/>
          <w:lang w:val="en-US" w:eastAsia="zh-CN"/>
        </w:rPr>
        <w:t>周边区域</w:t>
      </w:r>
      <w:r>
        <w:rPr>
          <w:rFonts w:hint="default" w:ascii="Times New Roman" w:hAnsi="Times New Roman" w:eastAsia="宋体" w:cs="Times New Roman"/>
          <w:bCs/>
          <w:color w:val="auto"/>
          <w:sz w:val="24"/>
          <w:szCs w:val="21"/>
          <w:highlight w:val="none"/>
          <w:u w:val="none"/>
          <w:lang w:val="en-US" w:eastAsia="zh-CN"/>
        </w:rPr>
        <w:t>植被的保护措施</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①施工期标明</w:t>
      </w:r>
      <w:r>
        <w:rPr>
          <w:rFonts w:hint="eastAsia" w:ascii="Times New Roman" w:hAnsi="Times New Roman" w:eastAsia="宋体" w:cs="Times New Roman"/>
          <w:bCs/>
          <w:color w:val="auto"/>
          <w:sz w:val="24"/>
          <w:szCs w:val="21"/>
          <w:highlight w:val="none"/>
          <w:u w:val="none"/>
          <w:lang w:val="en-US" w:eastAsia="zh-CN"/>
        </w:rPr>
        <w:t>了</w:t>
      </w:r>
      <w:r>
        <w:rPr>
          <w:rFonts w:hint="default" w:ascii="Times New Roman" w:hAnsi="Times New Roman" w:eastAsia="宋体" w:cs="Times New Roman"/>
          <w:bCs/>
          <w:color w:val="auto"/>
          <w:sz w:val="24"/>
          <w:szCs w:val="21"/>
          <w:highlight w:val="none"/>
          <w:u w:val="none"/>
          <w:lang w:val="en-US" w:eastAsia="zh-CN"/>
        </w:rPr>
        <w:t>施工活动区，施工人员和车辆在进行各类活动、运送建筑材料和土方时，按照现有道路进行，避免</w:t>
      </w:r>
      <w:r>
        <w:rPr>
          <w:rFonts w:hint="eastAsia" w:ascii="Times New Roman" w:hAnsi="Times New Roman" w:eastAsia="宋体" w:cs="Times New Roman"/>
          <w:bCs/>
          <w:color w:val="auto"/>
          <w:sz w:val="24"/>
          <w:szCs w:val="21"/>
          <w:highlight w:val="none"/>
          <w:u w:val="none"/>
          <w:lang w:val="en-US" w:eastAsia="zh-CN"/>
        </w:rPr>
        <w:t>了</w:t>
      </w:r>
      <w:r>
        <w:rPr>
          <w:rFonts w:hint="default" w:ascii="Times New Roman" w:hAnsi="Times New Roman" w:eastAsia="宋体" w:cs="Times New Roman"/>
          <w:bCs/>
          <w:color w:val="auto"/>
          <w:sz w:val="24"/>
          <w:szCs w:val="21"/>
          <w:highlight w:val="none"/>
          <w:u w:val="none"/>
          <w:lang w:val="en-US" w:eastAsia="zh-CN"/>
        </w:rPr>
        <w:t>大面积的破坏植被。</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②合理规划设计临时设施，不得随意修建；运输易产生扬尘的沙土时，</w:t>
      </w:r>
      <w:r>
        <w:rPr>
          <w:rFonts w:hint="eastAsia" w:ascii="Times New Roman" w:hAnsi="Times New Roman" w:eastAsia="宋体" w:cs="Times New Roman"/>
          <w:bCs/>
          <w:color w:val="auto"/>
          <w:sz w:val="24"/>
          <w:szCs w:val="21"/>
          <w:highlight w:val="none"/>
          <w:u w:val="none"/>
          <w:lang w:val="en-US" w:eastAsia="zh-CN"/>
        </w:rPr>
        <w:t>采取了</w:t>
      </w:r>
      <w:r>
        <w:rPr>
          <w:rFonts w:hint="default" w:ascii="Times New Roman" w:hAnsi="Times New Roman" w:eastAsia="宋体" w:cs="Times New Roman"/>
          <w:bCs/>
          <w:color w:val="auto"/>
          <w:sz w:val="24"/>
          <w:szCs w:val="21"/>
          <w:highlight w:val="none"/>
          <w:u w:val="none"/>
          <w:lang w:val="en-US" w:eastAsia="zh-CN"/>
        </w:rPr>
        <w:t>洒水或覆盖遮挡物。</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③</w:t>
      </w:r>
      <w:r>
        <w:rPr>
          <w:rFonts w:hint="eastAsia" w:ascii="Times New Roman" w:hAnsi="Times New Roman" w:eastAsia="宋体" w:cs="Times New Roman"/>
          <w:bCs/>
          <w:color w:val="auto"/>
          <w:sz w:val="24"/>
          <w:szCs w:val="21"/>
          <w:highlight w:val="none"/>
          <w:u w:val="none"/>
          <w:lang w:val="en-US" w:eastAsia="zh-CN"/>
        </w:rPr>
        <w:t>在进行场地三通一平</w:t>
      </w:r>
      <w:r>
        <w:rPr>
          <w:rFonts w:hint="default" w:ascii="Times New Roman" w:hAnsi="Times New Roman" w:eastAsia="宋体" w:cs="Times New Roman"/>
          <w:bCs/>
          <w:color w:val="auto"/>
          <w:sz w:val="24"/>
          <w:szCs w:val="21"/>
          <w:highlight w:val="none"/>
          <w:u w:val="none"/>
          <w:lang w:val="en-US" w:eastAsia="zh-CN"/>
        </w:rPr>
        <w:t>及临时工程的设置</w:t>
      </w:r>
      <w:r>
        <w:rPr>
          <w:rFonts w:hint="eastAsia" w:ascii="Times New Roman" w:hAnsi="Times New Roman" w:eastAsia="宋体" w:cs="Times New Roman"/>
          <w:bCs/>
          <w:color w:val="auto"/>
          <w:sz w:val="24"/>
          <w:szCs w:val="21"/>
          <w:highlight w:val="none"/>
          <w:u w:val="none"/>
          <w:lang w:val="en-US" w:eastAsia="zh-CN"/>
        </w:rPr>
        <w:t>时均</w:t>
      </w:r>
      <w:r>
        <w:rPr>
          <w:rFonts w:hint="default" w:ascii="Times New Roman" w:hAnsi="Times New Roman" w:eastAsia="宋体" w:cs="Times New Roman"/>
          <w:bCs/>
          <w:color w:val="auto"/>
          <w:sz w:val="24"/>
          <w:szCs w:val="21"/>
          <w:highlight w:val="none"/>
          <w:u w:val="none"/>
          <w:lang w:val="en-US" w:eastAsia="zh-CN"/>
        </w:rPr>
        <w:t>采取措施加以恢复；施工前应剥离表层土，在</w:t>
      </w:r>
      <w:r>
        <w:rPr>
          <w:rFonts w:hint="eastAsia" w:ascii="Times New Roman" w:hAnsi="Times New Roman" w:eastAsia="宋体" w:cs="Times New Roman"/>
          <w:bCs/>
          <w:color w:val="auto"/>
          <w:sz w:val="24"/>
          <w:szCs w:val="21"/>
          <w:highlight w:val="none"/>
          <w:u w:val="none"/>
          <w:lang w:val="en-US" w:eastAsia="zh-CN"/>
        </w:rPr>
        <w:t>工程永久占地</w:t>
      </w:r>
      <w:r>
        <w:rPr>
          <w:rFonts w:hint="default" w:ascii="Times New Roman" w:hAnsi="Times New Roman" w:eastAsia="宋体" w:cs="Times New Roman"/>
          <w:bCs/>
          <w:color w:val="auto"/>
          <w:sz w:val="24"/>
          <w:szCs w:val="21"/>
          <w:highlight w:val="none"/>
          <w:u w:val="none"/>
          <w:lang w:val="en-US" w:eastAsia="zh-CN"/>
        </w:rPr>
        <w:t>区域作为临时堆土区进行堆放，施工完毕后，在采取水土保持措施的同时将剥离的表土层进行回填覆土，并种植当地乔、灌、草，进行迹地恢复。</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④施工结束后，应严格按照水保方案对工程区域进行复耕和植被恢复。</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2、</w:t>
      </w:r>
      <w:r>
        <w:rPr>
          <w:rFonts w:hint="default" w:ascii="Times New Roman" w:hAnsi="Times New Roman" w:eastAsia="宋体" w:cs="Times New Roman"/>
          <w:bCs/>
          <w:color w:val="auto"/>
          <w:sz w:val="24"/>
          <w:szCs w:val="21"/>
          <w:highlight w:val="none"/>
          <w:u w:val="none"/>
          <w:lang w:val="en-US" w:eastAsia="zh-CN"/>
        </w:rPr>
        <w:t>对施工</w:t>
      </w:r>
      <w:r>
        <w:rPr>
          <w:rFonts w:hint="eastAsia" w:ascii="Times New Roman" w:hAnsi="Times New Roman" w:eastAsia="宋体" w:cs="Times New Roman"/>
          <w:bCs/>
          <w:color w:val="auto"/>
          <w:sz w:val="24"/>
          <w:szCs w:val="21"/>
          <w:highlight w:val="none"/>
          <w:u w:val="none"/>
          <w:lang w:val="en-US" w:eastAsia="zh-CN"/>
        </w:rPr>
        <w:t>周边区域</w:t>
      </w:r>
      <w:r>
        <w:rPr>
          <w:rFonts w:hint="default" w:ascii="Times New Roman" w:hAnsi="Times New Roman" w:eastAsia="宋体" w:cs="Times New Roman"/>
          <w:bCs/>
          <w:color w:val="auto"/>
          <w:sz w:val="24"/>
          <w:szCs w:val="21"/>
          <w:highlight w:val="none"/>
          <w:u w:val="none"/>
          <w:lang w:val="en-US" w:eastAsia="zh-CN"/>
        </w:rPr>
        <w:t>动物的保护措施</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本工程施工</w:t>
      </w:r>
      <w:r>
        <w:rPr>
          <w:rFonts w:hint="eastAsia" w:ascii="Times New Roman" w:hAnsi="Times New Roman" w:eastAsia="宋体" w:cs="Times New Roman"/>
          <w:bCs/>
          <w:color w:val="auto"/>
          <w:sz w:val="24"/>
          <w:szCs w:val="21"/>
          <w:highlight w:val="none"/>
          <w:u w:val="none"/>
          <w:lang w:val="en-US" w:eastAsia="zh-CN"/>
        </w:rPr>
        <w:t>范围及周边</w:t>
      </w:r>
      <w:r>
        <w:rPr>
          <w:rFonts w:hint="default" w:ascii="Times New Roman" w:hAnsi="Times New Roman" w:eastAsia="宋体" w:cs="Times New Roman"/>
          <w:bCs/>
          <w:color w:val="auto"/>
          <w:sz w:val="24"/>
          <w:szCs w:val="21"/>
          <w:highlight w:val="none"/>
          <w:u w:val="none"/>
          <w:lang w:val="en-US" w:eastAsia="zh-CN"/>
        </w:rPr>
        <w:t>仅有一些常见鸟类、啮齿类动物少量存在，施工过程中由于开挖建设会对</w:t>
      </w:r>
      <w:r>
        <w:rPr>
          <w:rFonts w:hint="eastAsia" w:ascii="Times New Roman" w:hAnsi="Times New Roman" w:eastAsia="宋体" w:cs="Times New Roman"/>
          <w:bCs/>
          <w:color w:val="auto"/>
          <w:sz w:val="24"/>
          <w:szCs w:val="21"/>
          <w:highlight w:val="none"/>
          <w:u w:val="none"/>
          <w:lang w:val="en-US" w:eastAsia="zh-CN"/>
        </w:rPr>
        <w:t>区域及周边</w:t>
      </w:r>
      <w:r>
        <w:rPr>
          <w:rFonts w:hint="default" w:ascii="Times New Roman" w:hAnsi="Times New Roman" w:eastAsia="宋体" w:cs="Times New Roman"/>
          <w:bCs/>
          <w:color w:val="auto"/>
          <w:sz w:val="24"/>
          <w:szCs w:val="21"/>
          <w:highlight w:val="none"/>
          <w:u w:val="none"/>
          <w:lang w:val="en-US" w:eastAsia="zh-CN"/>
        </w:rPr>
        <w:t>的啮齿类动物产生影响。</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①提高施工人员的环境保护意识，严禁捕狩野生动物。</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②大力宣传两栖、爬行动物对农林卫生的有益作用，如蛙类、蛇类等要摄食大量害虫、害鼠，呼吁当地居民和施工人员自觉保护野生动物。由于鸟类有较强扩散能力，工程施工将使它们迁移到别处，随着施工结束，工程区的鸟类数量将逐渐恢复。</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③严禁随意砍伐森林和破坏植被，避免影响动物的栖息环境。</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④施工后期加强</w:t>
      </w:r>
      <w:r>
        <w:rPr>
          <w:rFonts w:hint="eastAsia" w:ascii="Times New Roman" w:hAnsi="Times New Roman" w:eastAsia="宋体" w:cs="Times New Roman"/>
          <w:bCs/>
          <w:color w:val="auto"/>
          <w:sz w:val="24"/>
          <w:szCs w:val="21"/>
          <w:highlight w:val="none"/>
          <w:u w:val="none"/>
          <w:lang w:val="en-US" w:eastAsia="zh-CN"/>
        </w:rPr>
        <w:t>安置区内</w:t>
      </w:r>
      <w:r>
        <w:rPr>
          <w:rFonts w:hint="default" w:ascii="Times New Roman" w:hAnsi="Times New Roman" w:eastAsia="宋体" w:cs="Times New Roman"/>
          <w:bCs/>
          <w:color w:val="auto"/>
          <w:sz w:val="24"/>
          <w:szCs w:val="21"/>
          <w:highlight w:val="none"/>
          <w:u w:val="none"/>
          <w:lang w:val="en-US" w:eastAsia="zh-CN"/>
        </w:rPr>
        <w:t>的绿化，尽量采用当地植物种类，以乔-灌-草结合、常绿与落叶相结合、针叶与阔叶相结合、观赏与经济植物相结合的方式，多物种、多层次和多样化的进行植物配置。</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5.1.4</w:t>
      </w:r>
      <w:r>
        <w:rPr>
          <w:rFonts w:hint="default" w:ascii="Times New Roman" w:hAnsi="Times New Roman" w:eastAsia="宋体" w:cs="Times New Roman"/>
          <w:b/>
          <w:bCs/>
          <w:color w:val="auto"/>
          <w:lang w:val="en-US" w:eastAsia="zh-CN"/>
        </w:rPr>
        <w:t>水土保持措施</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为防治水土流失，施工中应采取如下措施：</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(1)对工程区主要是做好预防保护措施及土石方平衡的合理调运利用，优化施工工艺，尽量减少弃渣量。及时运输挖方，及时填压土方，并做好施工过程中的临时拦挡、截排水、沉沙、覆盖等防护措施，从根本上防止大雨径流对开挖面和填方区的冲刷，减少水土流失量。对建设中永久占地的表层土予以收集保存，施工结束后对边坡进行植被绿化，改善和恢复生态景观。</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(2)弃渣场水土保持主要采取以下措施：</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①截排水措施：按照“上截下拦”的原则，需在弃渣边坡两侧、下游及弃渣边坡坡顶设置C20混凝土排水沟，将场内外汇水排出;堆渣顶应根据渣场推进方向、弃渣方向及积水情况开挖临时排水沟，连接周边排水沟;各类截排水沟、临时排水设施须通过沉沙池连接，并通过沉沙池沉降后排入周边排水系统；</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②拦挡措施：严格按照“先拦后弃”的要求，弃渣前在弃渣场下边坡坡脚修建挡渣墙;由于弃渣量较小，从挡渣墙顶至弃渣面按1:2放坡;弃渣场周边弃渣边界、可能出现的低缓弃渣边坡坡脚；</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③整地及迹地恢复措施：弃渣结束后对弃渣面及边坡进行平整，回填种植土，弃渣边坡采用植假俭草草皮护坡。项目区植被覆盖情况较好，对弃渣场采取乔灌草结合的林草措施，其中乔木选择当地树种湿地松，灌木选用小叶女贞、迎春花，攀缘植物有爬山虎，草类选择狗牙根等混合草籽。</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④其它措施：弃渣场施工前需将弃渣场内的表土或基层进行清理，避免渣体底部摩擦力不足造成渣体滑动，堆至弃渣场上流空旷处；</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fldChar w:fldCharType="begin"/>
      </w:r>
      <w:r>
        <w:rPr>
          <w:rFonts w:hint="default" w:ascii="Times New Roman" w:hAnsi="Times New Roman" w:eastAsia="宋体" w:cs="Times New Roman"/>
          <w:bCs/>
          <w:color w:val="auto"/>
          <w:sz w:val="24"/>
          <w:szCs w:val="21"/>
          <w:highlight w:val="none"/>
          <w:u w:val="none"/>
          <w:lang w:val="en-US" w:eastAsia="zh-CN"/>
        </w:rPr>
        <w:instrText xml:space="preserve"> = 5 \* GB3 \* MERGEFORMAT </w:instrText>
      </w:r>
      <w:r>
        <w:rPr>
          <w:rFonts w:hint="default" w:ascii="Times New Roman" w:hAnsi="Times New Roman" w:eastAsia="宋体" w:cs="Times New Roman"/>
          <w:bCs/>
          <w:color w:val="auto"/>
          <w:sz w:val="24"/>
          <w:szCs w:val="21"/>
          <w:highlight w:val="none"/>
          <w:u w:val="none"/>
          <w:lang w:val="en-US" w:eastAsia="zh-CN"/>
        </w:rPr>
        <w:fldChar w:fldCharType="separate"/>
      </w:r>
      <w:r>
        <w:rPr>
          <w:rFonts w:hint="default" w:ascii="Times New Roman" w:hAnsi="Times New Roman" w:eastAsia="宋体" w:cs="Times New Roman"/>
          <w:bCs/>
          <w:color w:val="auto"/>
          <w:sz w:val="24"/>
          <w:szCs w:val="21"/>
          <w:highlight w:val="none"/>
          <w:u w:val="none"/>
          <w:lang w:val="en-US" w:eastAsia="zh-CN"/>
        </w:rPr>
        <w:t>⑤</w:t>
      </w:r>
      <w:r>
        <w:rPr>
          <w:rFonts w:hint="default" w:ascii="Times New Roman" w:hAnsi="Times New Roman" w:eastAsia="宋体" w:cs="Times New Roman"/>
          <w:bCs/>
          <w:color w:val="auto"/>
          <w:sz w:val="24"/>
          <w:szCs w:val="21"/>
          <w:highlight w:val="none"/>
          <w:u w:val="none"/>
          <w:lang w:val="en-US" w:eastAsia="zh-CN"/>
        </w:rPr>
        <w:fldChar w:fldCharType="end"/>
      </w:r>
      <w:r>
        <w:rPr>
          <w:rFonts w:hint="default" w:ascii="Times New Roman" w:hAnsi="Times New Roman" w:eastAsia="宋体" w:cs="Times New Roman"/>
          <w:bCs/>
          <w:color w:val="auto"/>
          <w:sz w:val="24"/>
          <w:szCs w:val="21"/>
          <w:highlight w:val="none"/>
          <w:u w:val="none"/>
          <w:lang w:val="en-US" w:eastAsia="zh-CN"/>
        </w:rPr>
        <w:t>为保证弃渣边坡的稳定，弃渣过程中应做到分层碾压弃渣，从挡渣墙顶至弃渣面按1:2放坡；</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w:t>
      </w:r>
      <w:r>
        <w:rPr>
          <w:rFonts w:hint="eastAsia" w:ascii="Times New Roman" w:hAnsi="Times New Roman" w:eastAsia="宋体" w:cs="Times New Roman"/>
          <w:bCs/>
          <w:color w:val="auto"/>
          <w:sz w:val="24"/>
          <w:szCs w:val="21"/>
          <w:highlight w:val="none"/>
          <w:u w:val="none"/>
          <w:lang w:val="en-US" w:eastAsia="zh-CN"/>
        </w:rPr>
        <w:t>3</w:t>
      </w:r>
      <w:r>
        <w:rPr>
          <w:rFonts w:hint="default" w:ascii="Times New Roman" w:hAnsi="Times New Roman" w:eastAsia="宋体" w:cs="Times New Roman"/>
          <w:bCs/>
          <w:color w:val="auto"/>
          <w:sz w:val="24"/>
          <w:szCs w:val="21"/>
          <w:highlight w:val="none"/>
          <w:u w:val="none"/>
          <w:lang w:val="en-US" w:eastAsia="zh-CN"/>
        </w:rPr>
        <w:t>)对施工临时施工生产生活区和表土临时堆置区主要是采取临时排水、拦挡及覆盖等措施，对场地进行场地清理和平整，将清理的表土覆盖堆存用于后期恢复耕作或种植林草。</w:t>
      </w:r>
    </w:p>
    <w:p>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lang w:val="en-US" w:eastAsia="zh-CN" w:bidi="ar-SA"/>
        </w:rPr>
      </w:pPr>
      <w:bookmarkStart w:id="287" w:name="_Toc5060"/>
      <w:bookmarkStart w:id="288" w:name="_Toc30574"/>
      <w:bookmarkStart w:id="289" w:name="_Toc15693"/>
      <w:bookmarkStart w:id="290" w:name="_Toc21379"/>
      <w:bookmarkStart w:id="291" w:name="_Toc13675"/>
      <w:bookmarkStart w:id="292" w:name="_Toc15962"/>
      <w:bookmarkStart w:id="293" w:name="_Toc28772"/>
      <w:bookmarkStart w:id="294" w:name="_Toc23134"/>
      <w:r>
        <w:rPr>
          <w:rFonts w:ascii="Times New Roman" w:hAnsi="Times New Roman" w:eastAsia="宋体" w:cs="Times New Roman"/>
          <w:b/>
          <w:bCs/>
          <w:color w:val="auto"/>
          <w:kern w:val="2"/>
          <w:sz w:val="28"/>
          <w:szCs w:val="28"/>
          <w:lang w:val="en-US" w:eastAsia="zh-CN" w:bidi="ar-SA"/>
        </w:rPr>
        <w:t>5.2营运期生态保护措施</w:t>
      </w:r>
      <w:bookmarkEnd w:id="287"/>
      <w:bookmarkEnd w:id="288"/>
      <w:bookmarkEnd w:id="289"/>
      <w:bookmarkEnd w:id="290"/>
      <w:bookmarkEnd w:id="291"/>
      <w:bookmarkEnd w:id="292"/>
      <w:bookmarkEnd w:id="293"/>
      <w:bookmarkEnd w:id="294"/>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项目运营期主要采取的生态保护措施如下：</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（1）施工后期应加强对绿化植物的管理与养护，以达到恢复植被的目的。</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（2）加强营运期管理，保证各项工程设施完好和确保安全生产是生态保护最基本的措施。</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（3）应加强</w:t>
      </w:r>
      <w:r>
        <w:rPr>
          <w:rFonts w:hint="eastAsia" w:ascii="Times New Roman" w:hAnsi="Times New Roman" w:eastAsia="宋体" w:cs="Times New Roman"/>
          <w:bCs/>
          <w:color w:val="auto"/>
          <w:sz w:val="24"/>
          <w:szCs w:val="21"/>
          <w:highlight w:val="none"/>
          <w:u w:val="none"/>
          <w:lang w:val="en-US" w:eastAsia="zh-CN"/>
        </w:rPr>
        <w:t>对物业及开发商的</w:t>
      </w:r>
      <w:r>
        <w:rPr>
          <w:rFonts w:hint="default" w:ascii="Times New Roman" w:hAnsi="Times New Roman" w:eastAsia="宋体" w:cs="Times New Roman"/>
          <w:bCs/>
          <w:color w:val="auto"/>
          <w:sz w:val="24"/>
          <w:szCs w:val="21"/>
          <w:highlight w:val="none"/>
          <w:u w:val="none"/>
          <w:lang w:val="en-US" w:eastAsia="zh-CN"/>
        </w:rPr>
        <w:t>管理和宣传教育，确保</w:t>
      </w:r>
      <w:r>
        <w:rPr>
          <w:rFonts w:hint="eastAsia" w:ascii="Times New Roman" w:hAnsi="Times New Roman" w:eastAsia="宋体" w:cs="Times New Roman"/>
          <w:bCs/>
          <w:color w:val="auto"/>
          <w:sz w:val="24"/>
          <w:szCs w:val="21"/>
          <w:highlight w:val="none"/>
          <w:u w:val="none"/>
          <w:lang w:val="en-US" w:eastAsia="zh-CN"/>
        </w:rPr>
        <w:t>本项目安置区内</w:t>
      </w:r>
      <w:r>
        <w:rPr>
          <w:rFonts w:hint="default" w:ascii="Times New Roman" w:hAnsi="Times New Roman" w:eastAsia="宋体" w:cs="Times New Roman"/>
          <w:bCs/>
          <w:color w:val="auto"/>
          <w:sz w:val="24"/>
          <w:szCs w:val="21"/>
          <w:highlight w:val="none"/>
          <w:u w:val="none"/>
          <w:lang w:val="en-US" w:eastAsia="zh-CN"/>
        </w:rPr>
        <w:t>绿化林带不受破坏。主体工程完后，应对工程裸地进行植被恢复，优先采用乡土植物品种</w:t>
      </w:r>
      <w:r>
        <w:rPr>
          <w:rFonts w:hint="eastAsia" w:ascii="Times New Roman" w:hAnsi="Times New Roman" w:eastAsia="宋体" w:cs="Times New Roman"/>
          <w:bCs/>
          <w:color w:val="auto"/>
          <w:sz w:val="24"/>
          <w:szCs w:val="21"/>
          <w:highlight w:val="none"/>
          <w:u w:val="none"/>
          <w:lang w:val="en-US" w:eastAsia="zh-CN"/>
        </w:rPr>
        <w:t>。</w:t>
      </w:r>
      <w:r>
        <w:rPr>
          <w:rFonts w:hint="default" w:ascii="Times New Roman" w:hAnsi="Times New Roman" w:eastAsia="宋体" w:cs="Times New Roman"/>
          <w:bCs/>
          <w:color w:val="auto"/>
          <w:sz w:val="24"/>
          <w:szCs w:val="21"/>
          <w:highlight w:val="none"/>
          <w:u w:val="none"/>
          <w:lang w:val="en-US" w:eastAsia="zh-CN"/>
        </w:rPr>
        <w:t>在植被恢复中，植物选择应考虑抗逆性、速生性、景观价值及经济成本等因素，以乔木、灌木为主，草本为辅进行植被配置或自然更新。植物物种的选择应考虑当地生态适应强的植物，如马尾松、毛竹、盐肤木、芒、丝茅等，应注意在施工时予以移栽保护，便于在植被恢复时利用。</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sectPr>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p>
    <w:p>
      <w:pPr>
        <w:widowControl/>
        <w:adjustRightInd w:val="0"/>
        <w:snapToGrid w:val="0"/>
        <w:spacing w:before="0" w:beforeAutospacing="0" w:after="0" w:afterAutospacing="0" w:line="360" w:lineRule="auto"/>
        <w:jc w:val="left"/>
        <w:outlineLvl w:val="0"/>
        <w:rPr>
          <w:rFonts w:ascii="Times New Roman" w:hAnsi="Times New Roman" w:eastAsia="宋体" w:cs="Times New Roman"/>
          <w:b/>
          <w:snapToGrid w:val="0"/>
          <w:color w:val="auto"/>
          <w:kern w:val="0"/>
          <w:sz w:val="30"/>
          <w:szCs w:val="30"/>
          <w:lang w:val="en-US" w:eastAsia="zh-CN" w:bidi="ar-SA"/>
        </w:rPr>
      </w:pPr>
      <w:bookmarkStart w:id="295" w:name="_Toc7132"/>
      <w:bookmarkStart w:id="296" w:name="_Toc25883"/>
      <w:bookmarkStart w:id="297" w:name="_Toc15047"/>
      <w:bookmarkStart w:id="298" w:name="_Toc10105"/>
      <w:bookmarkStart w:id="299" w:name="_Toc21525"/>
      <w:r>
        <w:rPr>
          <w:rFonts w:ascii="Times New Roman" w:hAnsi="Times New Roman" w:eastAsia="宋体" w:cs="Times New Roman"/>
          <w:b/>
          <w:snapToGrid w:val="0"/>
          <w:color w:val="auto"/>
          <w:kern w:val="0"/>
          <w:sz w:val="30"/>
          <w:szCs w:val="30"/>
          <w:lang w:val="en-US" w:eastAsia="zh-CN" w:bidi="ar-SA"/>
        </w:rPr>
        <w:t>6评价结论和建议</w:t>
      </w:r>
      <w:bookmarkEnd w:id="295"/>
      <w:bookmarkEnd w:id="296"/>
      <w:bookmarkEnd w:id="297"/>
      <w:bookmarkEnd w:id="298"/>
      <w:bookmarkEnd w:id="299"/>
    </w:p>
    <w:p>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lang w:val="en-US" w:eastAsia="zh-CN" w:bidi="ar-SA"/>
        </w:rPr>
      </w:pPr>
      <w:bookmarkStart w:id="300" w:name="_Toc7947"/>
      <w:bookmarkStart w:id="301" w:name="_Toc18056"/>
      <w:bookmarkStart w:id="302" w:name="_Toc24989"/>
      <w:r>
        <w:rPr>
          <w:rFonts w:ascii="Times New Roman" w:hAnsi="Times New Roman" w:eastAsia="宋体" w:cs="Times New Roman"/>
          <w:b/>
          <w:bCs/>
          <w:color w:val="auto"/>
          <w:kern w:val="2"/>
          <w:sz w:val="28"/>
          <w:szCs w:val="28"/>
          <w:lang w:val="en-US" w:eastAsia="zh-CN" w:bidi="ar-SA"/>
        </w:rPr>
        <w:t>6.1评价结论</w:t>
      </w:r>
      <w:bookmarkEnd w:id="300"/>
      <w:bookmarkEnd w:id="301"/>
      <w:bookmarkEnd w:id="302"/>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本工程对生态环境的影响主要表现为：工程占地、人为干扰、施工活动及施工活动产生的弃渣、废水、扬尘等，总体而言，项目建设将对生态环境造成一定的不利影响，本工程在设计、施工</w:t>
      </w:r>
      <w:r>
        <w:rPr>
          <w:rFonts w:hint="eastAsia" w:ascii="Times New Roman" w:hAnsi="Times New Roman" w:eastAsia="宋体" w:cs="Times New Roman"/>
          <w:bCs/>
          <w:color w:val="auto"/>
          <w:sz w:val="24"/>
          <w:szCs w:val="21"/>
          <w:highlight w:val="none"/>
          <w:u w:val="none"/>
          <w:lang w:val="en-US" w:eastAsia="zh-CN"/>
        </w:rPr>
        <w:t>已经采取了较为完善的措施防止造成较大的生态环境影响，在后续的</w:t>
      </w:r>
      <w:r>
        <w:rPr>
          <w:rFonts w:hint="default" w:ascii="Times New Roman" w:hAnsi="Times New Roman" w:eastAsia="宋体" w:cs="Times New Roman"/>
          <w:bCs/>
          <w:color w:val="auto"/>
          <w:sz w:val="24"/>
          <w:szCs w:val="21"/>
          <w:highlight w:val="none"/>
          <w:u w:val="none"/>
          <w:lang w:val="en-US" w:eastAsia="zh-CN"/>
        </w:rPr>
        <w:t>运营</w:t>
      </w:r>
      <w:r>
        <w:rPr>
          <w:rFonts w:hint="eastAsia" w:ascii="Times New Roman" w:hAnsi="Times New Roman" w:eastAsia="宋体" w:cs="Times New Roman"/>
          <w:bCs/>
          <w:color w:val="auto"/>
          <w:sz w:val="24"/>
          <w:szCs w:val="21"/>
          <w:highlight w:val="none"/>
          <w:u w:val="none"/>
          <w:lang w:val="en-US" w:eastAsia="zh-CN"/>
        </w:rPr>
        <w:t>过程</w:t>
      </w:r>
      <w:r>
        <w:rPr>
          <w:rFonts w:hint="default" w:ascii="Times New Roman" w:hAnsi="Times New Roman" w:eastAsia="宋体" w:cs="Times New Roman"/>
          <w:bCs/>
          <w:color w:val="auto"/>
          <w:sz w:val="24"/>
          <w:szCs w:val="21"/>
          <w:highlight w:val="none"/>
          <w:u w:val="none"/>
          <w:lang w:val="en-US" w:eastAsia="zh-CN"/>
        </w:rPr>
        <w:t>中，</w:t>
      </w:r>
      <w:r>
        <w:rPr>
          <w:rFonts w:hint="eastAsia" w:ascii="Times New Roman" w:hAnsi="Times New Roman" w:eastAsia="宋体" w:cs="Times New Roman"/>
          <w:bCs/>
          <w:color w:val="auto"/>
          <w:sz w:val="24"/>
          <w:szCs w:val="21"/>
          <w:highlight w:val="none"/>
          <w:u w:val="none"/>
          <w:lang w:val="en-US" w:eastAsia="zh-CN"/>
        </w:rPr>
        <w:t>应严格</w:t>
      </w:r>
      <w:r>
        <w:rPr>
          <w:rFonts w:hint="default" w:ascii="Times New Roman" w:hAnsi="Times New Roman" w:eastAsia="宋体" w:cs="Times New Roman"/>
          <w:bCs/>
          <w:color w:val="auto"/>
          <w:sz w:val="24"/>
          <w:szCs w:val="21"/>
          <w:highlight w:val="none"/>
          <w:u w:val="none"/>
          <w:lang w:val="en-US" w:eastAsia="zh-CN"/>
        </w:rPr>
        <w:t>采取本报告提出的保护和加强管理等积极有效的保护措施，可将工程</w:t>
      </w:r>
      <w:r>
        <w:rPr>
          <w:rFonts w:hint="eastAsia" w:ascii="Times New Roman" w:hAnsi="Times New Roman" w:eastAsia="宋体" w:cs="Times New Roman"/>
          <w:bCs/>
          <w:color w:val="auto"/>
          <w:sz w:val="24"/>
          <w:szCs w:val="21"/>
          <w:highlight w:val="none"/>
          <w:u w:val="none"/>
          <w:lang w:val="en-US" w:eastAsia="zh-CN"/>
        </w:rPr>
        <w:t>建设</w:t>
      </w:r>
      <w:r>
        <w:rPr>
          <w:rFonts w:hint="default" w:ascii="Times New Roman" w:hAnsi="Times New Roman" w:eastAsia="宋体" w:cs="Times New Roman"/>
          <w:bCs/>
          <w:color w:val="auto"/>
          <w:sz w:val="24"/>
          <w:szCs w:val="21"/>
          <w:highlight w:val="none"/>
          <w:u w:val="none"/>
          <w:lang w:val="en-US" w:eastAsia="zh-CN"/>
        </w:rPr>
        <w:t>带来的负面影响减轻到生物、生态能够承载的程度。因此，从生态影响的角度分析，本项目是可行的。</w:t>
      </w:r>
    </w:p>
    <w:p>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lang w:val="en-US" w:eastAsia="zh-CN" w:bidi="ar-SA"/>
        </w:rPr>
      </w:pPr>
      <w:bookmarkStart w:id="303" w:name="_Toc17926"/>
      <w:bookmarkStart w:id="304" w:name="_Toc28196"/>
      <w:bookmarkStart w:id="305" w:name="_Toc2309"/>
      <w:r>
        <w:rPr>
          <w:rFonts w:ascii="Times New Roman" w:hAnsi="Times New Roman" w:eastAsia="宋体" w:cs="Times New Roman"/>
          <w:b/>
          <w:bCs/>
          <w:color w:val="auto"/>
          <w:kern w:val="2"/>
          <w:sz w:val="28"/>
          <w:szCs w:val="28"/>
          <w:lang w:val="en-US" w:eastAsia="zh-CN" w:bidi="ar-SA"/>
        </w:rPr>
        <w:t>6.2评价建议</w:t>
      </w:r>
      <w:bookmarkEnd w:id="303"/>
      <w:bookmarkEnd w:id="304"/>
      <w:bookmarkEnd w:id="305"/>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1、进一步完善安置区内绿化工作</w:t>
      </w:r>
      <w:r>
        <w:rPr>
          <w:rFonts w:hint="default" w:ascii="Times New Roman" w:hAnsi="Times New Roman" w:eastAsia="宋体" w:cs="Times New Roman"/>
          <w:bCs/>
          <w:color w:val="auto"/>
          <w:sz w:val="24"/>
          <w:szCs w:val="21"/>
          <w:highlight w:val="none"/>
          <w:u w:val="none"/>
          <w:lang w:val="en-US" w:eastAsia="zh-CN"/>
        </w:rPr>
        <w:t>，</w:t>
      </w:r>
      <w:r>
        <w:rPr>
          <w:rFonts w:hint="eastAsia" w:ascii="Times New Roman" w:hAnsi="Times New Roman" w:eastAsia="宋体" w:cs="Times New Roman"/>
          <w:bCs/>
          <w:color w:val="auto"/>
          <w:sz w:val="24"/>
          <w:szCs w:val="21"/>
          <w:highlight w:val="none"/>
          <w:u w:val="none"/>
          <w:lang w:val="en-US" w:eastAsia="zh-CN"/>
        </w:rPr>
        <w:t>在现有绿地基础上进一步丰富区内绿化层次，</w:t>
      </w:r>
      <w:r>
        <w:rPr>
          <w:rFonts w:hint="default" w:ascii="Times New Roman" w:hAnsi="Times New Roman" w:eastAsia="宋体" w:cs="Times New Roman"/>
          <w:bCs/>
          <w:color w:val="auto"/>
          <w:sz w:val="24"/>
          <w:szCs w:val="21"/>
          <w:highlight w:val="none"/>
          <w:u w:val="none"/>
          <w:lang w:val="en-US" w:eastAsia="zh-CN"/>
        </w:rPr>
        <w:t>减少由于生境破坏对动植物的不利影响。</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2、</w:t>
      </w:r>
      <w:r>
        <w:rPr>
          <w:rFonts w:hint="default" w:ascii="Times New Roman" w:hAnsi="Times New Roman" w:eastAsia="宋体" w:cs="Times New Roman"/>
          <w:bCs/>
          <w:color w:val="auto"/>
          <w:sz w:val="24"/>
          <w:szCs w:val="21"/>
          <w:highlight w:val="none"/>
          <w:u w:val="none"/>
          <w:lang w:val="en-US" w:eastAsia="zh-CN"/>
        </w:rPr>
        <w:t>严格落实本报告提出的环保措施，建立常规管理和监测机制。</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sectPr>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r>
        <w:rPr>
          <w:rFonts w:hint="eastAsia" w:ascii="Times New Roman" w:hAnsi="Times New Roman" w:eastAsia="宋体" w:cs="Times New Roman"/>
          <w:bCs/>
          <w:color w:val="auto"/>
          <w:sz w:val="24"/>
          <w:szCs w:val="21"/>
          <w:highlight w:val="none"/>
          <w:u w:val="none"/>
          <w:lang w:val="en-US" w:eastAsia="zh-CN"/>
        </w:rPr>
        <w:t>3、</w:t>
      </w:r>
      <w:r>
        <w:rPr>
          <w:rFonts w:hint="default" w:ascii="Times New Roman" w:hAnsi="Times New Roman" w:eastAsia="宋体" w:cs="Times New Roman"/>
          <w:bCs/>
          <w:color w:val="auto"/>
          <w:sz w:val="24"/>
          <w:szCs w:val="21"/>
          <w:highlight w:val="none"/>
          <w:u w:val="none"/>
          <w:lang w:val="en-US" w:eastAsia="zh-CN"/>
        </w:rPr>
        <w:t>落实环保措施投资费用，切实落实各项污染防治及生态减缓措施。</w:t>
      </w:r>
    </w:p>
    <w:p>
      <w:pPr>
        <w:adjustRightInd/>
        <w:snapToGrid/>
        <w:spacing w:line="240" w:lineRule="auto"/>
        <w:ind w:firstLine="0" w:firstLineChars="0"/>
        <w:jc w:val="center"/>
        <w:outlineLvl w:val="1"/>
        <w:rPr>
          <w:rFonts w:hint="default" w:ascii="Times New Roman" w:hAnsi="Times New Roman" w:eastAsia="宋体" w:cs="Times New Roman"/>
          <w:b/>
          <w:bCs/>
          <w:color w:val="auto"/>
          <w:sz w:val="24"/>
          <w:szCs w:val="24"/>
          <w:lang w:val="en-US" w:eastAsia="zh-CN"/>
        </w:rPr>
      </w:pPr>
      <w:bookmarkStart w:id="306" w:name="_Toc15039"/>
      <w:bookmarkStart w:id="307" w:name="_Toc24246"/>
      <w:bookmarkStart w:id="308" w:name="_Toc18593"/>
      <w:bookmarkStart w:id="309" w:name="_Toc27860"/>
      <w:bookmarkStart w:id="310" w:name="_Toc3490"/>
      <w:r>
        <w:rPr>
          <w:rFonts w:hint="default" w:ascii="Times New Roman" w:hAnsi="Times New Roman" w:eastAsia="宋体" w:cs="Times New Roman"/>
          <w:b/>
          <w:bCs/>
          <w:color w:val="auto"/>
          <w:sz w:val="24"/>
          <w:szCs w:val="24"/>
          <w:lang w:val="en-US" w:eastAsia="zh-CN"/>
        </w:rPr>
        <w:t>生态影响评价自查表</w:t>
      </w:r>
      <w:bookmarkEnd w:id="306"/>
      <w:bookmarkEnd w:id="307"/>
      <w:bookmarkEnd w:id="308"/>
      <w:bookmarkEnd w:id="309"/>
      <w:bookmarkEnd w:id="310"/>
    </w:p>
    <w:tbl>
      <w:tblPr>
        <w:tblStyle w:val="22"/>
        <w:tblW w:w="8992"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091"/>
        <w:gridCol w:w="1491"/>
        <w:gridCol w:w="641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82" w:type="dxa"/>
            <w:gridSpan w:val="2"/>
            <w:noWrap w:val="0"/>
            <w:vAlign w:val="center"/>
          </w:tcPr>
          <w:p>
            <w:pPr>
              <w:adjustRightInd/>
              <w:snapToGrid/>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工作内容</w:t>
            </w:r>
          </w:p>
        </w:tc>
        <w:tc>
          <w:tcPr>
            <w:tcW w:w="6410" w:type="dxa"/>
            <w:noWrap w:val="0"/>
            <w:vAlign w:val="center"/>
          </w:tcPr>
          <w:p>
            <w:pPr>
              <w:adjustRightInd/>
              <w:snapToGrid/>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自查项目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restart"/>
            <w:tcBorders>
              <w:right w:val="single" w:color="auto" w:sz="4" w:space="0"/>
            </w:tcBorders>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生态影响识别</w:t>
            </w:r>
          </w:p>
        </w:tc>
        <w:tc>
          <w:tcPr>
            <w:tcW w:w="1491" w:type="dxa"/>
            <w:tcBorders>
              <w:left w:val="single" w:color="auto" w:sz="4" w:space="0"/>
            </w:tcBorders>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生态保护目标</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rPr>
              <w:t>重要物种□；国家公园□；自然保护区</w:t>
            </w:r>
            <w:r>
              <w:rPr>
                <w:rFonts w:hint="eastAsia" w:eastAsia="宋体" w:cs="Times New Roman"/>
                <w:color w:val="auto"/>
                <w:sz w:val="21"/>
                <w:szCs w:val="21"/>
                <w:lang w:eastAsia="zh-CN"/>
              </w:rPr>
              <w:t>☑</w:t>
            </w:r>
            <w:r>
              <w:rPr>
                <w:rFonts w:ascii="Times New Roman" w:hAnsi="Times New Roman" w:eastAsia="宋体" w:cs="Times New Roman"/>
                <w:color w:val="auto"/>
                <w:sz w:val="21"/>
                <w:szCs w:val="21"/>
              </w:rPr>
              <w:t>；自然公园</w:t>
            </w:r>
            <w:r>
              <w:rPr>
                <w:rFonts w:ascii="Times New Roman" w:hAnsi="Times New Roman" w:eastAsia="宋体" w:cs="Times New Roman"/>
                <w:color w:val="auto"/>
                <w:sz w:val="21"/>
                <w:szCs w:val="21"/>
              </w:rPr>
              <w:sym w:font="Wingdings 2" w:char="00A3"/>
            </w:r>
            <w:r>
              <w:rPr>
                <w:rFonts w:ascii="Times New Roman" w:hAnsi="Times New Roman" w:eastAsia="宋体" w:cs="Times New Roman"/>
                <w:color w:val="auto"/>
                <w:sz w:val="21"/>
                <w:szCs w:val="21"/>
              </w:rPr>
              <w:t>；世界自然遗产□；生态保护红线□；重要生境□；其他具有重要生态功能、对保护生物多样性具有重要意义的区域□；其他</w:t>
            </w:r>
            <w:r>
              <w:rPr>
                <w:rFonts w:hint="eastAsia" w:eastAsia="宋体" w:cs="Times New Roman"/>
                <w:color w:val="auto"/>
                <w:sz w:val="21"/>
                <w:szCs w:val="21"/>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tcBorders>
              <w:right w:val="single" w:color="auto" w:sz="4" w:space="0"/>
            </w:tcBorders>
            <w:noWrap w:val="0"/>
            <w:vAlign w:val="center"/>
          </w:tcPr>
          <w:p>
            <w:pPr>
              <w:adjustRightInd/>
              <w:snapToGrid/>
              <w:spacing w:line="240" w:lineRule="auto"/>
              <w:ind w:firstLine="0" w:firstLineChars="0"/>
              <w:jc w:val="center"/>
              <w:rPr>
                <w:rFonts w:ascii="Times New Roman" w:hAnsi="Times New Roman" w:eastAsia="宋体" w:cs="Times New Roman"/>
                <w:color w:val="auto"/>
                <w:sz w:val="21"/>
                <w:szCs w:val="21"/>
              </w:rPr>
            </w:pPr>
          </w:p>
        </w:tc>
        <w:tc>
          <w:tcPr>
            <w:tcW w:w="1491" w:type="dxa"/>
            <w:tcBorders>
              <w:left w:val="single" w:color="auto" w:sz="4" w:space="0"/>
            </w:tcBorders>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影响方式</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ascii="Times New Roman" w:hAnsi="Times New Roman" w:eastAsia="宋体" w:cs="Times New Roman"/>
                <w:color w:val="auto"/>
                <w:sz w:val="21"/>
                <w:szCs w:val="21"/>
              </w:rPr>
              <w:t>工程占用</w:t>
            </w:r>
            <w:r>
              <w:rPr>
                <w:rFonts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；施工活动干扰</w:t>
            </w:r>
            <w:r>
              <w:rPr>
                <w:rFonts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；改变环境条件□；其他□</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tcBorders>
              <w:right w:val="single" w:color="auto" w:sz="4" w:space="0"/>
            </w:tcBorders>
            <w:noWrap w:val="0"/>
            <w:vAlign w:val="center"/>
          </w:tcPr>
          <w:p>
            <w:pPr>
              <w:adjustRightInd/>
              <w:snapToGrid/>
              <w:spacing w:line="240" w:lineRule="auto"/>
              <w:ind w:firstLine="0" w:firstLineChars="0"/>
              <w:jc w:val="center"/>
              <w:rPr>
                <w:rFonts w:ascii="Times New Roman" w:hAnsi="Times New Roman" w:eastAsia="宋体" w:cs="Times New Roman"/>
                <w:color w:val="auto"/>
                <w:sz w:val="21"/>
                <w:szCs w:val="21"/>
              </w:rPr>
            </w:pPr>
          </w:p>
        </w:tc>
        <w:tc>
          <w:tcPr>
            <w:tcW w:w="1491" w:type="dxa"/>
            <w:tcBorders>
              <w:left w:val="single" w:color="auto" w:sz="4" w:space="0"/>
            </w:tcBorders>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评价因子</w:t>
            </w:r>
          </w:p>
        </w:tc>
        <w:tc>
          <w:tcPr>
            <w:tcW w:w="6410"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物种</w:t>
            </w:r>
            <w:r>
              <w:rPr>
                <w:rFonts w:hint="default" w:ascii="Times New Roman" w:hAnsi="Times New Roman" w:eastAsia="宋体" w:cs="Times New Roman"/>
                <w:color w:val="auto"/>
                <w:kern w:val="0"/>
                <w:sz w:val="21"/>
                <w:szCs w:val="21"/>
                <w:u w:val="none" w:color="auto"/>
              </w:rPr>
              <w:sym w:font="Wingdings 2" w:char="00A3"/>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lang w:val="en-US" w:eastAsia="zh-CN"/>
              </w:rPr>
              <w:t xml:space="preserve">                                </w:t>
            </w:r>
            <w:r>
              <w:rPr>
                <w:rFonts w:hint="default" w:ascii="Times New Roman" w:hAnsi="Times New Roman" w:eastAsia="宋体" w:cs="Times New Roman"/>
                <w:color w:val="auto"/>
                <w:kern w:val="0"/>
                <w:sz w:val="21"/>
                <w:szCs w:val="21"/>
                <w:u w:val="none" w:color="auto"/>
                <w:lang w:eastAsia="zh-CN"/>
              </w:rPr>
              <w:t>）</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生境</w:t>
            </w:r>
            <w:r>
              <w:rPr>
                <w:rFonts w:hint="default" w:ascii="Times New Roman" w:hAnsi="Times New Roman" w:eastAsia="宋体" w:cs="Times New Roman"/>
                <w:color w:val="auto"/>
                <w:kern w:val="0"/>
                <w:sz w:val="21"/>
                <w:szCs w:val="21"/>
                <w:u w:val="none" w:color="auto"/>
              </w:rPr>
              <w:sym w:font="Wingdings 2" w:char="00A3"/>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lang w:val="en-US" w:eastAsia="zh-CN"/>
              </w:rPr>
              <w:t xml:space="preserve">                                </w:t>
            </w:r>
            <w:r>
              <w:rPr>
                <w:rFonts w:hint="default" w:ascii="Times New Roman" w:hAnsi="Times New Roman" w:eastAsia="宋体" w:cs="Times New Roman"/>
                <w:color w:val="auto"/>
                <w:kern w:val="0"/>
                <w:sz w:val="21"/>
                <w:szCs w:val="21"/>
                <w:u w:val="none" w:color="auto"/>
                <w:lang w:eastAsia="zh-CN"/>
              </w:rPr>
              <w:t>）</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生物群落</w:t>
            </w:r>
            <w:r>
              <w:rPr>
                <w:rFonts w:hint="default" w:ascii="Times New Roman" w:hAnsi="Times New Roman" w:eastAsia="宋体" w:cs="Times New Roman"/>
                <w:color w:val="auto"/>
                <w:kern w:val="0"/>
                <w:sz w:val="21"/>
                <w:szCs w:val="21"/>
                <w:u w:val="none" w:color="auto"/>
              </w:rPr>
              <w:sym w:font="Wingdings 2" w:char="0052"/>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i w:val="0"/>
                <w:iCs w:val="0"/>
                <w:color w:val="auto"/>
                <w:kern w:val="0"/>
                <w:sz w:val="21"/>
                <w:szCs w:val="21"/>
                <w:u w:val="none"/>
                <w:lang w:val="en-US" w:eastAsia="zh-CN" w:bidi="ar"/>
              </w:rPr>
              <w:t>物种组成、群落结构等</w:t>
            </w:r>
            <w:r>
              <w:rPr>
                <w:rFonts w:hint="default" w:ascii="Times New Roman" w:hAnsi="Times New Roman" w:eastAsia="宋体" w:cs="Times New Roman"/>
                <w:color w:val="auto"/>
                <w:kern w:val="0"/>
                <w:sz w:val="21"/>
                <w:szCs w:val="21"/>
                <w:u w:val="none" w:color="auto"/>
                <w:lang w:eastAsia="zh-CN"/>
              </w:rPr>
              <w:t>）</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生态系统</w:t>
            </w:r>
            <w:r>
              <w:rPr>
                <w:rFonts w:hint="default" w:ascii="Times New Roman" w:hAnsi="Times New Roman" w:eastAsia="宋体" w:cs="Times New Roman"/>
                <w:color w:val="auto"/>
                <w:kern w:val="0"/>
                <w:sz w:val="21"/>
                <w:szCs w:val="21"/>
                <w:u w:val="none" w:color="auto"/>
              </w:rPr>
              <w:sym w:font="Wingdings 2" w:char="0052"/>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i w:val="0"/>
                <w:iCs w:val="0"/>
                <w:color w:val="auto"/>
                <w:kern w:val="0"/>
                <w:sz w:val="21"/>
                <w:szCs w:val="21"/>
                <w:u w:val="none"/>
                <w:lang w:val="en-US" w:eastAsia="zh-CN" w:bidi="ar"/>
              </w:rPr>
              <w:t>植被覆盖度、生态系统功能、完整性</w:t>
            </w:r>
            <w:r>
              <w:rPr>
                <w:rFonts w:hint="eastAsia" w:ascii="Times New Roman" w:hAnsi="Times New Roman" w:eastAsia="宋体" w:cs="Times New Roman"/>
                <w:i w:val="0"/>
                <w:iCs w:val="0"/>
                <w:color w:val="auto"/>
                <w:kern w:val="0"/>
                <w:sz w:val="21"/>
                <w:szCs w:val="21"/>
                <w:u w:val="none"/>
                <w:lang w:val="en-US" w:eastAsia="zh-CN" w:bidi="ar"/>
              </w:rPr>
              <w:t>等</w:t>
            </w:r>
            <w:r>
              <w:rPr>
                <w:rFonts w:hint="default" w:ascii="Times New Roman" w:hAnsi="Times New Roman" w:eastAsia="宋体" w:cs="Times New Roman"/>
                <w:color w:val="auto"/>
                <w:kern w:val="0"/>
                <w:sz w:val="21"/>
                <w:szCs w:val="21"/>
                <w:u w:val="none" w:color="auto"/>
                <w:lang w:eastAsia="zh-CN"/>
              </w:rPr>
              <w:t>）</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生物多样性</w:t>
            </w:r>
            <w:r>
              <w:rPr>
                <w:rFonts w:hint="default" w:ascii="Times New Roman" w:hAnsi="Times New Roman" w:eastAsia="宋体" w:cs="Times New Roman"/>
                <w:color w:val="auto"/>
                <w:kern w:val="0"/>
                <w:sz w:val="21"/>
                <w:szCs w:val="21"/>
                <w:u w:val="none" w:color="auto"/>
              </w:rPr>
              <w:sym w:font="Wingdings 2" w:char="0052"/>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i w:val="0"/>
                <w:iCs w:val="0"/>
                <w:color w:val="auto"/>
                <w:kern w:val="0"/>
                <w:sz w:val="21"/>
                <w:szCs w:val="21"/>
                <w:u w:val="none"/>
                <w:lang w:val="en-US" w:eastAsia="zh-CN" w:bidi="ar"/>
              </w:rPr>
              <w:t>物种丰富度、均匀度、优势度</w:t>
            </w:r>
            <w:r>
              <w:rPr>
                <w:rFonts w:hint="eastAsia" w:ascii="Times New Roman" w:hAnsi="Times New Roman" w:eastAsia="宋体" w:cs="Times New Roman"/>
                <w:i w:val="0"/>
                <w:iCs w:val="0"/>
                <w:color w:val="auto"/>
                <w:kern w:val="0"/>
                <w:sz w:val="21"/>
                <w:szCs w:val="21"/>
                <w:u w:val="none"/>
                <w:lang w:val="en-US" w:eastAsia="zh-CN" w:bidi="ar"/>
              </w:rPr>
              <w:t>等</w:t>
            </w:r>
            <w:r>
              <w:rPr>
                <w:rFonts w:hint="default" w:ascii="Times New Roman" w:hAnsi="Times New Roman" w:eastAsia="宋体" w:cs="Times New Roman"/>
                <w:color w:val="auto"/>
                <w:kern w:val="0"/>
                <w:sz w:val="21"/>
                <w:szCs w:val="21"/>
                <w:u w:val="none" w:color="auto"/>
                <w:lang w:eastAsia="zh-CN"/>
              </w:rPr>
              <w:t>）</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生态敏感区</w:t>
            </w:r>
            <w:r>
              <w:rPr>
                <w:rFonts w:hint="default" w:ascii="Times New Roman" w:hAnsi="Times New Roman" w:eastAsia="宋体" w:cs="Times New Roman"/>
                <w:color w:val="auto"/>
                <w:kern w:val="0"/>
                <w:sz w:val="21"/>
                <w:szCs w:val="21"/>
                <w:u w:val="none" w:color="auto"/>
              </w:rPr>
              <w:sym w:font="Wingdings 2" w:char="00A3"/>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lang w:val="en-US" w:eastAsia="zh-CN"/>
              </w:rPr>
              <w:t xml:space="preserve">                          </w:t>
            </w:r>
            <w:r>
              <w:rPr>
                <w:rFonts w:hint="default" w:ascii="Times New Roman" w:hAnsi="Times New Roman" w:eastAsia="宋体" w:cs="Times New Roman"/>
                <w:color w:val="auto"/>
                <w:kern w:val="0"/>
                <w:sz w:val="21"/>
                <w:szCs w:val="21"/>
                <w:u w:val="none" w:color="auto"/>
                <w:lang w:eastAsia="zh-CN"/>
              </w:rPr>
              <w:t>）</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自然景观</w:t>
            </w:r>
            <w:r>
              <w:rPr>
                <w:rFonts w:hint="default" w:ascii="Times New Roman" w:hAnsi="Times New Roman" w:eastAsia="宋体" w:cs="Times New Roman"/>
                <w:color w:val="auto"/>
                <w:kern w:val="0"/>
                <w:sz w:val="21"/>
                <w:szCs w:val="21"/>
                <w:u w:val="none" w:color="auto"/>
              </w:rPr>
              <w:sym w:font="Wingdings 2" w:char="00A3"/>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lang w:val="en-US" w:eastAsia="zh-CN"/>
              </w:rPr>
              <w:t xml:space="preserve">                            </w:t>
            </w:r>
            <w:r>
              <w:rPr>
                <w:rFonts w:hint="default" w:ascii="Times New Roman" w:hAnsi="Times New Roman" w:eastAsia="宋体" w:cs="Times New Roman"/>
                <w:color w:val="auto"/>
                <w:kern w:val="0"/>
                <w:sz w:val="21"/>
                <w:szCs w:val="21"/>
                <w:u w:val="none" w:color="auto"/>
                <w:lang w:eastAsia="zh-CN"/>
              </w:rPr>
              <w:t>）</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自然遗迹</w:t>
            </w:r>
            <w:r>
              <w:rPr>
                <w:rFonts w:hint="default" w:ascii="Times New Roman" w:hAnsi="Times New Roman" w:eastAsia="宋体" w:cs="Times New Roman"/>
                <w:color w:val="auto"/>
                <w:kern w:val="0"/>
                <w:sz w:val="21"/>
                <w:szCs w:val="21"/>
                <w:u w:val="none" w:color="auto"/>
              </w:rPr>
              <w:sym w:font="Wingdings 2" w:char="00A3"/>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lang w:val="en-US" w:eastAsia="zh-CN"/>
              </w:rPr>
              <w:t xml:space="preserve">                            </w:t>
            </w:r>
            <w:r>
              <w:rPr>
                <w:rFonts w:hint="default" w:ascii="Times New Roman" w:hAnsi="Times New Roman" w:eastAsia="宋体" w:cs="Times New Roman"/>
                <w:color w:val="auto"/>
                <w:kern w:val="0"/>
                <w:sz w:val="21"/>
                <w:szCs w:val="21"/>
                <w:u w:val="none" w:color="auto"/>
                <w:lang w:eastAsia="zh-CN"/>
              </w:rPr>
              <w:t>）</w:t>
            </w:r>
          </w:p>
          <w:p>
            <w:pPr>
              <w:adjustRightInd/>
              <w:snapToGrid/>
              <w:spacing w:line="240" w:lineRule="auto"/>
              <w:ind w:firstLine="0" w:firstLineChars="0"/>
              <w:jc w:val="both"/>
              <w:rPr>
                <w:rFonts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u w:val="none" w:color="auto"/>
                <w:lang w:eastAsia="zh-CN"/>
              </w:rPr>
              <w:t>其他</w:t>
            </w:r>
            <w:r>
              <w:rPr>
                <w:rFonts w:hint="default" w:ascii="Times New Roman" w:hAnsi="Times New Roman" w:eastAsia="宋体" w:cs="Times New Roman"/>
                <w:color w:val="auto"/>
                <w:kern w:val="0"/>
                <w:sz w:val="21"/>
                <w:szCs w:val="21"/>
                <w:u w:val="none" w:color="auto"/>
              </w:rPr>
              <w:sym w:font="Wingdings 2" w:char="00A3"/>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lang w:val="en-US" w:eastAsia="zh-CN"/>
              </w:rPr>
              <w:t xml:space="preserve">                                </w:t>
            </w:r>
            <w:r>
              <w:rPr>
                <w:rFonts w:hint="default" w:ascii="Times New Roman" w:hAnsi="Times New Roman" w:eastAsia="宋体" w:cs="Times New Roman"/>
                <w:color w:val="auto"/>
                <w:kern w:val="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82" w:type="dxa"/>
            <w:gridSpan w:val="2"/>
            <w:noWrap w:val="0"/>
            <w:vAlign w:val="center"/>
          </w:tcPr>
          <w:p>
            <w:pPr>
              <w:adjustRightInd/>
              <w:snapToGrid/>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评价等级</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ascii="Times New Roman" w:hAnsi="Times New Roman" w:eastAsia="宋体" w:cs="Times New Roman"/>
                <w:color w:val="auto"/>
                <w:sz w:val="21"/>
                <w:szCs w:val="21"/>
              </w:rPr>
              <w:t>一级</w:t>
            </w:r>
            <w:r>
              <w:rPr>
                <w:rFonts w:hint="eastAsia" w:cs="Times New Roman"/>
                <w:color w:val="auto"/>
                <w:sz w:val="21"/>
                <w:szCs w:val="21"/>
                <w:lang w:eastAsia="zh-CN"/>
              </w:rPr>
              <w:t>☑</w:t>
            </w:r>
            <w:r>
              <w:rPr>
                <w:rFonts w:hint="eastAsia" w:ascii="Times New Roman" w:hAnsi="Times New Roman" w:eastAsia="宋体" w:cs="Times New Roman"/>
                <w:color w:val="auto"/>
                <w:sz w:val="21"/>
                <w:szCs w:val="21"/>
              </w:rPr>
              <w:t xml:space="preserve">   </w:t>
            </w:r>
            <w:r>
              <w:rPr>
                <w:rFonts w:ascii="Times New Roman" w:hAnsi="Times New Roman" w:eastAsia="宋体" w:cs="Times New Roman"/>
                <w:color w:val="auto"/>
                <w:sz w:val="21"/>
                <w:szCs w:val="21"/>
              </w:rPr>
              <w:t>二级</w:t>
            </w:r>
            <w:r>
              <w:rPr>
                <w:rFonts w:ascii="Times New Roman" w:hAnsi="Times New Roman" w:eastAsia="宋体" w:cs="Times New Roman"/>
                <w:color w:val="auto"/>
                <w:sz w:val="21"/>
                <w:szCs w:val="21"/>
              </w:rPr>
              <w:sym w:font="Wingdings 2" w:char="00A3"/>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 xml:space="preserve"> </w:t>
            </w:r>
            <w:r>
              <w:rPr>
                <w:rFonts w:ascii="Times New Roman" w:hAnsi="Times New Roman" w:eastAsia="宋体" w:cs="Times New Roman"/>
                <w:color w:val="auto"/>
                <w:sz w:val="21"/>
                <w:szCs w:val="21"/>
              </w:rPr>
              <w:t>三级</w:t>
            </w:r>
            <w:r>
              <w:rPr>
                <w:rFonts w:hint="eastAsia" w:cs="Times New Roman"/>
                <w:color w:val="auto"/>
                <w:sz w:val="21"/>
                <w:szCs w:val="21"/>
                <w:lang w:eastAsia="zh-CN"/>
              </w:rPr>
              <w:t>□</w:t>
            </w:r>
            <w:r>
              <w:rPr>
                <w:rFonts w:hint="eastAsia" w:ascii="Times New Roman" w:hAnsi="Times New Roman" w:eastAsia="宋体" w:cs="Times New Roman"/>
                <w:color w:val="auto"/>
                <w:sz w:val="21"/>
                <w:szCs w:val="21"/>
              </w:rPr>
              <w:t xml:space="preserve">  </w:t>
            </w:r>
            <w:r>
              <w:rPr>
                <w:rFonts w:ascii="Times New Roman" w:hAnsi="Times New Roman" w:eastAsia="宋体" w:cs="Times New Roman"/>
                <w:color w:val="auto"/>
                <w:sz w:val="21"/>
                <w:szCs w:val="21"/>
              </w:rPr>
              <w:t>生态影响简单分析</w:t>
            </w:r>
            <w:r>
              <w:rPr>
                <w:rFonts w:ascii="Times New Roman" w:hAnsi="Times New Roman" w:eastAsia="宋体" w:cs="Times New Roman"/>
                <w:color w:val="auto"/>
                <w:sz w:val="21"/>
                <w:szCs w:val="21"/>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82" w:type="dxa"/>
            <w:gridSpan w:val="2"/>
            <w:noWrap w:val="0"/>
            <w:vAlign w:val="center"/>
          </w:tcPr>
          <w:p>
            <w:pPr>
              <w:adjustRightInd/>
              <w:snapToGrid/>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评价范围</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ascii="Times New Roman" w:hAnsi="Times New Roman" w:eastAsia="宋体" w:cs="Times New Roman"/>
                <w:color w:val="auto"/>
                <w:sz w:val="21"/>
                <w:szCs w:val="21"/>
              </w:rPr>
              <w:t>陆域面积：（</w:t>
            </w:r>
            <w:r>
              <w:rPr>
                <w:rFonts w:hint="eastAsia" w:cs="Times New Roman"/>
                <w:color w:val="auto"/>
                <w:sz w:val="21"/>
                <w:szCs w:val="21"/>
                <w:lang w:val="en-US" w:eastAsia="zh-CN"/>
              </w:rPr>
              <w:t>4.524</w:t>
            </w:r>
            <w:r>
              <w:rPr>
                <w:rFonts w:ascii="Times New Roman" w:hAnsi="Times New Roman" w:eastAsia="宋体" w:cs="Times New Roman"/>
                <w:color w:val="auto"/>
                <w:sz w:val="21"/>
                <w:szCs w:val="21"/>
              </w:rPr>
              <w:t>）km</w:t>
            </w:r>
            <w:r>
              <w:rPr>
                <w:rFonts w:ascii="Times New Roman" w:hAnsi="Times New Roman" w:eastAsia="宋体" w:cs="Times New Roman"/>
                <w:color w:val="auto"/>
                <w:sz w:val="21"/>
                <w:szCs w:val="21"/>
                <w:vertAlign w:val="superscript"/>
              </w:rPr>
              <w:t>2</w:t>
            </w:r>
            <w:r>
              <w:rPr>
                <w:rFonts w:ascii="Times New Roman" w:hAnsi="Times New Roman" w:eastAsia="宋体" w:cs="Times New Roman"/>
                <w:color w:val="auto"/>
                <w:sz w:val="21"/>
                <w:szCs w:val="21"/>
              </w:rPr>
              <w:t>；水域面积：（）km</w:t>
            </w:r>
            <w:r>
              <w:rPr>
                <w:rFonts w:ascii="Times New Roman" w:hAnsi="Times New Roman" w:eastAsia="宋体" w:cs="Times New Roman"/>
                <w:color w:val="auto"/>
                <w:sz w:val="21"/>
                <w:szCs w:val="21"/>
                <w:vertAlign w:val="superscript"/>
              </w:rPr>
              <w:t>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restart"/>
            <w:noWrap w:val="0"/>
            <w:vAlign w:val="center"/>
          </w:tcPr>
          <w:p>
            <w:pPr>
              <w:adjustRightInd/>
              <w:snapToGrid/>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生态</w:t>
            </w:r>
            <w:r>
              <w:rPr>
                <w:rFonts w:ascii="Times New Roman" w:hAnsi="Times New Roman" w:eastAsia="宋体" w:cs="Times New Roman"/>
                <w:color w:val="auto"/>
                <w:sz w:val="21"/>
                <w:szCs w:val="21"/>
              </w:rPr>
              <w:t>现状</w:t>
            </w:r>
            <w:r>
              <w:rPr>
                <w:rFonts w:hint="eastAsia" w:ascii="Times New Roman" w:hAnsi="Times New Roman" w:eastAsia="宋体" w:cs="Times New Roman"/>
                <w:color w:val="auto"/>
                <w:sz w:val="21"/>
                <w:szCs w:val="21"/>
              </w:rPr>
              <w:t>调查与</w:t>
            </w:r>
            <w:r>
              <w:rPr>
                <w:rFonts w:ascii="Times New Roman" w:hAnsi="Times New Roman" w:eastAsia="宋体" w:cs="Times New Roman"/>
                <w:color w:val="auto"/>
                <w:sz w:val="21"/>
                <w:szCs w:val="21"/>
              </w:rPr>
              <w:t>评价</w:t>
            </w:r>
          </w:p>
        </w:tc>
        <w:tc>
          <w:tcPr>
            <w:tcW w:w="1491"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调查方法</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rPr>
              <w:t>资料收集</w:t>
            </w:r>
            <w:r>
              <w:rPr>
                <w:rFonts w:hint="eastAsia"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；遥感调查</w:t>
            </w:r>
            <w:r>
              <w:rPr>
                <w:rFonts w:ascii="Times New Roman" w:hAnsi="Times New Roman" w:eastAsia="宋体" w:cs="Times New Roman"/>
                <w:color w:val="auto"/>
                <w:sz w:val="21"/>
                <w:szCs w:val="21"/>
              </w:rPr>
              <w:sym w:font="Wingdings 2" w:char="00A3"/>
            </w:r>
            <w:r>
              <w:rPr>
                <w:rFonts w:ascii="Times New Roman" w:hAnsi="Times New Roman" w:eastAsia="宋体" w:cs="Times New Roman"/>
                <w:color w:val="auto"/>
                <w:sz w:val="21"/>
                <w:szCs w:val="21"/>
              </w:rPr>
              <w:t>；调查样方、样线</w:t>
            </w:r>
            <w:r>
              <w:rPr>
                <w:rFonts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；调查点位、断面□；专家和公众咨询法</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；其他</w:t>
            </w:r>
            <w:r>
              <w:rPr>
                <w:rFonts w:hint="eastAsia" w:ascii="Times New Roman" w:hAnsi="Times New Roman" w:eastAsia="宋体" w:cs="Times New Roman"/>
                <w:color w:val="auto"/>
                <w:sz w:val="21"/>
                <w:szCs w:val="21"/>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noWrap w:val="0"/>
            <w:vAlign w:val="center"/>
          </w:tcPr>
          <w:p>
            <w:pPr>
              <w:adjustRightInd/>
              <w:snapToGrid/>
              <w:spacing w:line="240" w:lineRule="auto"/>
              <w:ind w:firstLine="0" w:firstLineChars="0"/>
              <w:jc w:val="center"/>
              <w:rPr>
                <w:rFonts w:ascii="Times New Roman" w:hAnsi="Times New Roman" w:eastAsia="宋体" w:cs="Times New Roman"/>
                <w:color w:val="auto"/>
                <w:sz w:val="21"/>
                <w:szCs w:val="21"/>
              </w:rPr>
            </w:pPr>
          </w:p>
        </w:tc>
        <w:tc>
          <w:tcPr>
            <w:tcW w:w="1491"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调查时间</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rPr>
              <w:t>春季</w:t>
            </w:r>
            <w:r>
              <w:rPr>
                <w:rFonts w:hint="eastAsia" w:eastAsia="宋体" w:cs="Times New Roman"/>
                <w:color w:val="auto"/>
                <w:sz w:val="21"/>
                <w:szCs w:val="21"/>
                <w:lang w:eastAsia="zh-CN"/>
              </w:rPr>
              <w:t>☑</w:t>
            </w:r>
            <w:r>
              <w:rPr>
                <w:rFonts w:ascii="Times New Roman" w:hAnsi="Times New Roman" w:eastAsia="宋体" w:cs="Times New Roman"/>
                <w:color w:val="auto"/>
                <w:sz w:val="21"/>
                <w:szCs w:val="21"/>
              </w:rPr>
              <w:t>；夏季</w:t>
            </w:r>
            <w:r>
              <w:rPr>
                <w:rFonts w:ascii="Times New Roman" w:hAnsi="Times New Roman" w:eastAsia="宋体" w:cs="Times New Roman"/>
                <w:color w:val="auto"/>
                <w:sz w:val="21"/>
                <w:szCs w:val="21"/>
              </w:rPr>
              <w:sym w:font="Wingdings 2" w:char="00A3"/>
            </w:r>
            <w:r>
              <w:rPr>
                <w:rFonts w:ascii="Times New Roman" w:hAnsi="Times New Roman" w:eastAsia="宋体" w:cs="Times New Roman"/>
                <w:color w:val="auto"/>
                <w:sz w:val="21"/>
                <w:szCs w:val="21"/>
              </w:rPr>
              <w:t>；秋季</w:t>
            </w:r>
            <w:r>
              <w:rPr>
                <w:rFonts w:hint="eastAsia" w:eastAsia="宋体" w:cs="Times New Roman"/>
                <w:color w:val="auto"/>
                <w:sz w:val="21"/>
                <w:szCs w:val="21"/>
                <w:lang w:eastAsia="zh-CN"/>
              </w:rPr>
              <w:t>□</w:t>
            </w:r>
            <w:r>
              <w:rPr>
                <w:rFonts w:ascii="Times New Roman" w:hAnsi="Times New Roman" w:eastAsia="宋体" w:cs="Times New Roman"/>
                <w:color w:val="auto"/>
                <w:sz w:val="21"/>
                <w:szCs w:val="21"/>
              </w:rPr>
              <w:t>；冬季</w:t>
            </w:r>
            <w:r>
              <w:rPr>
                <w:rFonts w:hint="eastAsia" w:ascii="Times New Roman" w:hAnsi="Times New Roman" w:eastAsia="宋体" w:cs="Times New Roman"/>
                <w:color w:val="auto"/>
                <w:sz w:val="21"/>
                <w:szCs w:val="21"/>
                <w:lang w:eastAsia="zh-CN"/>
              </w:rPr>
              <w:t>□</w:t>
            </w:r>
          </w:p>
          <w:p>
            <w:pPr>
              <w:adjustRightInd/>
              <w:snapToGrid/>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丰水期</w:t>
            </w:r>
            <w:r>
              <w:rPr>
                <w:rFonts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；枯水期□；平水期□</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noWrap w:val="0"/>
            <w:vAlign w:val="center"/>
          </w:tcPr>
          <w:p>
            <w:pPr>
              <w:adjustRightInd/>
              <w:snapToGrid/>
              <w:spacing w:line="240" w:lineRule="auto"/>
              <w:ind w:firstLine="0" w:firstLineChars="0"/>
              <w:jc w:val="center"/>
              <w:rPr>
                <w:rFonts w:ascii="Times New Roman" w:hAnsi="Times New Roman" w:eastAsia="宋体" w:cs="Times New Roman"/>
                <w:color w:val="auto"/>
                <w:sz w:val="21"/>
                <w:szCs w:val="21"/>
              </w:rPr>
            </w:pPr>
          </w:p>
        </w:tc>
        <w:tc>
          <w:tcPr>
            <w:tcW w:w="1491"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所在区域的生态问题</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ascii="Times New Roman" w:hAnsi="Times New Roman" w:eastAsia="宋体" w:cs="Times New Roman"/>
                <w:color w:val="auto"/>
                <w:sz w:val="21"/>
                <w:szCs w:val="21"/>
              </w:rPr>
              <w:t>水土流失</w:t>
            </w:r>
            <w:r>
              <w:rPr>
                <w:rFonts w:ascii="Times New Roman" w:hAnsi="Times New Roman" w:eastAsia="宋体" w:cs="Times New Roman"/>
                <w:color w:val="auto"/>
                <w:sz w:val="21"/>
                <w:szCs w:val="21"/>
              </w:rPr>
              <w:sym w:font="Wingdings 2" w:char="00A3"/>
            </w:r>
            <w:r>
              <w:rPr>
                <w:rFonts w:ascii="Times New Roman" w:hAnsi="Times New Roman" w:eastAsia="宋体" w:cs="Times New Roman"/>
                <w:color w:val="auto"/>
                <w:sz w:val="21"/>
                <w:szCs w:val="21"/>
              </w:rPr>
              <w:t>；沙漠化□；石漠化□；盐渍化□；生物入侵</w:t>
            </w:r>
            <w:r>
              <w:rPr>
                <w:rFonts w:hint="eastAsia" w:eastAsia="宋体" w:cs="Times New Roman"/>
                <w:color w:val="auto"/>
                <w:sz w:val="21"/>
                <w:szCs w:val="21"/>
                <w:lang w:eastAsia="zh-CN"/>
              </w:rPr>
              <w:t>□</w:t>
            </w:r>
            <w:r>
              <w:rPr>
                <w:rFonts w:ascii="Times New Roman" w:hAnsi="Times New Roman" w:eastAsia="宋体" w:cs="Times New Roman"/>
                <w:color w:val="auto"/>
                <w:sz w:val="21"/>
                <w:szCs w:val="21"/>
              </w:rPr>
              <w:t>；污染危害□；其他</w:t>
            </w:r>
            <w:r>
              <w:rPr>
                <w:rFonts w:ascii="Times New Roman" w:hAnsi="Times New Roman" w:eastAsia="宋体" w:cs="Times New Roman"/>
                <w:color w:val="auto"/>
                <w:sz w:val="21"/>
                <w:szCs w:val="21"/>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p>
        </w:tc>
        <w:tc>
          <w:tcPr>
            <w:tcW w:w="1491"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评价内容</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植被/植物群落</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；土地利用</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；生态系统</w:t>
            </w:r>
            <w:r>
              <w:rPr>
                <w:rFonts w:hint="eastAsia" w:ascii="Times New Roman" w:hAnsi="Times New Roman" w:eastAsia="宋体" w:cs="Times New Roman"/>
                <w:color w:val="auto"/>
                <w:sz w:val="21"/>
                <w:szCs w:val="21"/>
              </w:rPr>
              <w:sym w:font="Wingdings 2" w:char="0052"/>
            </w:r>
            <w:r>
              <w:rPr>
                <w:rFonts w:hint="eastAsia" w:ascii="Times New Roman" w:hAnsi="Times New Roman" w:eastAsia="宋体" w:cs="Times New Roman"/>
                <w:color w:val="auto"/>
                <w:sz w:val="21"/>
                <w:szCs w:val="21"/>
              </w:rPr>
              <w:t>；生物多样性</w:t>
            </w:r>
            <w:r>
              <w:rPr>
                <w:rFonts w:hint="eastAsia" w:ascii="Times New Roman" w:hAnsi="Times New Roman" w:eastAsia="宋体" w:cs="Times New Roman"/>
                <w:color w:val="auto"/>
                <w:sz w:val="21"/>
                <w:szCs w:val="21"/>
              </w:rPr>
              <w:sym w:font="Wingdings 2" w:char="0052"/>
            </w:r>
            <w:r>
              <w:rPr>
                <w:rFonts w:hint="eastAsia" w:ascii="Times New Roman" w:hAnsi="Times New Roman" w:eastAsia="宋体" w:cs="Times New Roman"/>
                <w:color w:val="auto"/>
                <w:sz w:val="21"/>
                <w:szCs w:val="21"/>
              </w:rPr>
              <w:t>；重要物种□；生态敏感区□；其他</w:t>
            </w:r>
            <w:r>
              <w:rPr>
                <w:rFonts w:hint="eastAsia" w:ascii="Times New Roman" w:hAnsi="Times New Roman" w:eastAsia="宋体" w:cs="Times New Roman"/>
                <w:color w:val="auto"/>
                <w:sz w:val="21"/>
                <w:szCs w:val="21"/>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restart"/>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生态影响预测与评价</w:t>
            </w:r>
          </w:p>
        </w:tc>
        <w:tc>
          <w:tcPr>
            <w:tcW w:w="1491"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评价方法</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定性</w:t>
            </w:r>
            <w:r>
              <w:rPr>
                <w:rFonts w:hint="eastAsia" w:ascii="Times New Roman" w:hAnsi="Times New Roman" w:eastAsia="宋体" w:cs="Times New Roman"/>
                <w:color w:val="auto"/>
                <w:sz w:val="21"/>
                <w:szCs w:val="21"/>
              </w:rPr>
              <w:sym w:font="Wingdings 2" w:char="0052"/>
            </w:r>
            <w:r>
              <w:rPr>
                <w:rFonts w:hint="eastAsia" w:ascii="Times New Roman" w:hAnsi="Times New Roman" w:eastAsia="宋体" w:cs="Times New Roman"/>
                <w:color w:val="auto"/>
                <w:sz w:val="21"/>
                <w:szCs w:val="21"/>
              </w:rPr>
              <w:t>；定性和定量</w:t>
            </w:r>
            <w:r>
              <w:rPr>
                <w:rFonts w:hint="eastAsia" w:ascii="Times New Roman" w:hAnsi="Times New Roman" w:eastAsia="宋体" w:cs="Times New Roman"/>
                <w:color w:val="auto"/>
                <w:sz w:val="21"/>
                <w:szCs w:val="21"/>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noWrap/>
            <w:vAlign w:val="bottom"/>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p>
        </w:tc>
        <w:tc>
          <w:tcPr>
            <w:tcW w:w="1491"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评价内容</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植被/植物群落</w:t>
            </w:r>
            <w:r>
              <w:rPr>
                <w:rFonts w:hint="eastAsia" w:ascii="Times New Roman" w:hAnsi="Times New Roman" w:eastAsia="宋体" w:cs="Times New Roman"/>
                <w:color w:val="auto"/>
                <w:sz w:val="21"/>
                <w:szCs w:val="21"/>
              </w:rPr>
              <w:sym w:font="Wingdings 2" w:char="0052"/>
            </w:r>
            <w:r>
              <w:rPr>
                <w:rFonts w:hint="eastAsia" w:ascii="Times New Roman" w:hAnsi="Times New Roman" w:eastAsia="宋体" w:cs="Times New Roman"/>
                <w:color w:val="auto"/>
                <w:sz w:val="21"/>
                <w:szCs w:val="21"/>
              </w:rPr>
              <w:t>；土地利用</w:t>
            </w:r>
            <w:r>
              <w:rPr>
                <w:rFonts w:hint="eastAsia" w:ascii="Times New Roman" w:hAnsi="Times New Roman" w:eastAsia="宋体" w:cs="Times New Roman"/>
                <w:color w:val="auto"/>
                <w:sz w:val="21"/>
                <w:szCs w:val="21"/>
              </w:rPr>
              <w:sym w:font="Wingdings 2" w:char="0052"/>
            </w:r>
            <w:r>
              <w:rPr>
                <w:rFonts w:hint="eastAsia" w:ascii="Times New Roman" w:hAnsi="Times New Roman" w:eastAsia="宋体" w:cs="Times New Roman"/>
                <w:color w:val="auto"/>
                <w:sz w:val="21"/>
                <w:szCs w:val="21"/>
              </w:rPr>
              <w:t>；生态系统</w:t>
            </w:r>
            <w:r>
              <w:rPr>
                <w:rFonts w:hint="eastAsia" w:ascii="Times New Roman" w:hAnsi="Times New Roman" w:eastAsia="宋体" w:cs="Times New Roman"/>
                <w:color w:val="auto"/>
                <w:sz w:val="21"/>
                <w:szCs w:val="21"/>
              </w:rPr>
              <w:sym w:font="Wingdings 2" w:char="00A3"/>
            </w:r>
            <w:r>
              <w:rPr>
                <w:rFonts w:hint="eastAsia" w:ascii="Times New Roman" w:hAnsi="Times New Roman" w:eastAsia="宋体" w:cs="Times New Roman"/>
                <w:color w:val="auto"/>
                <w:sz w:val="21"/>
                <w:szCs w:val="21"/>
              </w:rPr>
              <w:t>；生物多样性</w:t>
            </w:r>
            <w:r>
              <w:rPr>
                <w:rFonts w:hint="eastAsia" w:ascii="Times New Roman" w:hAnsi="Times New Roman" w:eastAsia="宋体" w:cs="Times New Roman"/>
                <w:color w:val="auto"/>
                <w:sz w:val="21"/>
                <w:szCs w:val="21"/>
              </w:rPr>
              <w:sym w:font="Wingdings 2" w:char="00A3"/>
            </w:r>
            <w:r>
              <w:rPr>
                <w:rFonts w:hint="eastAsia" w:ascii="Times New Roman" w:hAnsi="Times New Roman" w:eastAsia="宋体" w:cs="Times New Roman"/>
                <w:color w:val="auto"/>
                <w:sz w:val="21"/>
                <w:szCs w:val="21"/>
              </w:rPr>
              <w:t>；重要物种</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；生态敏感区</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；生物入侵风险□；其他</w:t>
            </w:r>
            <w:r>
              <w:rPr>
                <w:rFonts w:hint="eastAsia" w:ascii="Times New Roman" w:hAnsi="Times New Roman" w:eastAsia="宋体" w:cs="Times New Roman"/>
                <w:color w:val="auto"/>
                <w:sz w:val="21"/>
                <w:szCs w:val="21"/>
              </w:rPr>
              <w:sym w:font="Wingdings 2" w:char="0052"/>
            </w:r>
            <w:r>
              <w:rPr>
                <w:rFonts w:hint="eastAsia" w:ascii="Times New Roman" w:hAnsi="Times New Roman" w:eastAsia="宋体"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restart"/>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生态保护对策措施</w:t>
            </w:r>
          </w:p>
        </w:tc>
        <w:tc>
          <w:tcPr>
            <w:tcW w:w="1491"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对策措施</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避让□；减缓</w:t>
            </w:r>
            <w:r>
              <w:rPr>
                <w:rFonts w:hint="eastAsia" w:ascii="Times New Roman" w:hAnsi="Times New Roman" w:eastAsia="宋体" w:cs="Times New Roman"/>
                <w:color w:val="auto"/>
                <w:sz w:val="21"/>
                <w:szCs w:val="21"/>
              </w:rPr>
              <w:sym w:font="Wingdings 2" w:char="00A3"/>
            </w:r>
            <w:r>
              <w:rPr>
                <w:rFonts w:hint="eastAsia" w:ascii="Times New Roman" w:hAnsi="Times New Roman" w:eastAsia="宋体" w:cs="Times New Roman"/>
                <w:color w:val="auto"/>
                <w:sz w:val="21"/>
                <w:szCs w:val="21"/>
              </w:rPr>
              <w:t>；生态修复</w:t>
            </w:r>
            <w:r>
              <w:rPr>
                <w:rFonts w:hint="eastAsia" w:ascii="Times New Roman" w:hAnsi="Times New Roman" w:eastAsia="宋体" w:cs="Times New Roman"/>
                <w:color w:val="auto"/>
                <w:sz w:val="21"/>
                <w:szCs w:val="21"/>
              </w:rPr>
              <w:sym w:font="Wingdings 2" w:char="0052"/>
            </w:r>
            <w:r>
              <w:rPr>
                <w:rFonts w:hint="eastAsia" w:ascii="Times New Roman" w:hAnsi="Times New Roman" w:eastAsia="宋体" w:cs="Times New Roman"/>
                <w:color w:val="auto"/>
                <w:sz w:val="21"/>
                <w:szCs w:val="21"/>
              </w:rPr>
              <w:t>；生态补偿☑；科研□；其他</w:t>
            </w:r>
            <w:r>
              <w:rPr>
                <w:rFonts w:hint="eastAsia" w:ascii="Times New Roman" w:hAnsi="Times New Roman" w:eastAsia="宋体" w:cs="Times New Roman"/>
                <w:color w:val="auto"/>
                <w:sz w:val="21"/>
                <w:szCs w:val="21"/>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p>
        </w:tc>
        <w:tc>
          <w:tcPr>
            <w:tcW w:w="1491"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生态监测计划</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全生命周期□；长期跟踪□；常规□；无</w:t>
            </w:r>
            <w:r>
              <w:rPr>
                <w:rFonts w:hint="eastAsia" w:ascii="Times New Roman" w:hAnsi="Times New Roman" w:eastAsia="宋体" w:cs="Times New Roman"/>
                <w:color w:val="auto"/>
                <w:sz w:val="21"/>
                <w:szCs w:val="21"/>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p>
        </w:tc>
        <w:tc>
          <w:tcPr>
            <w:tcW w:w="1491"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环境管理</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环境监理</w:t>
            </w:r>
            <w:r>
              <w:rPr>
                <w:rFonts w:hint="eastAsia" w:ascii="Times New Roman" w:hAnsi="Times New Roman" w:eastAsia="宋体" w:cs="Times New Roman"/>
                <w:color w:val="auto"/>
                <w:sz w:val="21"/>
                <w:szCs w:val="21"/>
              </w:rPr>
              <w:sym w:font="Wingdings 2" w:char="00A3"/>
            </w:r>
            <w:r>
              <w:rPr>
                <w:rFonts w:hint="eastAsia" w:ascii="Times New Roman" w:hAnsi="Times New Roman" w:eastAsia="宋体" w:cs="Times New Roman"/>
                <w:color w:val="auto"/>
                <w:sz w:val="21"/>
                <w:szCs w:val="21"/>
              </w:rPr>
              <w:t>；环境影响后评价□；其他</w:t>
            </w:r>
            <w:r>
              <w:rPr>
                <w:rFonts w:hint="eastAsia" w:ascii="Times New Roman" w:hAnsi="Times New Roman" w:eastAsia="宋体" w:cs="Times New Roman"/>
                <w:color w:val="auto"/>
                <w:sz w:val="21"/>
                <w:szCs w:val="21"/>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评价结论</w:t>
            </w:r>
          </w:p>
        </w:tc>
        <w:tc>
          <w:tcPr>
            <w:tcW w:w="1491"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生态影响</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 xml:space="preserve">可行 </w:t>
            </w:r>
            <w:r>
              <w:rPr>
                <w:rFonts w:hint="eastAsia" w:ascii="Times New Roman" w:hAnsi="Times New Roman" w:eastAsia="宋体" w:cs="Times New Roman"/>
                <w:color w:val="auto"/>
                <w:sz w:val="21"/>
                <w:szCs w:val="21"/>
              </w:rPr>
              <w:sym w:font="Wingdings 2" w:char="0052"/>
            </w:r>
            <w:r>
              <w:rPr>
                <w:rFonts w:hint="eastAsia" w:ascii="Times New Roman" w:hAnsi="Times New Roman" w:eastAsia="宋体" w:cs="Times New Roman"/>
                <w:color w:val="auto"/>
                <w:sz w:val="21"/>
                <w:szCs w:val="21"/>
              </w:rPr>
              <w:t>             不可行□</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992" w:type="dxa"/>
            <w:gridSpan w:val="3"/>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注：“□”，填“√”；“（  ）”为内容填写项</w:t>
            </w:r>
          </w:p>
        </w:tc>
      </w:tr>
    </w:tbl>
    <w:p>
      <w:pPr>
        <w:rPr>
          <w:color w:val="auto"/>
        </w:rPr>
      </w:pPr>
    </w:p>
    <w:p>
      <w:pPr>
        <w:rPr>
          <w:color w:val="auto"/>
        </w:rPr>
      </w:pPr>
    </w:p>
    <w:sectPr>
      <w:footerReference r:id="rId13"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E8CA13CB-3574-4CE2-B5CF-176080C272CA}"/>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_GBK">
    <w:altName w:val="微软雅黑"/>
    <w:panose1 w:val="02000000000000000000"/>
    <w:charset w:val="86"/>
    <w:family w:val="auto"/>
    <w:pitch w:val="default"/>
    <w:sig w:usb0="00000000" w:usb1="00000000" w:usb2="00082016" w:usb3="00000000" w:csb0="00040001" w:csb1="00000000"/>
    <w:embedRegular r:id="rId2" w:fontKey="{69B19238-DEFE-46A9-919A-00EB967DE6F9}"/>
  </w:font>
  <w:font w:name="等线">
    <w:panose1 w:val="02010600030101010101"/>
    <w:charset w:val="86"/>
    <w:family w:val="auto"/>
    <w:pitch w:val="default"/>
    <w:sig w:usb0="A00002BF" w:usb1="38CF7CFA" w:usb2="00000016" w:usb3="00000000" w:csb0="0004000F" w:csb1="00000000"/>
    <w:embedRegular r:id="rId3" w:fontKey="{E854C8B2-9772-4A6A-BCA6-B3BA8CD8757E}"/>
  </w:font>
  <w:font w:name="仿宋_GB2312">
    <w:panose1 w:val="02010609030101010101"/>
    <w:charset w:val="86"/>
    <w:family w:val="modern"/>
    <w:pitch w:val="default"/>
    <w:sig w:usb0="00000001" w:usb1="080E0000" w:usb2="00000000" w:usb3="00000000" w:csb0="00040000" w:csb1="00000000"/>
    <w:embedRegular r:id="rId4" w:fontKey="{B8017E80-8FC4-4867-B9A9-B5C7BE1A31C6}"/>
  </w:font>
  <w:font w:name="楷体_GB2312">
    <w:altName w:val="楷体"/>
    <w:panose1 w:val="02010609030101010101"/>
    <w:charset w:val="86"/>
    <w:family w:val="modern"/>
    <w:pitch w:val="default"/>
    <w:sig w:usb0="00000000" w:usb1="00000000" w:usb2="00000000" w:usb3="00000000" w:csb0="00040000" w:csb1="00000000"/>
    <w:embedRegular r:id="rId5" w:fontKey="{2B163223-E138-400B-941C-DFB38C1C9C4B}"/>
  </w:font>
  <w:font w:name="华文仿宋">
    <w:panose1 w:val="02010600040101010101"/>
    <w:charset w:val="86"/>
    <w:family w:val="auto"/>
    <w:pitch w:val="default"/>
    <w:sig w:usb0="00000287" w:usb1="080F0000" w:usb2="00000000" w:usb3="00000000" w:csb0="0004009F" w:csb1="DFD70000"/>
    <w:embedRegular r:id="rId6" w:fontKey="{915972B6-125B-4CCF-B811-0E452E704660}"/>
  </w:font>
  <w:font w:name="仿宋">
    <w:panose1 w:val="02010609060101010101"/>
    <w:charset w:val="86"/>
    <w:family w:val="auto"/>
    <w:pitch w:val="default"/>
    <w:sig w:usb0="800002BF" w:usb1="38CF7CFA" w:usb2="00000016" w:usb3="00000000" w:csb0="00040001" w:csb1="00000000"/>
    <w:embedRegular r:id="rId7" w:fontKey="{5F1E90AE-A477-4D4E-AACE-F790CA335890}"/>
  </w:font>
  <w:font w:name="Wingdings 2">
    <w:panose1 w:val="05020102010507070707"/>
    <w:charset w:val="02"/>
    <w:family w:val="roman"/>
    <w:pitch w:val="default"/>
    <w:sig w:usb0="00000000" w:usb1="00000000" w:usb2="00000000" w:usb3="00000000" w:csb0="80000000" w:csb1="00000000"/>
    <w:embedRegular r:id="rId8" w:fontKey="{EE34E7D9-1FE1-4246-9625-5A6EA53BE807}"/>
  </w:font>
  <w:font w:name="新宋体">
    <w:panose1 w:val="02010609030101010101"/>
    <w:charset w:val="86"/>
    <w:family w:val="auto"/>
    <w:pitch w:val="default"/>
    <w:sig w:usb0="00000203" w:usb1="288F0000" w:usb2="00000006" w:usb3="00000000" w:csb0="00040001" w:csb1="00000000"/>
    <w:embedRegular r:id="rId9" w:fontKey="{2C3D6B85-6754-44B0-9C8A-2C03A290E348}"/>
  </w:font>
  <w:font w:name="微软雅黑">
    <w:panose1 w:val="020B0503020204020204"/>
    <w:charset w:val="86"/>
    <w:family w:val="auto"/>
    <w:pitch w:val="default"/>
    <w:sig w:usb0="80000287" w:usb1="2ACF3C50" w:usb2="00000016" w:usb3="00000000" w:csb0="0004001F" w:csb1="00000000"/>
    <w:embedRegular r:id="rId10" w:fontKey="{ED2F9BF9-FA01-4576-B0A0-577AE26411A4}"/>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center" w:y="1"/>
      <w:rPr>
        <w:rStyle w:val="26"/>
      </w:rPr>
    </w:pPr>
    <w:r>
      <w:fldChar w:fldCharType="begin"/>
    </w:r>
    <w:r>
      <w:rPr>
        <w:rStyle w:val="26"/>
      </w:rPr>
      <w:instrText xml:space="preserve">PAGE  </w:instrText>
    </w:r>
    <w:r>
      <w:fldChar w:fldCharType="end"/>
    </w:r>
  </w:p>
  <w:p>
    <w:pPr>
      <w:pStyle w:val="15"/>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10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5"/>
                          </w:pPr>
                          <w:r>
                            <w:fldChar w:fldCharType="begin"/>
                          </w:r>
                          <w:r>
                            <w:instrText xml:space="preserve"> PAGE  \* MERGEFORMAT </w:instrText>
                          </w:r>
                          <w:r>
                            <w:fldChar w:fldCharType="separate"/>
                          </w:r>
                          <w:r>
                            <w:t>25</w:t>
                          </w:r>
                          <w:r>
                            <w:fldChar w:fldCharType="end"/>
                          </w:r>
                        </w:p>
                      </w:txbxContent>
                    </wps:txbx>
                    <wps:bodyPr vert="horz" wrap="none" lIns="0" tIns="0" rIns="0" bIns="0" anchor="t" anchorCtr="0">
                      <a:spAutoFit/>
                    </wps:bodyPr>
                  </wps:wsp>
                </a:graphicData>
              </a:graphic>
            </wp:anchor>
          </w:drawing>
        </mc:Choice>
        <mc:Fallback>
          <w:pict>
            <v:shape id="文本框 1032"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zql5uc8AAAAFAQAADwAAAAAAAAABACAAAAAi&#10;AAAAZHJzL2Rvd25yZXYueG1sUEsBAhQAFAAAAAgAh07iQORY+VTaAQAAtQMAAA4AAAAAAAAAAQAg&#10;AAAAHgEAAGRycy9lMm9Eb2MueG1sUEsFBgAAAAAGAAYAWQEAAGoFAAAAAA==&#10;">
              <v:fill on="f" focussize="0,0"/>
              <v:stroke on="f"/>
              <v:imagedata o:title=""/>
              <o:lock v:ext="edit" aspectratio="f"/>
              <v:textbox inset="0mm,0mm,0mm,0mm" style="mso-fit-shape-to-text:t;">
                <w:txbxContent>
                  <w:p>
                    <w:pPr>
                      <w:pStyle w:val="15"/>
                    </w:pPr>
                    <w:r>
                      <w:fldChar w:fldCharType="begin"/>
                    </w:r>
                    <w:r>
                      <w:instrText xml:space="preserve"> PAGE  \* MERGEFORMAT </w:instrText>
                    </w:r>
                    <w:r>
                      <w:fldChar w:fldCharType="separate"/>
                    </w:r>
                    <w:r>
                      <w:t>25</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10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5"/>
                          </w:pPr>
                          <w:r>
                            <w:fldChar w:fldCharType="begin"/>
                          </w:r>
                          <w:r>
                            <w:instrText xml:space="preserve"> PAGE  \* MERGEFORMAT </w:instrText>
                          </w:r>
                          <w:r>
                            <w:fldChar w:fldCharType="separate"/>
                          </w:r>
                          <w:r>
                            <w:t>40</w:t>
                          </w:r>
                          <w:r>
                            <w:fldChar w:fldCharType="end"/>
                          </w:r>
                        </w:p>
                      </w:txbxContent>
                    </wps:txbx>
                    <wps:bodyPr vert="horz" wrap="none" lIns="0" tIns="0" rIns="0" bIns="0" anchor="t" anchorCtr="0">
                      <a:spAutoFit/>
                    </wps:bodyPr>
                  </wps:wsp>
                </a:graphicData>
              </a:graphic>
            </wp:anchor>
          </w:drawing>
        </mc:Choice>
        <mc:Fallback>
          <w:pict>
            <v:shape id="文本框 1033"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zql5uc8AAAAFAQAADwAAAAAAAAABACAAAAAi&#10;AAAAZHJzL2Rvd25yZXYueG1sUEsBAhQAFAAAAAgAh07iQERKTv3aAQAAtQMAAA4AAAAAAAAAAQAg&#10;AAAAHgEAAGRycy9lMm9Eb2MueG1sUEsFBgAAAAAGAAYAWQEAAGoFAAAAAA==&#10;">
              <v:fill on="f" focussize="0,0"/>
              <v:stroke on="f"/>
              <v:imagedata o:title=""/>
              <o:lock v:ext="edit" aspectratio="f"/>
              <v:textbox inset="0mm,0mm,0mm,0mm" style="mso-fit-shape-to-text:t;">
                <w:txbxContent>
                  <w:p>
                    <w:pPr>
                      <w:pStyle w:val="15"/>
                    </w:pPr>
                    <w:r>
                      <w:fldChar w:fldCharType="begin"/>
                    </w:r>
                    <w:r>
                      <w:instrText xml:space="preserve"> PAGE  \* MERGEFORMAT </w:instrText>
                    </w:r>
                    <w:r>
                      <w:fldChar w:fldCharType="separate"/>
                    </w:r>
                    <w:r>
                      <w:t>40</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69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K5hCotAgAAVw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DK5hCotAgAAVwQAAA4AAAAAAAAAAQAgAAAAHwEAAGRycy9lMm9Eb2MueG1sUEsFBgAAAAAG&#10;AAYAWQEAAL4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69</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60" w:after="60"/>
      <w:rPr>
        <w:rFonts w:hint="eastAsia"/>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60" w:after="60"/>
      <w:ind w:firstLine="420"/>
      <w:jc w:val="center"/>
      <w:rPr>
        <w:sz w:val="21"/>
        <w:szCs w:val="21"/>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snapToGrid w:val="0"/>
      <w:ind w:right="360" w:firstLine="360"/>
      <w:jc w:val="right"/>
      <w:rPr>
        <w:rFonts w:ascii="Times New Roman" w:hAnsi="Times New Roman" w:eastAsia="宋体" w:cs="Times New Roman"/>
        <w:kern w:val="2"/>
        <w:sz w:val="18"/>
        <w:szCs w:val="18"/>
        <w:lang w:val="en-US" w:eastAsia="zh-CN" w:bidi="ar-SA"/>
      </w:rPr>
    </w:pPr>
    <w:r>
      <w:rPr>
        <w:rFonts w:ascii="Times New Roman" w:hAnsi="Times New Roman" w:eastAsia="宋体" w:cs="Times New Roman"/>
        <w:kern w:val="2"/>
        <w:sz w:val="18"/>
        <w:szCs w:val="18"/>
        <w:lang w:val="en-US" w:eastAsia="zh-CN" w:bidi="ar-SA"/>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widowControl w:val="0"/>
                            <w:snapToGrid w:val="0"/>
                            <w:ind w:firstLine="360"/>
                            <w:jc w:val="left"/>
                            <w:rPr>
                              <w:rFonts w:ascii="Times New Roman" w:hAnsi="Times New Roman" w:eastAsia="宋体" w:cs="Times New Roman"/>
                              <w:kern w:val="2"/>
                              <w:sz w:val="18"/>
                              <w:szCs w:val="18"/>
                              <w:lang w:val="en-US" w:eastAsia="zh-CN" w:bidi="ar-SA"/>
                            </w:rPr>
                          </w:pPr>
                          <w:r>
                            <w:rPr>
                              <w:rFonts w:ascii="Times New Roman" w:hAnsi="Times New Roman" w:eastAsia="宋体" w:cs="Times New Roman"/>
                              <w:kern w:val="2"/>
                              <w:sz w:val="18"/>
                              <w:szCs w:val="18"/>
                              <w:lang w:val="en-US" w:eastAsia="zh-CN" w:bidi="ar-SA"/>
                            </w:rPr>
                            <w:fldChar w:fldCharType="begin"/>
                          </w:r>
                          <w:r>
                            <w:rPr>
                              <w:rFonts w:ascii="Times New Roman" w:hAnsi="Times New Roman" w:eastAsia="宋体" w:cs="Times New Roman"/>
                              <w:kern w:val="2"/>
                              <w:sz w:val="18"/>
                              <w:szCs w:val="18"/>
                              <w:lang w:val="en-US" w:eastAsia="zh-CN" w:bidi="ar-SA"/>
                            </w:rPr>
                            <w:instrText xml:space="preserve"> PAGE  \* MERGEFORMAT </w:instrText>
                          </w:r>
                          <w:r>
                            <w:rPr>
                              <w:rFonts w:ascii="Times New Roman" w:hAnsi="Times New Roman" w:eastAsia="宋体" w:cs="Times New Roman"/>
                              <w:kern w:val="2"/>
                              <w:sz w:val="18"/>
                              <w:szCs w:val="18"/>
                              <w:lang w:val="en-US" w:eastAsia="zh-CN" w:bidi="ar-SA"/>
                            </w:rPr>
                            <w:fldChar w:fldCharType="separate"/>
                          </w:r>
                          <w:r>
                            <w:rPr>
                              <w:rFonts w:ascii="Times New Roman" w:hAnsi="Times New Roman" w:eastAsia="宋体" w:cs="Times New Roman"/>
                              <w:kern w:val="2"/>
                              <w:sz w:val="18"/>
                              <w:szCs w:val="18"/>
                              <w:lang w:val="en-US" w:eastAsia="zh-CN" w:bidi="ar-SA"/>
                            </w:rPr>
                            <w:t>72</w:t>
                          </w:r>
                          <w:r>
                            <w:rPr>
                              <w:rFonts w:ascii="Times New Roman" w:hAnsi="Times New Roman" w:eastAsia="宋体" w:cs="Times New Roman"/>
                              <w:kern w:val="2"/>
                              <w:sz w:val="18"/>
                              <w:szCs w:val="18"/>
                              <w:lang w:val="en-US" w:eastAsia="zh-CN" w:bidi="ar-S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ZoqY8kBAACbAwAADgAAAGRycy9lMm9Eb2MueG1srVPNjtMwEL6vxDtY&#10;vlNnK4G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uAlvKHHc4sTPP3+cfz2eH74T&#10;9KFAfYAa8+4CZqbhvR8wefYDOjPvQUWbv8iIYBzlPV3klUMiIj9aLVerCkMCY/MF8dnT8xAhfZDe&#10;kmw0NOL8iqz8+AnSmDqn5GrO32pjygyN+8uBmNnDcu9jj9lKw26YCO18e0I+PY6+oQ43nRLz0aGy&#10;eUtmI87GbjYOIep9V9Yo14Pw7pCwidJbrjDCToVxZoXdtF95Kf68l6ynf2rz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1mipjyQEAAJsDAAAOAAAAAAAAAAEAIAAAAB4BAABkcnMvZTJvRG9j&#10;LnhtbFBLBQYAAAAABgAGAFkBAABZBQAAAAA=&#10;">
              <v:fill on="f" focussize="0,0"/>
              <v:stroke on="f"/>
              <v:imagedata o:title=""/>
              <o:lock v:ext="edit" aspectratio="f"/>
              <v:textbox inset="0mm,0mm,0mm,0mm" style="mso-fit-shape-to-text:t;">
                <w:txbxContent>
                  <w:p>
                    <w:pPr>
                      <w:widowControl w:val="0"/>
                      <w:snapToGrid w:val="0"/>
                      <w:ind w:firstLine="360"/>
                      <w:jc w:val="left"/>
                      <w:rPr>
                        <w:rFonts w:ascii="Times New Roman" w:hAnsi="Times New Roman" w:eastAsia="宋体" w:cs="Times New Roman"/>
                        <w:kern w:val="2"/>
                        <w:sz w:val="18"/>
                        <w:szCs w:val="18"/>
                        <w:lang w:val="en-US" w:eastAsia="zh-CN" w:bidi="ar-SA"/>
                      </w:rPr>
                    </w:pPr>
                    <w:r>
                      <w:rPr>
                        <w:rFonts w:ascii="Times New Roman" w:hAnsi="Times New Roman" w:eastAsia="宋体" w:cs="Times New Roman"/>
                        <w:kern w:val="2"/>
                        <w:sz w:val="18"/>
                        <w:szCs w:val="18"/>
                        <w:lang w:val="en-US" w:eastAsia="zh-CN" w:bidi="ar-SA"/>
                      </w:rPr>
                      <w:fldChar w:fldCharType="begin"/>
                    </w:r>
                    <w:r>
                      <w:rPr>
                        <w:rFonts w:ascii="Times New Roman" w:hAnsi="Times New Roman" w:eastAsia="宋体" w:cs="Times New Roman"/>
                        <w:kern w:val="2"/>
                        <w:sz w:val="18"/>
                        <w:szCs w:val="18"/>
                        <w:lang w:val="en-US" w:eastAsia="zh-CN" w:bidi="ar-SA"/>
                      </w:rPr>
                      <w:instrText xml:space="preserve"> PAGE  \* MERGEFORMAT </w:instrText>
                    </w:r>
                    <w:r>
                      <w:rPr>
                        <w:rFonts w:ascii="Times New Roman" w:hAnsi="Times New Roman" w:eastAsia="宋体" w:cs="Times New Roman"/>
                        <w:kern w:val="2"/>
                        <w:sz w:val="18"/>
                        <w:szCs w:val="18"/>
                        <w:lang w:val="en-US" w:eastAsia="zh-CN" w:bidi="ar-SA"/>
                      </w:rPr>
                      <w:fldChar w:fldCharType="separate"/>
                    </w:r>
                    <w:r>
                      <w:rPr>
                        <w:rFonts w:ascii="Times New Roman" w:hAnsi="Times New Roman" w:eastAsia="宋体" w:cs="Times New Roman"/>
                        <w:kern w:val="2"/>
                        <w:sz w:val="18"/>
                        <w:szCs w:val="18"/>
                        <w:lang w:val="en-US" w:eastAsia="zh-CN" w:bidi="ar-SA"/>
                      </w:rPr>
                      <w:t>72</w:t>
                    </w:r>
                    <w:r>
                      <w:rPr>
                        <w:rFonts w:ascii="Times New Roman" w:hAnsi="Times New Roman" w:eastAsia="宋体" w:cs="Times New Roman"/>
                        <w:kern w:val="2"/>
                        <w:sz w:val="18"/>
                        <w:szCs w:val="18"/>
                        <w:lang w:val="en-US" w:eastAsia="zh-CN" w:bidi="ar-SA"/>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83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pvceotAgAAVwQAAA4AAABkcnMvZTJvRG9jLnhtbK1UzY7TMBC+I/EO&#10;lu80aRGl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pvceotAgAAVwQAAA4AAAAAAAAAAQAgAAAAHwEAAGRycy9lMm9Eb2MueG1sUEsFBgAAAAAG&#10;AAYAWQEAAL4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83</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numPr>
        <w:ilvl w:val="0"/>
        <w:numId w:val="0"/>
      </w:numPr>
      <w:spacing w:before="0" w:beforeLines="0" w:after="0" w:afterLines="0" w:line="240" w:lineRule="auto"/>
      <w:jc w:val="center"/>
      <w:rPr>
        <w:sz w:val="21"/>
        <w:szCs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numPr>
        <w:ilvl w:val="0"/>
        <w:numId w:val="0"/>
      </w:numPr>
      <w:pBdr>
        <w:bottom w:val="thinThickSmallGap" w:color="auto" w:sz="12" w:space="1"/>
      </w:pBdr>
      <w:spacing w:before="0" w:beforeLines="0" w:after="0" w:afterLines="0" w:line="240" w:lineRule="auto"/>
      <w:jc w:val="center"/>
      <w:rPr>
        <w:sz w:val="21"/>
        <w:szCs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AA8358B"/>
    <w:multiLevelType w:val="singleLevel"/>
    <w:tmpl w:val="CAA8358B"/>
    <w:lvl w:ilvl="0" w:tentative="0">
      <w:start w:val="2"/>
      <w:numFmt w:val="decimal"/>
      <w:suff w:val="nothing"/>
      <w:lvlText w:val="%1、"/>
      <w:lvlJc w:val="left"/>
    </w:lvl>
  </w:abstractNum>
  <w:abstractNum w:abstractNumId="1">
    <w:nsid w:val="D30B9BF5"/>
    <w:multiLevelType w:val="singleLevel"/>
    <w:tmpl w:val="D30B9BF5"/>
    <w:lvl w:ilvl="0" w:tentative="0">
      <w:start w:val="1"/>
      <w:numFmt w:val="decimal"/>
      <w:suff w:val="nothing"/>
      <w:lvlText w:val="%1、"/>
      <w:lvlJc w:val="left"/>
    </w:lvl>
  </w:abstractNum>
  <w:abstractNum w:abstractNumId="2">
    <w:nsid w:val="1C8B6C75"/>
    <w:multiLevelType w:val="singleLevel"/>
    <w:tmpl w:val="1C8B6C75"/>
    <w:lvl w:ilvl="0" w:tentative="0">
      <w:start w:val="6"/>
      <w:numFmt w:val="chineseCounting"/>
      <w:suff w:val="nothing"/>
      <w:lvlText w:val="%1、"/>
      <w:lvlJc w:val="left"/>
      <w:rPr>
        <w:rFonts w:hint="eastAsia"/>
      </w:rPr>
    </w:lvl>
  </w:abstractNum>
  <w:abstractNum w:abstractNumId="3">
    <w:nsid w:val="2709B6AB"/>
    <w:multiLevelType w:val="singleLevel"/>
    <w:tmpl w:val="2709B6AB"/>
    <w:lvl w:ilvl="0" w:tentative="0">
      <w:start w:val="2"/>
      <w:numFmt w:val="decimal"/>
      <w:suff w:val="nothing"/>
      <w:lvlText w:val="%1、"/>
      <w:lvlJc w:val="left"/>
    </w:lvl>
  </w:abstractNum>
  <w:abstractNum w:abstractNumId="4">
    <w:nsid w:val="39CB5F34"/>
    <w:multiLevelType w:val="singleLevel"/>
    <w:tmpl w:val="39CB5F34"/>
    <w:lvl w:ilvl="0" w:tentative="0">
      <w:start w:val="1"/>
      <w:numFmt w:val="decimal"/>
      <w:lvlText w:val="(%1)"/>
      <w:lvlJc w:val="left"/>
      <w:pPr>
        <w:ind w:left="425" w:hanging="425"/>
      </w:pPr>
      <w:rPr>
        <w:rFonts w:hint="default"/>
      </w:rPr>
    </w:lvl>
  </w:abstractNum>
  <w:abstractNum w:abstractNumId="5">
    <w:nsid w:val="435141F0"/>
    <w:multiLevelType w:val="multilevel"/>
    <w:tmpl w:val="435141F0"/>
    <w:lvl w:ilvl="0" w:tentative="0">
      <w:start w:val="1"/>
      <w:numFmt w:val="decimal"/>
      <w:isLgl/>
      <w:suff w:val="space"/>
      <w:lvlText w:val="%1"/>
      <w:lvlJc w:val="left"/>
      <w:pPr>
        <w:ind w:left="200" w:firstLine="0"/>
      </w:pPr>
      <w:rPr>
        <w:rFonts w:hint="eastAsia" w:ascii="Times New Roman" w:hAnsi="Times New Roman" w:eastAsia="宋体" w:cs="Times New Roman"/>
        <w:b/>
        <w:i w:val="0"/>
        <w:sz w:val="36"/>
        <w:szCs w:val="36"/>
      </w:rPr>
    </w:lvl>
    <w:lvl w:ilvl="1" w:tentative="0">
      <w:start w:val="1"/>
      <w:numFmt w:val="decimal"/>
      <w:isLgl/>
      <w:suff w:val="space"/>
      <w:lvlText w:val="%1.%2"/>
      <w:lvlJc w:val="left"/>
      <w:pPr>
        <w:ind w:left="1800" w:firstLine="0"/>
      </w:pPr>
      <w:rPr>
        <w:rFonts w:hint="default" w:ascii="Times New Roman" w:hAnsi="Times New Roman" w:eastAsia="宋体"/>
        <w:b/>
        <w:i w:val="0"/>
        <w:sz w:val="30"/>
      </w:rPr>
    </w:lvl>
    <w:lvl w:ilvl="2" w:tentative="0">
      <w:start w:val="1"/>
      <w:numFmt w:val="decimal"/>
      <w:isLgl/>
      <w:suff w:val="space"/>
      <w:lvlText w:val="%1.%2.%3"/>
      <w:lvlJc w:val="left"/>
      <w:pPr>
        <w:ind w:left="180" w:firstLine="0"/>
      </w:pPr>
      <w:rPr>
        <w:rFonts w:hint="eastAsia" w:ascii="Times New Roman" w:hAnsi="Times New Roman" w:cs="Times New Roman"/>
        <w:bCs w:val="0"/>
        <w:i w:val="0"/>
        <w:iCs w:val="0"/>
        <w:caps w:val="0"/>
        <w:smallCaps w:val="0"/>
        <w:strike w:val="0"/>
        <w:dstrike w:val="0"/>
        <w:vanish w:val="0"/>
        <w:color w:val="000000"/>
        <w:spacing w:val="0"/>
        <w:kern w:val="0"/>
        <w:position w:val="0"/>
        <w:u w:val="none"/>
        <w:vertAlign w:val="baseline"/>
      </w:rPr>
    </w:lvl>
    <w:lvl w:ilvl="3" w:tentative="0">
      <w:start w:val="1"/>
      <w:numFmt w:val="decimal"/>
      <w:isLgl/>
      <w:suff w:val="space"/>
      <w:lvlText w:val="%1.%2.%3.%4"/>
      <w:lvlJc w:val="left"/>
      <w:pPr>
        <w:ind w:left="360" w:firstLine="0"/>
      </w:pPr>
      <w:rPr>
        <w:rFonts w:hint="default" w:ascii="Times New Roman" w:hAnsi="Times New Roman" w:eastAsia="宋体"/>
        <w:b/>
        <w:i w:val="0"/>
        <w:sz w:val="24"/>
      </w:rPr>
    </w:lvl>
    <w:lvl w:ilvl="4" w:tentative="0">
      <w:start w:val="1"/>
      <w:numFmt w:val="decimal"/>
      <w:pStyle w:val="8"/>
      <w:suff w:val="space"/>
      <w:lvlText w:val="( %5 )"/>
      <w:lvlJc w:val="left"/>
      <w:pPr>
        <w:ind w:left="540" w:firstLine="0"/>
      </w:pPr>
      <w:rPr>
        <w:rFonts w:hint="eastAsia"/>
        <w:b w:val="0"/>
        <w:i w:val="0"/>
        <w:sz w:val="24"/>
      </w:rPr>
    </w:lvl>
    <w:lvl w:ilvl="5" w:tentative="0">
      <w:start w:val="1"/>
      <w:numFmt w:val="decimalEnclosedCircle"/>
      <w:suff w:val="space"/>
      <w:lvlText w:val="%6"/>
      <w:lvlJc w:val="left"/>
      <w:pPr>
        <w:ind w:left="760" w:firstLine="0"/>
      </w:pPr>
      <w:rPr>
        <w:rFonts w:hint="eastAsia"/>
      </w:rPr>
    </w:lvl>
    <w:lvl w:ilvl="6" w:tentative="0">
      <w:start w:val="1"/>
      <w:numFmt w:val="decimal"/>
      <w:lvlText w:val="%1.%2.%3.%4.%5.%6.%7"/>
      <w:lvlJc w:val="left"/>
      <w:pPr>
        <w:tabs>
          <w:tab w:val="left" w:pos="4715"/>
        </w:tabs>
        <w:ind w:left="4715" w:hanging="1276"/>
      </w:pPr>
      <w:rPr>
        <w:rFonts w:hint="eastAsia"/>
      </w:rPr>
    </w:lvl>
    <w:lvl w:ilvl="7" w:tentative="0">
      <w:start w:val="1"/>
      <w:numFmt w:val="decimal"/>
      <w:lvlText w:val="%1.%2.%3.%4.%5.%6.%7.%8"/>
      <w:lvlJc w:val="left"/>
      <w:pPr>
        <w:tabs>
          <w:tab w:val="left" w:pos="5282"/>
        </w:tabs>
        <w:ind w:left="5282" w:hanging="1418"/>
      </w:pPr>
      <w:rPr>
        <w:rFonts w:hint="eastAsia"/>
      </w:rPr>
    </w:lvl>
    <w:lvl w:ilvl="8" w:tentative="0">
      <w:start w:val="1"/>
      <w:numFmt w:val="decimal"/>
      <w:lvlText w:val="%1.%2.%3.%4.%5.%6.%7.%8.%9"/>
      <w:lvlJc w:val="left"/>
      <w:pPr>
        <w:tabs>
          <w:tab w:val="left" w:pos="5990"/>
        </w:tabs>
        <w:ind w:left="5990" w:hanging="1700"/>
      </w:pPr>
      <w:rPr>
        <w:rFonts w:hint="eastAsia"/>
      </w:rPr>
    </w:lvl>
  </w:abstractNum>
  <w:num w:numId="1">
    <w:abstractNumId w:val="5"/>
  </w:num>
  <w:num w:numId="2">
    <w:abstractNumId w:val="0"/>
  </w:num>
  <w:num w:numId="3">
    <w:abstractNumId w:val="1"/>
  </w:num>
  <w:num w:numId="4">
    <w:abstractNumId w:val="4"/>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2M2NzUzZDNlZWQ2YzMxYTczYzhhOTMxMzljZGI4M2UifQ=="/>
    <w:docVar w:name="KSO_WPS_MARK_KEY" w:val="4a5726b1-96f4-4309-8963-eab077aa73a7"/>
  </w:docVars>
  <w:rsids>
    <w:rsidRoot w:val="00172A27"/>
    <w:rsid w:val="000060B3"/>
    <w:rsid w:val="00041CF6"/>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1ED"/>
    <w:rsid w:val="000C09AC"/>
    <w:rsid w:val="000C767F"/>
    <w:rsid w:val="000D5A44"/>
    <w:rsid w:val="000E3ED2"/>
    <w:rsid w:val="00107807"/>
    <w:rsid w:val="001251DD"/>
    <w:rsid w:val="00131F42"/>
    <w:rsid w:val="001357F1"/>
    <w:rsid w:val="00140FA8"/>
    <w:rsid w:val="00142FEB"/>
    <w:rsid w:val="00143A2D"/>
    <w:rsid w:val="00145A41"/>
    <w:rsid w:val="00151675"/>
    <w:rsid w:val="00157435"/>
    <w:rsid w:val="00172A27"/>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340F"/>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2F4AD6"/>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1804"/>
    <w:rsid w:val="00452738"/>
    <w:rsid w:val="00456091"/>
    <w:rsid w:val="00466321"/>
    <w:rsid w:val="00484B9B"/>
    <w:rsid w:val="004855F6"/>
    <w:rsid w:val="0048661E"/>
    <w:rsid w:val="00494670"/>
    <w:rsid w:val="004A3823"/>
    <w:rsid w:val="004B44C7"/>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748B8"/>
    <w:rsid w:val="006775C3"/>
    <w:rsid w:val="006857D7"/>
    <w:rsid w:val="0069290A"/>
    <w:rsid w:val="00696058"/>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07B"/>
    <w:rsid w:val="007A2170"/>
    <w:rsid w:val="007A22BF"/>
    <w:rsid w:val="007A3323"/>
    <w:rsid w:val="007B72B8"/>
    <w:rsid w:val="007B7A58"/>
    <w:rsid w:val="007C21B5"/>
    <w:rsid w:val="007E4BD2"/>
    <w:rsid w:val="007F57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052C8"/>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1BAD"/>
    <w:rsid w:val="00C2596A"/>
    <w:rsid w:val="00C27537"/>
    <w:rsid w:val="00C328FE"/>
    <w:rsid w:val="00C33507"/>
    <w:rsid w:val="00C4409D"/>
    <w:rsid w:val="00C44E72"/>
    <w:rsid w:val="00C45A06"/>
    <w:rsid w:val="00C47E5B"/>
    <w:rsid w:val="00C61E4B"/>
    <w:rsid w:val="00C64BFF"/>
    <w:rsid w:val="00C651E9"/>
    <w:rsid w:val="00C704E9"/>
    <w:rsid w:val="00C73CD4"/>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F2E12"/>
    <w:rsid w:val="00DF514A"/>
    <w:rsid w:val="00DF58FB"/>
    <w:rsid w:val="00DF6690"/>
    <w:rsid w:val="00DF6804"/>
    <w:rsid w:val="00E0358D"/>
    <w:rsid w:val="00E04323"/>
    <w:rsid w:val="00E070A2"/>
    <w:rsid w:val="00E2656A"/>
    <w:rsid w:val="00E36788"/>
    <w:rsid w:val="00E412D0"/>
    <w:rsid w:val="00E551FD"/>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1A70"/>
    <w:rsid w:val="00F82B19"/>
    <w:rsid w:val="00F9212D"/>
    <w:rsid w:val="00F965DA"/>
    <w:rsid w:val="00FA406A"/>
    <w:rsid w:val="00FB503A"/>
    <w:rsid w:val="00FB516C"/>
    <w:rsid w:val="00FD0236"/>
    <w:rsid w:val="00FD18F4"/>
    <w:rsid w:val="00FD54DB"/>
    <w:rsid w:val="00FD619F"/>
    <w:rsid w:val="01290F7E"/>
    <w:rsid w:val="015D1E09"/>
    <w:rsid w:val="02697903"/>
    <w:rsid w:val="02F96569"/>
    <w:rsid w:val="03D251BA"/>
    <w:rsid w:val="03EA7B21"/>
    <w:rsid w:val="04827A43"/>
    <w:rsid w:val="05BD2181"/>
    <w:rsid w:val="05F83EAE"/>
    <w:rsid w:val="062D344D"/>
    <w:rsid w:val="063E7D85"/>
    <w:rsid w:val="06F6508D"/>
    <w:rsid w:val="07293586"/>
    <w:rsid w:val="07295285"/>
    <w:rsid w:val="07636392"/>
    <w:rsid w:val="076E3F95"/>
    <w:rsid w:val="07770C56"/>
    <w:rsid w:val="081C1399"/>
    <w:rsid w:val="08391830"/>
    <w:rsid w:val="08A62237"/>
    <w:rsid w:val="092217DD"/>
    <w:rsid w:val="093A7294"/>
    <w:rsid w:val="0A263993"/>
    <w:rsid w:val="0A2D3AC2"/>
    <w:rsid w:val="0AA755DF"/>
    <w:rsid w:val="0B120D44"/>
    <w:rsid w:val="0BD27BF6"/>
    <w:rsid w:val="0BEF0663"/>
    <w:rsid w:val="0C3B3C7D"/>
    <w:rsid w:val="0C741481"/>
    <w:rsid w:val="0CAB2EAE"/>
    <w:rsid w:val="0D621C7D"/>
    <w:rsid w:val="0E4D0323"/>
    <w:rsid w:val="0E73034D"/>
    <w:rsid w:val="0ECD5D4E"/>
    <w:rsid w:val="0F136D29"/>
    <w:rsid w:val="0F13775A"/>
    <w:rsid w:val="0F5F45FE"/>
    <w:rsid w:val="0F973CE2"/>
    <w:rsid w:val="0F9A112B"/>
    <w:rsid w:val="106D2F64"/>
    <w:rsid w:val="10B63710"/>
    <w:rsid w:val="10F10820"/>
    <w:rsid w:val="111C2F7A"/>
    <w:rsid w:val="11665CA1"/>
    <w:rsid w:val="117E773A"/>
    <w:rsid w:val="1290624C"/>
    <w:rsid w:val="12FE7E10"/>
    <w:rsid w:val="13951726"/>
    <w:rsid w:val="14396509"/>
    <w:rsid w:val="146934F1"/>
    <w:rsid w:val="14DD2C3C"/>
    <w:rsid w:val="16087E1D"/>
    <w:rsid w:val="17701D14"/>
    <w:rsid w:val="17735226"/>
    <w:rsid w:val="17B374D3"/>
    <w:rsid w:val="183724E4"/>
    <w:rsid w:val="189F624C"/>
    <w:rsid w:val="18EC1394"/>
    <w:rsid w:val="19427323"/>
    <w:rsid w:val="1A1C66C0"/>
    <w:rsid w:val="1A2C2022"/>
    <w:rsid w:val="1A42393B"/>
    <w:rsid w:val="1A976739"/>
    <w:rsid w:val="1AAD45DE"/>
    <w:rsid w:val="1B046F80"/>
    <w:rsid w:val="1B3267B5"/>
    <w:rsid w:val="1B40161D"/>
    <w:rsid w:val="1B441859"/>
    <w:rsid w:val="1B6606B1"/>
    <w:rsid w:val="1C5E7925"/>
    <w:rsid w:val="1C7D5E6D"/>
    <w:rsid w:val="1CA547E5"/>
    <w:rsid w:val="1CA934AA"/>
    <w:rsid w:val="1CE811EA"/>
    <w:rsid w:val="1CFD070F"/>
    <w:rsid w:val="1D5F6196"/>
    <w:rsid w:val="1D6132A5"/>
    <w:rsid w:val="1D8E56D5"/>
    <w:rsid w:val="1DE709FD"/>
    <w:rsid w:val="1E7A43DA"/>
    <w:rsid w:val="1ECF5A4C"/>
    <w:rsid w:val="1F966239"/>
    <w:rsid w:val="1FE7539E"/>
    <w:rsid w:val="1FFE7BD7"/>
    <w:rsid w:val="2059498F"/>
    <w:rsid w:val="20671BE0"/>
    <w:rsid w:val="20963CB8"/>
    <w:rsid w:val="20A81A1B"/>
    <w:rsid w:val="20B07FB6"/>
    <w:rsid w:val="20B646FB"/>
    <w:rsid w:val="21384FBF"/>
    <w:rsid w:val="213B74B1"/>
    <w:rsid w:val="215A2310"/>
    <w:rsid w:val="21DE318A"/>
    <w:rsid w:val="21EF5B80"/>
    <w:rsid w:val="21F13438"/>
    <w:rsid w:val="22576990"/>
    <w:rsid w:val="22A44098"/>
    <w:rsid w:val="22B40DF6"/>
    <w:rsid w:val="22F47480"/>
    <w:rsid w:val="23DE1C48"/>
    <w:rsid w:val="240210CD"/>
    <w:rsid w:val="24BF09F7"/>
    <w:rsid w:val="252D53FE"/>
    <w:rsid w:val="258264EF"/>
    <w:rsid w:val="25EC2D81"/>
    <w:rsid w:val="277057A2"/>
    <w:rsid w:val="27F41D6C"/>
    <w:rsid w:val="28E026ED"/>
    <w:rsid w:val="29206EB8"/>
    <w:rsid w:val="292509ED"/>
    <w:rsid w:val="29595666"/>
    <w:rsid w:val="295F7321"/>
    <w:rsid w:val="29874881"/>
    <w:rsid w:val="29E325E0"/>
    <w:rsid w:val="2A452503"/>
    <w:rsid w:val="2B8A1CFE"/>
    <w:rsid w:val="2BA936A8"/>
    <w:rsid w:val="2BBC3F01"/>
    <w:rsid w:val="2C112FDA"/>
    <w:rsid w:val="2C315A5A"/>
    <w:rsid w:val="2C4B1C25"/>
    <w:rsid w:val="2D9E56F5"/>
    <w:rsid w:val="2DB3256D"/>
    <w:rsid w:val="2E667F96"/>
    <w:rsid w:val="2E8226AB"/>
    <w:rsid w:val="2F04602B"/>
    <w:rsid w:val="2FAD4000"/>
    <w:rsid w:val="2FD065E6"/>
    <w:rsid w:val="2FD96870"/>
    <w:rsid w:val="305772D8"/>
    <w:rsid w:val="30580BC9"/>
    <w:rsid w:val="311E2ED7"/>
    <w:rsid w:val="315619EE"/>
    <w:rsid w:val="315C449C"/>
    <w:rsid w:val="31B82709"/>
    <w:rsid w:val="31D05482"/>
    <w:rsid w:val="323B3B69"/>
    <w:rsid w:val="32400B34"/>
    <w:rsid w:val="328001FF"/>
    <w:rsid w:val="329C47A2"/>
    <w:rsid w:val="329E6876"/>
    <w:rsid w:val="33242316"/>
    <w:rsid w:val="333015F2"/>
    <w:rsid w:val="334B6320"/>
    <w:rsid w:val="3371024C"/>
    <w:rsid w:val="33D934D4"/>
    <w:rsid w:val="33FE2F6A"/>
    <w:rsid w:val="340E07E5"/>
    <w:rsid w:val="34235BF7"/>
    <w:rsid w:val="344F6495"/>
    <w:rsid w:val="358C5FA8"/>
    <w:rsid w:val="35C15DF1"/>
    <w:rsid w:val="36074A7F"/>
    <w:rsid w:val="36923549"/>
    <w:rsid w:val="369368B5"/>
    <w:rsid w:val="36B75FBF"/>
    <w:rsid w:val="36BD0C45"/>
    <w:rsid w:val="37E00298"/>
    <w:rsid w:val="38176844"/>
    <w:rsid w:val="38B302F9"/>
    <w:rsid w:val="38F12CD3"/>
    <w:rsid w:val="38F94775"/>
    <w:rsid w:val="392971ED"/>
    <w:rsid w:val="39325651"/>
    <w:rsid w:val="398D4A17"/>
    <w:rsid w:val="3A872856"/>
    <w:rsid w:val="3B3763D1"/>
    <w:rsid w:val="3C2F6E1E"/>
    <w:rsid w:val="3C4F64BA"/>
    <w:rsid w:val="3CDA245A"/>
    <w:rsid w:val="3CE108FB"/>
    <w:rsid w:val="3D1E06B7"/>
    <w:rsid w:val="3EDA0523"/>
    <w:rsid w:val="3FEA596B"/>
    <w:rsid w:val="407A6407"/>
    <w:rsid w:val="40A74862"/>
    <w:rsid w:val="4200449D"/>
    <w:rsid w:val="423A3BCC"/>
    <w:rsid w:val="424E57D2"/>
    <w:rsid w:val="42B26C49"/>
    <w:rsid w:val="433A6FE6"/>
    <w:rsid w:val="43480868"/>
    <w:rsid w:val="4350713C"/>
    <w:rsid w:val="436653E0"/>
    <w:rsid w:val="43C4431A"/>
    <w:rsid w:val="44322A62"/>
    <w:rsid w:val="44B951CC"/>
    <w:rsid w:val="44CD14E0"/>
    <w:rsid w:val="44F20B0B"/>
    <w:rsid w:val="452E5F4C"/>
    <w:rsid w:val="45612018"/>
    <w:rsid w:val="458946E9"/>
    <w:rsid w:val="45A47C0E"/>
    <w:rsid w:val="46577FD6"/>
    <w:rsid w:val="46D955A7"/>
    <w:rsid w:val="47133957"/>
    <w:rsid w:val="47A07E0C"/>
    <w:rsid w:val="47DE3010"/>
    <w:rsid w:val="482214BC"/>
    <w:rsid w:val="4870272E"/>
    <w:rsid w:val="49DC7715"/>
    <w:rsid w:val="4A023139"/>
    <w:rsid w:val="4A695228"/>
    <w:rsid w:val="4A7B576F"/>
    <w:rsid w:val="4AF561A9"/>
    <w:rsid w:val="4C4A0649"/>
    <w:rsid w:val="4C542034"/>
    <w:rsid w:val="4C7E5ECA"/>
    <w:rsid w:val="4C876AA5"/>
    <w:rsid w:val="4D0E00FB"/>
    <w:rsid w:val="4D176606"/>
    <w:rsid w:val="4D3245B5"/>
    <w:rsid w:val="4D484C6C"/>
    <w:rsid w:val="4DEC4FB0"/>
    <w:rsid w:val="4E075D8A"/>
    <w:rsid w:val="4EC00FAD"/>
    <w:rsid w:val="4F695BD0"/>
    <w:rsid w:val="4F9843DC"/>
    <w:rsid w:val="4FC62A8C"/>
    <w:rsid w:val="4FE20F0D"/>
    <w:rsid w:val="4FE51552"/>
    <w:rsid w:val="50504C4B"/>
    <w:rsid w:val="509C6E7C"/>
    <w:rsid w:val="512E2F76"/>
    <w:rsid w:val="5162104E"/>
    <w:rsid w:val="52A46842"/>
    <w:rsid w:val="530C1261"/>
    <w:rsid w:val="53A039CC"/>
    <w:rsid w:val="53A1505A"/>
    <w:rsid w:val="54063E08"/>
    <w:rsid w:val="543437E8"/>
    <w:rsid w:val="54F73313"/>
    <w:rsid w:val="54F80955"/>
    <w:rsid w:val="555170A7"/>
    <w:rsid w:val="5587536D"/>
    <w:rsid w:val="559B174B"/>
    <w:rsid w:val="55CE0CF4"/>
    <w:rsid w:val="56160BFE"/>
    <w:rsid w:val="56B22A9C"/>
    <w:rsid w:val="5705745D"/>
    <w:rsid w:val="57212723"/>
    <w:rsid w:val="57B72A76"/>
    <w:rsid w:val="57C3426C"/>
    <w:rsid w:val="57CE1F93"/>
    <w:rsid w:val="588743D1"/>
    <w:rsid w:val="5887701A"/>
    <w:rsid w:val="59C0439F"/>
    <w:rsid w:val="59F02BEC"/>
    <w:rsid w:val="5ABE2233"/>
    <w:rsid w:val="5B904113"/>
    <w:rsid w:val="5BDF5D95"/>
    <w:rsid w:val="5BFE7528"/>
    <w:rsid w:val="5D525BD4"/>
    <w:rsid w:val="5E2467F1"/>
    <w:rsid w:val="5E705B43"/>
    <w:rsid w:val="5F1A2B43"/>
    <w:rsid w:val="5F5C5FB8"/>
    <w:rsid w:val="5FB837BB"/>
    <w:rsid w:val="60CC405A"/>
    <w:rsid w:val="61E215D8"/>
    <w:rsid w:val="621B3775"/>
    <w:rsid w:val="62364782"/>
    <w:rsid w:val="6394356A"/>
    <w:rsid w:val="63C61B2C"/>
    <w:rsid w:val="63D40BE9"/>
    <w:rsid w:val="64102431"/>
    <w:rsid w:val="64A5243A"/>
    <w:rsid w:val="64D45ABA"/>
    <w:rsid w:val="64F531DE"/>
    <w:rsid w:val="65373578"/>
    <w:rsid w:val="656A3DF5"/>
    <w:rsid w:val="6688644D"/>
    <w:rsid w:val="671F124A"/>
    <w:rsid w:val="67330773"/>
    <w:rsid w:val="677A33C6"/>
    <w:rsid w:val="681F6961"/>
    <w:rsid w:val="68610A2F"/>
    <w:rsid w:val="68805514"/>
    <w:rsid w:val="689C380B"/>
    <w:rsid w:val="69316E2F"/>
    <w:rsid w:val="694E2071"/>
    <w:rsid w:val="694E61D4"/>
    <w:rsid w:val="69766163"/>
    <w:rsid w:val="697A3B33"/>
    <w:rsid w:val="697E7479"/>
    <w:rsid w:val="69D44760"/>
    <w:rsid w:val="69F30C7F"/>
    <w:rsid w:val="6A520EC7"/>
    <w:rsid w:val="6A6555DC"/>
    <w:rsid w:val="6AF20F8C"/>
    <w:rsid w:val="6AF87E20"/>
    <w:rsid w:val="6B322639"/>
    <w:rsid w:val="6C636C38"/>
    <w:rsid w:val="6D2B14AA"/>
    <w:rsid w:val="6DB34098"/>
    <w:rsid w:val="6DB545B6"/>
    <w:rsid w:val="6DE02FB4"/>
    <w:rsid w:val="6E2D20FE"/>
    <w:rsid w:val="6E415F04"/>
    <w:rsid w:val="6E514CED"/>
    <w:rsid w:val="6EB563D5"/>
    <w:rsid w:val="6ED92677"/>
    <w:rsid w:val="6F225983"/>
    <w:rsid w:val="6FFC5590"/>
    <w:rsid w:val="703F5918"/>
    <w:rsid w:val="706D1DD0"/>
    <w:rsid w:val="70856B87"/>
    <w:rsid w:val="70D527EE"/>
    <w:rsid w:val="711E638B"/>
    <w:rsid w:val="715B5300"/>
    <w:rsid w:val="71A4788D"/>
    <w:rsid w:val="71D27F8A"/>
    <w:rsid w:val="722652B6"/>
    <w:rsid w:val="72553024"/>
    <w:rsid w:val="73122968"/>
    <w:rsid w:val="731F5D5E"/>
    <w:rsid w:val="732E7097"/>
    <w:rsid w:val="73BF1FC1"/>
    <w:rsid w:val="73C51AD5"/>
    <w:rsid w:val="741E793C"/>
    <w:rsid w:val="745E3944"/>
    <w:rsid w:val="74864F95"/>
    <w:rsid w:val="7635099D"/>
    <w:rsid w:val="77762421"/>
    <w:rsid w:val="77B56B1F"/>
    <w:rsid w:val="780F09F4"/>
    <w:rsid w:val="78A90480"/>
    <w:rsid w:val="7A194C28"/>
    <w:rsid w:val="7A364017"/>
    <w:rsid w:val="7A8265E1"/>
    <w:rsid w:val="7B686D42"/>
    <w:rsid w:val="7B841746"/>
    <w:rsid w:val="7BB6113D"/>
    <w:rsid w:val="7C0B11B3"/>
    <w:rsid w:val="7C5C70AB"/>
    <w:rsid w:val="7C6C5AC7"/>
    <w:rsid w:val="7CC6544B"/>
    <w:rsid w:val="7D0239FF"/>
    <w:rsid w:val="7D087552"/>
    <w:rsid w:val="7D5E40CD"/>
    <w:rsid w:val="7DCD56F2"/>
    <w:rsid w:val="7E202C86"/>
    <w:rsid w:val="7E297B6D"/>
    <w:rsid w:val="7E6C008D"/>
    <w:rsid w:val="7F001CE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iPriority="0" w:name="heading 3" w:locked="1"/>
    <w:lsdException w:qFormat="1" w:uiPriority="1" w:semiHidden="0" w:name="heading 4" w:locked="1"/>
    <w:lsdException w:qFormat="1" w:unhideWhenUsed="0"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2"/>
    <w:basedOn w:val="1"/>
    <w:next w:val="1"/>
    <w:qFormat/>
    <w:locked/>
    <w:uiPriority w:val="0"/>
    <w:pPr>
      <w:tabs>
        <w:tab w:val="left" w:pos="360"/>
        <w:tab w:val="left" w:pos="432"/>
        <w:tab w:val="left" w:pos="576"/>
      </w:tabs>
      <w:spacing w:before="260" w:after="240" w:afterLines="100"/>
      <w:outlineLvl w:val="1"/>
    </w:pPr>
    <w:rPr>
      <w:rFonts w:ascii="Arial" w:hAnsi="Arial" w:eastAsia="黑体"/>
      <w:bCs/>
      <w:sz w:val="28"/>
      <w:szCs w:val="32"/>
      <w:lang w:val="en-US" w:eastAsia="zh-CN" w:bidi="ar-SA"/>
    </w:rPr>
  </w:style>
  <w:style w:type="paragraph" w:styleId="6">
    <w:name w:val="heading 3"/>
    <w:basedOn w:val="1"/>
    <w:next w:val="1"/>
    <w:semiHidden/>
    <w:unhideWhenUsed/>
    <w:qFormat/>
    <w:locked/>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7">
    <w:name w:val="heading 4"/>
    <w:basedOn w:val="1"/>
    <w:next w:val="1"/>
    <w:unhideWhenUsed/>
    <w:qFormat/>
    <w:locked/>
    <w:uiPriority w:val="1"/>
    <w:pPr>
      <w:ind w:left="217"/>
      <w:outlineLvl w:val="3"/>
    </w:pPr>
    <w:rPr>
      <w:rFonts w:hint="eastAsia"/>
      <w:b/>
      <w:sz w:val="24"/>
      <w:szCs w:val="24"/>
    </w:rPr>
  </w:style>
  <w:style w:type="paragraph" w:styleId="8">
    <w:name w:val="heading 5"/>
    <w:basedOn w:val="1"/>
    <w:next w:val="1"/>
    <w:qFormat/>
    <w:locked/>
    <w:uiPriority w:val="0"/>
    <w:pPr>
      <w:widowControl w:val="0"/>
      <w:numPr>
        <w:ilvl w:val="4"/>
        <w:numId w:val="1"/>
      </w:numPr>
      <w:tabs>
        <w:tab w:val="left" w:pos="289"/>
      </w:tabs>
      <w:adjustRightInd/>
      <w:snapToGrid/>
      <w:spacing w:before="25" w:after="25"/>
      <w:ind w:left="0" w:firstLine="200"/>
      <w:outlineLvl w:val="4"/>
    </w:pPr>
    <w:rPr>
      <w:rFonts w:ascii="Times New Roman" w:hAnsi="Times New Roman" w:eastAsia="宋体" w:cs="Times New Roman"/>
      <w:bCs/>
      <w:color w:val="000000"/>
      <w:kern w:val="0"/>
    </w:rPr>
  </w:style>
  <w:style w:type="character" w:default="1" w:styleId="24">
    <w:name w:val="Default Paragraph Font"/>
    <w:semiHidden/>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qFormat/>
    <w:locked/>
    <w:uiPriority w:val="0"/>
    <w:pPr>
      <w:ind w:firstLine="420"/>
    </w:pPr>
    <w:rPr>
      <w:rFonts w:ascii="Calibri"/>
      <w:szCs w:val="24"/>
    </w:rPr>
  </w:style>
  <w:style w:type="paragraph" w:styleId="3">
    <w:name w:val="Body Text Indent"/>
    <w:basedOn w:val="1"/>
    <w:link w:val="34"/>
    <w:qFormat/>
    <w:uiPriority w:val="0"/>
    <w:pPr>
      <w:spacing w:after="120"/>
      <w:ind w:left="420" w:leftChars="200"/>
    </w:pPr>
    <w:rPr>
      <w:kern w:val="0"/>
      <w:sz w:val="24"/>
      <w:szCs w:val="20"/>
    </w:rPr>
  </w:style>
  <w:style w:type="paragraph" w:styleId="9">
    <w:name w:val="Normal Indent"/>
    <w:basedOn w:val="1"/>
    <w:qFormat/>
    <w:locked/>
    <w:uiPriority w:val="0"/>
    <w:pPr>
      <w:adjustRightInd w:val="0"/>
      <w:snapToGrid w:val="0"/>
      <w:spacing w:line="360" w:lineRule="auto"/>
      <w:ind w:firstLine="200" w:firstLineChars="200"/>
      <w:jc w:val="left"/>
    </w:pPr>
    <w:rPr>
      <w:szCs w:val="20"/>
    </w:rPr>
  </w:style>
  <w:style w:type="paragraph" w:styleId="10">
    <w:name w:val="annotation text"/>
    <w:basedOn w:val="1"/>
    <w:link w:val="32"/>
    <w:semiHidden/>
    <w:qFormat/>
    <w:uiPriority w:val="0"/>
    <w:pPr>
      <w:jc w:val="left"/>
    </w:pPr>
    <w:rPr>
      <w:kern w:val="0"/>
      <w:sz w:val="24"/>
      <w:szCs w:val="20"/>
    </w:rPr>
  </w:style>
  <w:style w:type="paragraph" w:styleId="11">
    <w:name w:val="Body Text"/>
    <w:basedOn w:val="1"/>
    <w:next w:val="1"/>
    <w:link w:val="33"/>
    <w:qFormat/>
    <w:uiPriority w:val="0"/>
    <w:pPr>
      <w:widowControl/>
      <w:snapToGrid w:val="0"/>
      <w:spacing w:before="60" w:after="160" w:line="259" w:lineRule="auto"/>
      <w:ind w:right="113"/>
    </w:pPr>
    <w:rPr>
      <w:kern w:val="0"/>
      <w:sz w:val="18"/>
      <w:szCs w:val="20"/>
    </w:rPr>
  </w:style>
  <w:style w:type="paragraph" w:styleId="12">
    <w:name w:val="Plain Text"/>
    <w:basedOn w:val="1"/>
    <w:next w:val="1"/>
    <w:qFormat/>
    <w:locked/>
    <w:uiPriority w:val="0"/>
    <w:pPr>
      <w:spacing w:line="240" w:lineRule="auto"/>
      <w:ind w:firstLine="200" w:firstLineChars="200"/>
    </w:pPr>
    <w:rPr>
      <w:rFonts w:ascii="宋体" w:hAnsi="Courier New" w:cs="Courier New"/>
      <w:sz w:val="21"/>
      <w:szCs w:val="21"/>
    </w:rPr>
  </w:style>
  <w:style w:type="paragraph" w:styleId="13">
    <w:name w:val="Date"/>
    <w:basedOn w:val="1"/>
    <w:next w:val="1"/>
    <w:link w:val="35"/>
    <w:qFormat/>
    <w:uiPriority w:val="0"/>
    <w:pPr>
      <w:ind w:left="100" w:leftChars="2500"/>
    </w:pPr>
    <w:rPr>
      <w:kern w:val="0"/>
      <w:sz w:val="24"/>
      <w:szCs w:val="20"/>
    </w:rPr>
  </w:style>
  <w:style w:type="paragraph" w:styleId="14">
    <w:name w:val="Balloon Text"/>
    <w:basedOn w:val="1"/>
    <w:link w:val="36"/>
    <w:semiHidden/>
    <w:qFormat/>
    <w:uiPriority w:val="0"/>
    <w:rPr>
      <w:kern w:val="0"/>
      <w:sz w:val="18"/>
      <w:szCs w:val="20"/>
    </w:rPr>
  </w:style>
  <w:style w:type="paragraph" w:styleId="15">
    <w:name w:val="footer"/>
    <w:basedOn w:val="1"/>
    <w:link w:val="37"/>
    <w:qFormat/>
    <w:uiPriority w:val="99"/>
    <w:pPr>
      <w:tabs>
        <w:tab w:val="center" w:pos="4153"/>
        <w:tab w:val="right" w:pos="8306"/>
      </w:tabs>
      <w:snapToGrid w:val="0"/>
      <w:jc w:val="left"/>
    </w:pPr>
    <w:rPr>
      <w:kern w:val="0"/>
      <w:sz w:val="18"/>
      <w:szCs w:val="20"/>
    </w:rPr>
  </w:style>
  <w:style w:type="paragraph" w:styleId="16">
    <w:name w:val="header"/>
    <w:basedOn w:val="1"/>
    <w:link w:val="38"/>
    <w:qFormat/>
    <w:uiPriority w:val="0"/>
    <w:pPr>
      <w:pBdr>
        <w:bottom w:val="single" w:color="auto" w:sz="6" w:space="1"/>
      </w:pBdr>
      <w:tabs>
        <w:tab w:val="center" w:pos="4153"/>
        <w:tab w:val="right" w:pos="8306"/>
      </w:tabs>
      <w:snapToGrid w:val="0"/>
      <w:jc w:val="center"/>
    </w:pPr>
    <w:rPr>
      <w:kern w:val="0"/>
      <w:sz w:val="18"/>
      <w:szCs w:val="20"/>
    </w:rPr>
  </w:style>
  <w:style w:type="paragraph" w:styleId="17">
    <w:name w:val="toc 1"/>
    <w:basedOn w:val="1"/>
    <w:next w:val="1"/>
    <w:qFormat/>
    <w:locked/>
    <w:uiPriority w:val="0"/>
  </w:style>
  <w:style w:type="paragraph" w:styleId="18">
    <w:name w:val="toc 2"/>
    <w:basedOn w:val="1"/>
    <w:next w:val="1"/>
    <w:qFormat/>
    <w:locked/>
    <w:uiPriority w:val="0"/>
    <w:pPr>
      <w:ind w:left="420" w:leftChars="200"/>
    </w:pPr>
  </w:style>
  <w:style w:type="paragraph" w:styleId="19">
    <w:name w:val="Normal (Web)"/>
    <w:basedOn w:val="1"/>
    <w:link w:val="39"/>
    <w:qFormat/>
    <w:uiPriority w:val="0"/>
    <w:pPr>
      <w:widowControl/>
      <w:spacing w:before="100" w:beforeAutospacing="1" w:after="100" w:afterAutospacing="1"/>
      <w:jc w:val="left"/>
    </w:pPr>
    <w:rPr>
      <w:rFonts w:ascii="宋体" w:hAnsi="宋体"/>
      <w:kern w:val="0"/>
      <w:sz w:val="24"/>
      <w:szCs w:val="20"/>
    </w:rPr>
  </w:style>
  <w:style w:type="paragraph" w:styleId="20">
    <w:name w:val="annotation subject"/>
    <w:basedOn w:val="10"/>
    <w:next w:val="10"/>
    <w:link w:val="40"/>
    <w:semiHidden/>
    <w:qFormat/>
    <w:uiPriority w:val="0"/>
    <w:rPr>
      <w:b/>
    </w:rPr>
  </w:style>
  <w:style w:type="paragraph" w:styleId="21">
    <w:name w:val="Body Text First Indent"/>
    <w:basedOn w:val="11"/>
    <w:next w:val="1"/>
    <w:link w:val="58"/>
    <w:qFormat/>
    <w:locked/>
    <w:uiPriority w:val="0"/>
    <w:pPr>
      <w:ind w:firstLine="420" w:firstLineChars="100"/>
    </w:pPr>
    <w:rPr>
      <w:szCs w:val="24"/>
    </w:rPr>
  </w:style>
  <w:style w:type="table" w:styleId="23">
    <w:name w:val="Table Grid"/>
    <w:basedOn w:val="2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Strong"/>
    <w:basedOn w:val="24"/>
    <w:qFormat/>
    <w:locked/>
    <w:uiPriority w:val="0"/>
    <w:rPr>
      <w:b/>
    </w:rPr>
  </w:style>
  <w:style w:type="character" w:styleId="26">
    <w:name w:val="page number"/>
    <w:basedOn w:val="24"/>
    <w:qFormat/>
    <w:locked/>
    <w:uiPriority w:val="0"/>
  </w:style>
  <w:style w:type="character" w:styleId="27">
    <w:name w:val="Hyperlink"/>
    <w:basedOn w:val="24"/>
    <w:qFormat/>
    <w:locked/>
    <w:uiPriority w:val="0"/>
    <w:rPr>
      <w:color w:val="0000FF"/>
      <w:u w:val="single"/>
    </w:rPr>
  </w:style>
  <w:style w:type="character" w:styleId="28">
    <w:name w:val="annotation reference"/>
    <w:semiHidden/>
    <w:qFormat/>
    <w:uiPriority w:val="0"/>
    <w:rPr>
      <w:sz w:val="21"/>
    </w:rPr>
  </w:style>
  <w:style w:type="paragraph" w:customStyle="1" w:styleId="29">
    <w:name w:val="Default"/>
    <w:basedOn w:val="30"/>
    <w:qFormat/>
    <w:uiPriority w:val="0"/>
    <w:pPr>
      <w:widowControl w:val="0"/>
      <w:autoSpaceDE w:val="0"/>
      <w:autoSpaceDN w:val="0"/>
      <w:adjustRightInd w:val="0"/>
    </w:pPr>
    <w:rPr>
      <w:rFonts w:ascii="方正小标宋_GBK" w:hAnsi="Times New Roman" w:eastAsia="方正小标宋_GBK" w:cs="方正小标宋_GBK"/>
      <w:color w:val="000000"/>
      <w:sz w:val="24"/>
      <w:szCs w:val="24"/>
      <w:lang w:val="en-US" w:eastAsia="zh-CN" w:bidi="ar-SA"/>
    </w:rPr>
  </w:style>
  <w:style w:type="paragraph" w:customStyle="1" w:styleId="30">
    <w:name w:val="纯文本1"/>
    <w:qFormat/>
    <w:uiPriority w:val="0"/>
    <w:pPr>
      <w:widowControl w:val="0"/>
      <w:adjustRightInd w:val="0"/>
      <w:jc w:val="both"/>
    </w:pPr>
    <w:rPr>
      <w:rFonts w:ascii="宋体" w:hAnsi="Courier New" w:eastAsia="宋体" w:cs="Times New Roman"/>
      <w:kern w:val="2"/>
      <w:sz w:val="21"/>
      <w:lang w:val="en-US" w:eastAsia="zh-CN" w:bidi="ar-SA"/>
    </w:rPr>
  </w:style>
  <w:style w:type="paragraph" w:customStyle="1" w:styleId="31">
    <w:name w:val="xl27"/>
    <w:basedOn w:val="1"/>
    <w:qFormat/>
    <w:uiPriority w:val="0"/>
    <w:pPr>
      <w:widowControl/>
      <w:pBdr>
        <w:top w:val="single" w:color="auto" w:sz="12" w:space="0"/>
        <w:left w:val="single" w:color="auto" w:sz="4" w:space="0"/>
        <w:bottom w:val="single" w:color="auto" w:sz="4" w:space="0"/>
        <w:right w:val="single" w:color="auto" w:sz="4" w:space="0"/>
      </w:pBdr>
      <w:shd w:val="clear" w:color="auto" w:fill="CCCCFF"/>
      <w:spacing w:before="100" w:beforeAutospacing="1" w:after="100" w:afterAutospacing="1"/>
      <w:jc w:val="center"/>
    </w:pPr>
    <w:rPr>
      <w:rFonts w:ascii="宋体" w:hAnsi="宋体"/>
      <w:kern w:val="0"/>
      <w:sz w:val="24"/>
    </w:rPr>
  </w:style>
  <w:style w:type="character" w:customStyle="1" w:styleId="32">
    <w:name w:val="批注文字 字符"/>
    <w:link w:val="10"/>
    <w:qFormat/>
    <w:locked/>
    <w:uiPriority w:val="0"/>
    <w:rPr>
      <w:rFonts w:ascii="Times New Roman" w:hAnsi="Times New Roman" w:eastAsia="宋体"/>
      <w:sz w:val="24"/>
    </w:rPr>
  </w:style>
  <w:style w:type="character" w:customStyle="1" w:styleId="33">
    <w:name w:val="正文文本 字符"/>
    <w:link w:val="11"/>
    <w:qFormat/>
    <w:locked/>
    <w:uiPriority w:val="0"/>
    <w:rPr>
      <w:sz w:val="18"/>
    </w:rPr>
  </w:style>
  <w:style w:type="character" w:customStyle="1" w:styleId="34">
    <w:name w:val="正文文本缩进 字符"/>
    <w:link w:val="3"/>
    <w:semiHidden/>
    <w:qFormat/>
    <w:locked/>
    <w:uiPriority w:val="0"/>
    <w:rPr>
      <w:rFonts w:ascii="Times New Roman" w:hAnsi="Times New Roman" w:eastAsia="宋体"/>
      <w:sz w:val="24"/>
    </w:rPr>
  </w:style>
  <w:style w:type="character" w:customStyle="1" w:styleId="35">
    <w:name w:val="日期 字符1"/>
    <w:link w:val="13"/>
    <w:qFormat/>
    <w:locked/>
    <w:uiPriority w:val="0"/>
    <w:rPr>
      <w:rFonts w:ascii="Times New Roman" w:hAnsi="Times New Roman" w:eastAsia="宋体"/>
      <w:sz w:val="24"/>
    </w:rPr>
  </w:style>
  <w:style w:type="character" w:customStyle="1" w:styleId="36">
    <w:name w:val="批注框文本 字符"/>
    <w:link w:val="14"/>
    <w:semiHidden/>
    <w:qFormat/>
    <w:locked/>
    <w:uiPriority w:val="0"/>
    <w:rPr>
      <w:rFonts w:ascii="Times New Roman" w:hAnsi="Times New Roman" w:eastAsia="宋体"/>
      <w:sz w:val="18"/>
    </w:rPr>
  </w:style>
  <w:style w:type="character" w:customStyle="1" w:styleId="37">
    <w:name w:val="页脚 字符1"/>
    <w:link w:val="15"/>
    <w:qFormat/>
    <w:locked/>
    <w:uiPriority w:val="99"/>
    <w:rPr>
      <w:sz w:val="18"/>
    </w:rPr>
  </w:style>
  <w:style w:type="character" w:customStyle="1" w:styleId="38">
    <w:name w:val="页眉 字符"/>
    <w:link w:val="16"/>
    <w:qFormat/>
    <w:locked/>
    <w:uiPriority w:val="0"/>
    <w:rPr>
      <w:sz w:val="18"/>
    </w:rPr>
  </w:style>
  <w:style w:type="character" w:customStyle="1" w:styleId="39">
    <w:name w:val="普通(网站) 字符"/>
    <w:link w:val="19"/>
    <w:qFormat/>
    <w:locked/>
    <w:uiPriority w:val="0"/>
    <w:rPr>
      <w:rFonts w:ascii="宋体" w:hAnsi="宋体" w:eastAsia="宋体"/>
      <w:sz w:val="24"/>
    </w:rPr>
  </w:style>
  <w:style w:type="character" w:customStyle="1" w:styleId="40">
    <w:name w:val="批注主题 字符"/>
    <w:link w:val="20"/>
    <w:semiHidden/>
    <w:qFormat/>
    <w:locked/>
    <w:uiPriority w:val="0"/>
    <w:rPr>
      <w:rFonts w:ascii="Times New Roman" w:hAnsi="Times New Roman" w:eastAsia="宋体"/>
      <w:b/>
      <w:kern w:val="2"/>
      <w:sz w:val="24"/>
    </w:rPr>
  </w:style>
  <w:style w:type="character" w:customStyle="1" w:styleId="41">
    <w:name w:val="页脚 字符"/>
    <w:basedOn w:val="24"/>
    <w:qFormat/>
    <w:uiPriority w:val="99"/>
  </w:style>
  <w:style w:type="character" w:customStyle="1" w:styleId="42">
    <w:name w:val="正文文本 字符1"/>
    <w:semiHidden/>
    <w:qFormat/>
    <w:uiPriority w:val="0"/>
    <w:rPr>
      <w:rFonts w:ascii="Times New Roman" w:hAnsi="Times New Roman" w:eastAsia="宋体"/>
      <w:sz w:val="24"/>
    </w:rPr>
  </w:style>
  <w:style w:type="character" w:customStyle="1" w:styleId="43">
    <w:name w:val="表格 Char"/>
    <w:link w:val="44"/>
    <w:qFormat/>
    <w:locked/>
    <w:uiPriority w:val="0"/>
    <w:rPr>
      <w:rFonts w:ascii="宋体"/>
      <w:sz w:val="21"/>
    </w:rPr>
  </w:style>
  <w:style w:type="paragraph" w:customStyle="1" w:styleId="44">
    <w:name w:val="表格"/>
    <w:basedOn w:val="1"/>
    <w:next w:val="1"/>
    <w:link w:val="43"/>
    <w:qFormat/>
    <w:uiPriority w:val="0"/>
    <w:pPr>
      <w:adjustRightInd w:val="0"/>
      <w:snapToGrid w:val="0"/>
      <w:spacing w:beforeLines="10" w:afterLines="10" w:line="259" w:lineRule="auto"/>
      <w:jc w:val="center"/>
    </w:pPr>
    <w:rPr>
      <w:rFonts w:ascii="宋体"/>
      <w:kern w:val="0"/>
      <w:szCs w:val="20"/>
    </w:rPr>
  </w:style>
  <w:style w:type="character" w:customStyle="1" w:styleId="45">
    <w:name w:val="日期 字符"/>
    <w:semiHidden/>
    <w:qFormat/>
    <w:uiPriority w:val="0"/>
    <w:rPr>
      <w:rFonts w:ascii="Times New Roman" w:hAnsi="Times New Roman" w:eastAsia="宋体"/>
      <w:sz w:val="24"/>
    </w:rPr>
  </w:style>
  <w:style w:type="character" w:customStyle="1" w:styleId="46">
    <w:name w:val="批注文字 字符1"/>
    <w:semiHidden/>
    <w:qFormat/>
    <w:uiPriority w:val="0"/>
    <w:rPr>
      <w:rFonts w:ascii="Times New Roman" w:hAnsi="Times New Roman" w:eastAsia="宋体"/>
      <w:sz w:val="24"/>
    </w:rPr>
  </w:style>
  <w:style w:type="paragraph" w:customStyle="1" w:styleId="47">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8">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49">
    <w:name w:val="Table Paragraph"/>
    <w:basedOn w:val="1"/>
    <w:qFormat/>
    <w:uiPriority w:val="1"/>
  </w:style>
  <w:style w:type="paragraph" w:customStyle="1" w:styleId="50">
    <w:name w:val="表格正文"/>
    <w:basedOn w:val="51"/>
    <w:next w:val="1"/>
    <w:qFormat/>
    <w:uiPriority w:val="0"/>
    <w:pPr>
      <w:spacing w:before="20" w:beforeLines="20" w:after="20" w:afterLines="20"/>
    </w:pPr>
    <w:rPr>
      <w:kern w:val="2"/>
    </w:rPr>
  </w:style>
  <w:style w:type="paragraph" w:customStyle="1" w:styleId="51">
    <w:name w:val="表格格式"/>
    <w:basedOn w:val="1"/>
    <w:qFormat/>
    <w:uiPriority w:val="0"/>
    <w:pPr>
      <w:jc w:val="center"/>
    </w:pPr>
    <w:rPr>
      <w:b/>
      <w:kern w:val="0"/>
      <w:szCs w:val="21"/>
    </w:rPr>
  </w:style>
  <w:style w:type="paragraph" w:customStyle="1" w:styleId="52">
    <w:name w:val="报告正文"/>
    <w:basedOn w:val="1"/>
    <w:qFormat/>
    <w:uiPriority w:val="0"/>
    <w:pPr>
      <w:adjustRightInd w:val="0"/>
      <w:spacing w:after="120" w:line="360" w:lineRule="auto"/>
      <w:ind w:firstLine="510"/>
    </w:pPr>
    <w:rPr>
      <w:rFonts w:ascii="宋体" w:hAnsi="Courier New"/>
      <w:kern w:val="0"/>
      <w:sz w:val="24"/>
      <w:szCs w:val="20"/>
    </w:rPr>
  </w:style>
  <w:style w:type="paragraph" w:customStyle="1" w:styleId="53">
    <w:name w:val="A正文1"/>
    <w:basedOn w:val="1"/>
    <w:qFormat/>
    <w:uiPriority w:val="0"/>
    <w:pPr>
      <w:ind w:firstLine="480" w:firstLineChars="200"/>
    </w:pPr>
  </w:style>
  <w:style w:type="paragraph" w:customStyle="1" w:styleId="54">
    <w:name w:val="表格文字"/>
    <w:basedOn w:val="21"/>
    <w:next w:val="1"/>
    <w:qFormat/>
    <w:uiPriority w:val="0"/>
    <w:pPr>
      <w:adjustRightInd w:val="0"/>
      <w:spacing w:before="20" w:beforeLines="20" w:after="20" w:afterLines="20" w:line="240" w:lineRule="auto"/>
      <w:ind w:firstLine="0" w:firstLineChars="0"/>
      <w:jc w:val="center"/>
    </w:pPr>
    <w:rPr>
      <w:sz w:val="21"/>
    </w:rPr>
  </w:style>
  <w:style w:type="paragraph" w:customStyle="1" w:styleId="55">
    <w:name w:val="表格内容居中"/>
    <w:qFormat/>
    <w:uiPriority w:val="0"/>
    <w:pPr>
      <w:adjustRightInd w:val="0"/>
      <w:snapToGrid w:val="0"/>
      <w:jc w:val="center"/>
    </w:pPr>
    <w:rPr>
      <w:rFonts w:ascii="Times New Roman" w:hAnsi="Times New Roman" w:eastAsia="宋体" w:cs="Times New Roman"/>
      <w:snapToGrid w:val="0"/>
      <w:sz w:val="21"/>
      <w:lang w:val="en-US" w:eastAsia="zh-CN" w:bidi="ar-SA"/>
    </w:rPr>
  </w:style>
  <w:style w:type="paragraph" w:customStyle="1" w:styleId="56">
    <w:name w:val="样式 报告 + 首行缩进:  2 字符"/>
    <w:basedOn w:val="1"/>
    <w:unhideWhenUsed/>
    <w:qFormat/>
    <w:uiPriority w:val="0"/>
    <w:pPr>
      <w:widowControl/>
      <w:overflowPunct w:val="0"/>
      <w:autoSpaceDE w:val="0"/>
      <w:autoSpaceDN w:val="0"/>
      <w:adjustRightInd w:val="0"/>
      <w:spacing w:before="120" w:after="120" w:line="400" w:lineRule="atLeast"/>
      <w:ind w:firstLine="480"/>
      <w:textAlignment w:val="baseline"/>
    </w:pPr>
    <w:rPr>
      <w:kern w:val="0"/>
      <w:sz w:val="24"/>
    </w:rPr>
  </w:style>
  <w:style w:type="paragraph" w:customStyle="1" w:styleId="57">
    <w:name w:val="卓龙正文"/>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58">
    <w:name w:val="正文文本首行缩进 字符"/>
    <w:link w:val="21"/>
    <w:qFormat/>
    <w:uiPriority w:val="0"/>
    <w:rPr>
      <w:kern w:val="2"/>
      <w:sz w:val="24"/>
      <w:szCs w:val="24"/>
    </w:rPr>
  </w:style>
  <w:style w:type="paragraph" w:styleId="59">
    <w:name w:val="List Paragraph"/>
    <w:basedOn w:val="1"/>
    <w:qFormat/>
    <w:uiPriority w:val="99"/>
    <w:pPr>
      <w:ind w:firstLine="420" w:firstLineChars="200"/>
    </w:pPr>
  </w:style>
  <w:style w:type="paragraph" w:customStyle="1" w:styleId="60">
    <w:name w:val="报告表格"/>
    <w:qFormat/>
    <w:uiPriority w:val="0"/>
    <w:pPr>
      <w:widowControl w:val="0"/>
      <w:autoSpaceDE w:val="0"/>
      <w:autoSpaceDN w:val="0"/>
      <w:adjustRightInd w:val="0"/>
      <w:spacing w:before="40" w:after="40" w:line="360" w:lineRule="auto"/>
      <w:ind w:firstLine="640" w:firstLineChars="200"/>
      <w:jc w:val="center"/>
    </w:pPr>
    <w:rPr>
      <w:rFonts w:ascii="Times New Roman" w:hAnsi="Times New Roman" w:eastAsia="宋体" w:cs="Times New Roman"/>
      <w:sz w:val="21"/>
      <w:szCs w:val="24"/>
      <w:lang w:val="en-US" w:eastAsia="zh-CN" w:bidi="ar-SA"/>
    </w:rPr>
  </w:style>
  <w:style w:type="paragraph" w:customStyle="1" w:styleId="61">
    <w:name w:val="1正文"/>
    <w:qFormat/>
    <w:uiPriority w:val="0"/>
    <w:pPr>
      <w:adjustRightInd w:val="0"/>
      <w:snapToGri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62">
    <w:name w:val="1表格内容"/>
    <w:basedOn w:val="1"/>
    <w:qFormat/>
    <w:uiPriority w:val="0"/>
    <w:pPr>
      <w:widowControl/>
      <w:spacing w:line="240" w:lineRule="exact"/>
      <w:jc w:val="center"/>
    </w:pPr>
    <w:rPr>
      <w:color w:val="000000"/>
      <w:sz w:val="18"/>
      <w:szCs w:val="22"/>
    </w:rPr>
  </w:style>
  <w:style w:type="paragraph" w:customStyle="1" w:styleId="63">
    <w:name w:val="M-表头"/>
    <w:basedOn w:val="1"/>
    <w:qFormat/>
    <w:uiPriority w:val="0"/>
    <w:pPr>
      <w:widowControl/>
      <w:spacing w:line="240" w:lineRule="auto"/>
      <w:ind w:firstLine="200" w:firstLineChars="200"/>
      <w:jc w:val="center"/>
    </w:pPr>
    <w:rPr>
      <w:szCs w:val="21"/>
    </w:rPr>
  </w:style>
  <w:style w:type="paragraph" w:customStyle="1" w:styleId="64">
    <w:name w:val="表标题"/>
    <w:basedOn w:val="1"/>
    <w:qFormat/>
    <w:uiPriority w:val="0"/>
    <w:pPr>
      <w:adjustRightInd w:val="0"/>
      <w:snapToGrid w:val="0"/>
      <w:jc w:val="center"/>
    </w:pPr>
    <w:rPr>
      <w:b/>
    </w:rPr>
  </w:style>
  <w:style w:type="paragraph" w:customStyle="1" w:styleId="65">
    <w:name w:val="正文-易恒"/>
    <w:basedOn w:val="1"/>
    <w:qFormat/>
    <w:uiPriority w:val="0"/>
    <w:pPr>
      <w:spacing w:line="360" w:lineRule="auto"/>
      <w:ind w:firstLine="200" w:firstLineChars="200"/>
    </w:pPr>
    <w:rPr>
      <w:rFonts w:ascii="Times New Roman" w:hAnsi="Times New Roman" w:eastAsia="宋体" w:cs="Times New Roman"/>
      <w:sz w:val="24"/>
      <w:szCs w:val="24"/>
    </w:rPr>
  </w:style>
  <w:style w:type="paragraph" w:customStyle="1" w:styleId="66">
    <w:name w:val="表头-易恒"/>
    <w:basedOn w:val="65"/>
    <w:next w:val="65"/>
    <w:qFormat/>
    <w:uiPriority w:val="0"/>
    <w:pPr>
      <w:spacing w:beforeLines="50" w:line="240" w:lineRule="auto"/>
      <w:ind w:firstLine="0" w:firstLineChars="0"/>
      <w:jc w:val="center"/>
    </w:pPr>
    <w:rPr>
      <w:b/>
    </w:rPr>
  </w:style>
  <w:style w:type="paragraph" w:customStyle="1" w:styleId="67">
    <w:name w:val="表格-易恒"/>
    <w:basedOn w:val="65"/>
    <w:qFormat/>
    <w:uiPriority w:val="0"/>
    <w:pPr>
      <w:spacing w:line="240" w:lineRule="auto"/>
      <w:ind w:firstLine="0" w:firstLineChars="0"/>
      <w:jc w:val="center"/>
    </w:pPr>
    <w:rPr>
      <w:sz w:val="21"/>
    </w:rPr>
  </w:style>
  <w:style w:type="paragraph" w:customStyle="1" w:styleId="68">
    <w:name w:val="正文内容"/>
    <w:basedOn w:val="1"/>
    <w:qFormat/>
    <w:uiPriority w:val="0"/>
    <w:pPr>
      <w:spacing w:line="360" w:lineRule="auto"/>
      <w:ind w:firstLine="200" w:firstLineChars="200"/>
    </w:pPr>
    <w:rPr>
      <w:kern w:val="0"/>
      <w:sz w:val="24"/>
      <w:szCs w:val="21"/>
    </w:rPr>
  </w:style>
  <w:style w:type="table" w:customStyle="1" w:styleId="69">
    <w:name w:val="Table Normal"/>
    <w:basedOn w:val="22"/>
    <w:qFormat/>
    <w:uiPriority w:val="0"/>
    <w:rPr>
      <w:rFonts w:eastAsia="Times New Roman"/>
    </w:rPr>
    <w:tblPr>
      <w:tblCellMar>
        <w:top w:w="0" w:type="dxa"/>
        <w:left w:w="0" w:type="dxa"/>
        <w:bottom w:w="0" w:type="dxa"/>
        <w:right w:w="0" w:type="dxa"/>
      </w:tblCellMar>
    </w:tblPr>
  </w:style>
  <w:style w:type="paragraph" w:customStyle="1" w:styleId="70">
    <w:name w:val="Normal"/>
    <w:qFormat/>
    <w:uiPriority w:val="0"/>
    <w:pPr>
      <w:jc w:val="both"/>
    </w:pPr>
    <w:rPr>
      <w:rFonts w:ascii="宋体" w:hAnsi="宋体" w:eastAsia="等线" w:cs="宋体"/>
      <w:kern w:val="2"/>
      <w:sz w:val="21"/>
      <w:szCs w:val="21"/>
      <w:lang w:val="en-US" w:eastAsia="zh-CN" w:bidi="ar-SA"/>
    </w:rPr>
  </w:style>
  <w:style w:type="paragraph" w:customStyle="1" w:styleId="71">
    <w:name w:val="5、正文"/>
    <w:basedOn w:val="12"/>
    <w:qFormat/>
    <w:uiPriority w:val="0"/>
    <w:rPr>
      <w:szCs w:val="21"/>
    </w:rPr>
  </w:style>
  <w:style w:type="paragraph" w:customStyle="1" w:styleId="72">
    <w:name w:val="正文2"/>
    <w:basedOn w:val="1"/>
    <w:qFormat/>
    <w:uiPriority w:val="0"/>
    <w:pPr>
      <w:spacing w:line="240" w:lineRule="auto"/>
      <w:ind w:firstLine="0" w:firstLineChars="0"/>
      <w:jc w:val="center"/>
    </w:pPr>
  </w:style>
  <w:style w:type="paragraph" w:customStyle="1" w:styleId="73">
    <w:name w:val="表文字"/>
    <w:basedOn w:val="1"/>
    <w:qFormat/>
    <w:uiPriority w:val="0"/>
    <w:pPr>
      <w:spacing w:line="240" w:lineRule="auto"/>
      <w:ind w:firstLine="0" w:firstLineChars="0"/>
      <w:jc w:val="center"/>
    </w:pPr>
    <w:rPr>
      <w:b/>
      <w:bCs/>
      <w:kern w:val="10"/>
    </w:rPr>
  </w:style>
  <w:style w:type="paragraph" w:customStyle="1" w:styleId="74">
    <w:name w:val="表格内文字"/>
    <w:qFormat/>
    <w:uiPriority w:val="0"/>
    <w:pPr>
      <w:jc w:val="center"/>
    </w:pPr>
    <w:rPr>
      <w:rFonts w:ascii="Times New Roman" w:hAnsi="Times New Roman" w:eastAsia="宋体" w:cs="宋体"/>
      <w:kern w:val="2"/>
      <w:sz w:val="21"/>
      <w:szCs w:val="21"/>
      <w:lang w:val="en-US" w:eastAsia="zh-CN" w:bidi="ar-SA"/>
    </w:rPr>
  </w:style>
  <w:style w:type="paragraph" w:customStyle="1" w:styleId="75">
    <w:name w:val="列出段落1"/>
    <w:basedOn w:val="1"/>
    <w:qFormat/>
    <w:uiPriority w:val="34"/>
    <w:pPr>
      <w:ind w:firstLine="420"/>
    </w:pPr>
  </w:style>
</w:styles>
</file>

<file path=word/_rels/document.xml.rels><?xml version="1.0" encoding="UTF-8" standalone="yes"?>
<Relationships xmlns="http://schemas.openxmlformats.org/package/2006/relationships"><Relationship Id="rId9" Type="http://schemas.openxmlformats.org/officeDocument/2006/relationships/header" Target="header1.xml"/><Relationship Id="rId8" Type="http://schemas.openxmlformats.org/officeDocument/2006/relationships/footer" Target="footer6.xml"/><Relationship Id="rId77" Type="http://schemas.openxmlformats.org/officeDocument/2006/relationships/fontTable" Target="fontTable.xml"/><Relationship Id="rId76" Type="http://schemas.openxmlformats.org/officeDocument/2006/relationships/numbering" Target="numbering.xml"/><Relationship Id="rId75" Type="http://schemas.openxmlformats.org/officeDocument/2006/relationships/customXml" Target="../customXml/item1.xml"/><Relationship Id="rId74" Type="http://schemas.openxmlformats.org/officeDocument/2006/relationships/image" Target="media/image60.png"/><Relationship Id="rId73" Type="http://schemas.openxmlformats.org/officeDocument/2006/relationships/image" Target="media/image59.png"/><Relationship Id="rId72" Type="http://schemas.openxmlformats.org/officeDocument/2006/relationships/image" Target="media/image58.png"/><Relationship Id="rId71" Type="http://schemas.openxmlformats.org/officeDocument/2006/relationships/image" Target="media/image57.png"/><Relationship Id="rId70" Type="http://schemas.openxmlformats.org/officeDocument/2006/relationships/image" Target="media/image56.png"/><Relationship Id="rId7" Type="http://schemas.openxmlformats.org/officeDocument/2006/relationships/footer" Target="footer5.xml"/><Relationship Id="rId69" Type="http://schemas.openxmlformats.org/officeDocument/2006/relationships/image" Target="media/image55.png"/><Relationship Id="rId68" Type="http://schemas.openxmlformats.org/officeDocument/2006/relationships/image" Target="media/image54.png"/><Relationship Id="rId67" Type="http://schemas.openxmlformats.org/officeDocument/2006/relationships/image" Target="media/image53.png"/><Relationship Id="rId66" Type="http://schemas.openxmlformats.org/officeDocument/2006/relationships/image" Target="media/image52.png"/><Relationship Id="rId65" Type="http://schemas.openxmlformats.org/officeDocument/2006/relationships/image" Target="media/image51.png"/><Relationship Id="rId64" Type="http://schemas.openxmlformats.org/officeDocument/2006/relationships/image" Target="media/image50.png"/><Relationship Id="rId63" Type="http://schemas.openxmlformats.org/officeDocument/2006/relationships/image" Target="media/image49.png"/><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footer" Target="footer4.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footer" Target="footer3.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footer" Target="footer2.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jpe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er" Target="footer1.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jpeg"/><Relationship Id="rId14" Type="http://schemas.openxmlformats.org/officeDocument/2006/relationships/theme" Target="theme/theme1.xml"/><Relationship Id="rId13" Type="http://schemas.openxmlformats.org/officeDocument/2006/relationships/footer" Target="footer9.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header" Target="header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122</Pages>
  <Words>50264</Words>
  <Characters>54067</Characters>
  <Lines>271</Lines>
  <Paragraphs>76</Paragraphs>
  <TotalTime>3</TotalTime>
  <ScaleCrop>false</ScaleCrop>
  <LinksUpToDate>false</LinksUpToDate>
  <CharactersWithSpaces>55611</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2022-02-25T06:39:00Z</dcterms:created>
  <dc:creator>lhj</dc:creator>
  <cp:lastModifiedBy>Administrator</cp:lastModifiedBy>
  <cp:lastPrinted>2022-03-07T13:07:00Z</cp:lastPrinted>
  <dcterms:modified xsi:type="dcterms:W3CDTF">2025-05-19T08:39:25Z</dcterms:modified>
  <dc:title>附件2</dc:title>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C115789D6B63421A99A2425A1B25E3BA</vt:lpwstr>
  </property>
  <property fmtid="{D5CDD505-2E9C-101B-9397-08002B2CF9AE}" pid="4" name="KSOTemplateDocerSaveRecord">
    <vt:lpwstr>eyJoZGlkIjoiMjQyMTY1ODE3Y2FkYWQ1M2Q0ODk4NzBmZDU4NjE3MzgiLCJ1c2VySWQiOiIzODM4NjE4MjkifQ==</vt:lpwstr>
  </property>
</Properties>
</file>