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30</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年产100套蓄热式节能炉窑设备与20000吨高温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炉衬材料项目环境影响报告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岳阳市威博德工业设备有限公司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对年产100套蓄热式节能炉窑设备与20000吨高温炉衬材料项目</w:t>
      </w:r>
      <w:r>
        <w:rPr>
          <w:rFonts w:hint="eastAsia" w:ascii="仿宋" w:hAnsi="仿宋" w:eastAsia="仿宋"/>
          <w:sz w:val="32"/>
          <w:szCs w:val="32"/>
          <w:lang w:eastAsia="zh-CN"/>
        </w:rPr>
        <w:t>环境影响报告表的报批申请书》及有关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岳阳市威博德工业设备有限公司选址于华容高新技术产业开发区三封工业园003号-13建设年产100套蓄热式节能炉窑设备与20000吨高温炉衬材料项目。项目占地面积</w:t>
      </w:r>
      <w:bookmarkStart w:id="3" w:name="_GoBack"/>
      <w:bookmarkEnd w:id="3"/>
      <w:r>
        <w:rPr>
          <w:rFonts w:hint="eastAsia" w:ascii="仿宋" w:hAnsi="仿宋" w:eastAsia="仿宋" w:cs="宋体"/>
          <w:sz w:val="32"/>
          <w:szCs w:val="32"/>
          <w:lang w:val="en-US" w:eastAsia="zh-CN"/>
        </w:rPr>
        <w:t>9526.27m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总投资20000万元，主要建设生产车间、仓库等，同时配套建设给排水、环保工程等；办公、食堂、宿舍依托现有综合楼，仅对现有综合楼进行布局调整及装修。项目符合国家产业政策、符合“三线一单”生态环境分区管控要求，根据</w:t>
      </w:r>
      <w:bookmarkStart w:id="2" w:name="OLE_LINK16"/>
      <w:r>
        <w:rPr>
          <w:rFonts w:hint="eastAsia" w:ascii="仿宋" w:hAnsi="仿宋" w:eastAsia="仿宋" w:cs="宋体"/>
          <w:sz w:val="32"/>
          <w:szCs w:val="32"/>
          <w:lang w:val="en-US" w:eastAsia="zh-CN"/>
        </w:rPr>
        <w:t>中石生态环境科技有限公司</w:t>
      </w:r>
      <w:r>
        <w:rPr>
          <w:rFonts w:hint="eastAsia" w:ascii="仿宋" w:hAnsi="仿宋" w:eastAsia="仿宋"/>
          <w:sz w:val="32"/>
          <w:szCs w:val="32"/>
          <w:lang w:val="en-US" w:eastAsia="zh-CN"/>
        </w:rPr>
        <w:t>编制的《年产100套蓄热式节能炉窑设备与20000吨高温炉衬材料项目环境影响报告表》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严格落实水污染防治措施。严格按照“雨污分流、清污分流、污污分流”的原则规范建设厂区雨水及污水收集设施。本项目无生产废水产生；食堂生活污水经隔油池预处理后，与办公生活污水一同进入化粪池处理达到《污水综合排放标准》（GB8978-1996）三级标准及三封污水处理厂进水水质标准的较严值后排入三封污水处理厂，由三封污水处理厂处理达到《城镇污水处理厂污染物排放标准》（GB18918-2002）一级A标准后排入华容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源头控制、分区防治、污染监控、应急响应”的原则进行地下水污染防治。严格按照有关要求做好生产厂房、危废暂存间等重点区域防腐防渗工作；加强防渗设施的日常维护和风险隐患排查，确保地下水及土壤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严格落实大气污染防治措施。严格落实报告表中提出的各项废气污染防治措施，加强车间废气收集和处理。切割下料、焊接、打磨工序废气经集气罩收集再由袋式除尘器（TA001）处理后，通过排气筒（DA001）排放；上料工序废气经集气罩收集再由袋式除尘器（TA002）处理后，通过15m高排气筒（DA001）排放；喷漆工序设置在可密闭的伸缩喷漆房，废气经密闭负压喷漆房收集后，通过网格+过滤棉+二级活性炭吸附装置（TA003）处理，由15m高排气筒（DA002）排放；确保颗粒物以及喷漆NMHC排放浓度满足《大气污染物综合排放标准》（16297-1996）表2中的排放限值要求；食堂油烟经油烟净化器净化后通过专用烟道引至楼顶排放，食堂油烟废气排放执行《饮食业油烟排放标准（试行）》（GB18483-2001）中小型规定的油烟最高允许排放浓度；备用柴油发电机烟气经内置烟气管道抽送，引至屋顶无组织排放，烟气排放浓度执行《大气污染物综合排放标准》（16297-1996）表2中排放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加强无组织废气污染防治。加强原辅材料管理、车间管理和日常监管、废气收集及厂区通风，最大限度减少生产过程中的废气无组织排放,确保厂界颗粒物以及喷漆NMHC满足《大气污染物综合排放标准》（GB16297-1996）表2无组织排放监控浓度要求；厂区内NMHC满足《挥发性有机物无组织排放控制标准》（GB37822-2019）表A.1厂区内VOCs无组织排放限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严格落实噪声污染防治措施。通过合理布局、选用低噪声的设备、基础减振、消声、距离衰减、加强绿化等措施来降低机械噪声；确保营运期厂界噪声满足《工业企业厂界环境噪声排放标准》（GB12348-2008）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固体废物处置措施。按“无害化、减量化、资源化”原则，做好固体分类收集和综合利用，并建立固体废物产生、储存、处置管理台账，落实危险废物转移联单制度。生活垃圾由环卫部门统一清运；一般工业固废（废金属边角料、废包装袋、焊渣）收集后外售给物资回收单位，除尘器收集粉尘回用于生产；危险废物（废机油、废抹布手套、空油漆桶、废活性炭、废过滤棉、废机油桶）收集后暂存于危废暂存间，定期交有资质单位处置；固体废物在厂内的堆放、贮存、转移应符合《一般工业固体废物贮存和填埋污染控制标准》(GB18599-2020)和《危险废物贮存污染控制标准》（GB18597-2023）中相关要求，防止产生二次污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加强环境管理和环境风险防范工作。设立环境管理机构及环保人员，建立健全污染防治设施运行管理台账，确保各项污染防治设施的正常运行，各类污染物稳定达标排放。做好营运期的环境监测工作。严格落实报告表提出的各项环境风险防范措施，按相关要求进行企业突发环境事件应急预案的编制和备案，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6、本项目总量控制指标：VOCs≤0.20t/a。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19"/>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2024年12月19日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958E0"/>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9055A"/>
    <w:rsid w:val="3D9A41C5"/>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FC11B8"/>
    <w:rsid w:val="640D030B"/>
    <w:rsid w:val="64333359"/>
    <w:rsid w:val="643B7191"/>
    <w:rsid w:val="643D10E6"/>
    <w:rsid w:val="64452AE4"/>
    <w:rsid w:val="644D5F1B"/>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7279E"/>
    <w:rsid w:val="683149A8"/>
    <w:rsid w:val="683F2971"/>
    <w:rsid w:val="68416B9F"/>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next w:val="1"/>
    <w:qFormat/>
    <w:uiPriority w:val="0"/>
    <w:pPr>
      <w:ind w:firstLine="420" w:firstLineChars="200"/>
    </w:pPr>
    <w:rPr>
      <w:sz w:val="32"/>
    </w:rPr>
  </w:style>
  <w:style w:type="paragraph" w:styleId="13">
    <w:name w:val="Body Text First Indent"/>
    <w:basedOn w:val="14"/>
    <w:next w:val="15"/>
    <w:qFormat/>
    <w:uiPriority w:val="99"/>
    <w:pPr>
      <w:spacing w:line="240" w:lineRule="auto"/>
      <w:ind w:firstLine="420" w:firstLineChars="100"/>
    </w:pPr>
    <w:rPr>
      <w:sz w:val="21"/>
    </w:rPr>
  </w:style>
  <w:style w:type="paragraph" w:styleId="14">
    <w:name w:val="Body Text"/>
    <w:basedOn w:val="1"/>
    <w:next w:val="1"/>
    <w:qFormat/>
    <w:uiPriority w:val="99"/>
    <w:pPr>
      <w:spacing w:line="400" w:lineRule="atLeast"/>
    </w:pPr>
    <w:rPr>
      <w:sz w:val="30"/>
    </w:rPr>
  </w:style>
  <w:style w:type="paragraph" w:styleId="15">
    <w:name w:val="table of figures"/>
    <w:basedOn w:val="1"/>
    <w:next w:val="1"/>
    <w:unhideWhenUsed/>
    <w:qFormat/>
    <w:uiPriority w:val="99"/>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1"/>
    <w:qFormat/>
    <w:uiPriority w:val="99"/>
    <w:rPr>
      <w:sz w:val="18"/>
      <w:szCs w:val="18"/>
    </w:rPr>
  </w:style>
  <w:style w:type="paragraph" w:styleId="22">
    <w:name w:val="footer"/>
    <w:basedOn w:val="1"/>
    <w:link w:val="70"/>
    <w:qFormat/>
    <w:uiPriority w:val="99"/>
    <w:pPr>
      <w:tabs>
        <w:tab w:val="center" w:pos="4153"/>
        <w:tab w:val="right" w:pos="8306"/>
      </w:tabs>
      <w:snapToGrid w:val="0"/>
    </w:pPr>
    <w:rPr>
      <w:sz w:val="18"/>
      <w:szCs w:val="18"/>
    </w:rPr>
  </w:style>
  <w:style w:type="paragraph" w:styleId="23">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3"/>
    <w:qFormat/>
    <w:uiPriority w:val="11"/>
    <w:pPr>
      <w:spacing w:before="200" w:after="900"/>
      <w:ind w:firstLine="0"/>
      <w:jc w:val="right"/>
    </w:pPr>
    <w:rPr>
      <w:i/>
      <w:iCs/>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4"/>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3"/>
    <w:qFormat/>
    <w:uiPriority w:val="99"/>
    <w:rPr>
      <w:sz w:val="18"/>
      <w:szCs w:val="18"/>
    </w:rPr>
  </w:style>
  <w:style w:type="character" w:customStyle="1" w:styleId="70">
    <w:name w:val="页脚 Char"/>
    <w:basedOn w:val="27"/>
    <w:link w:val="22"/>
    <w:qFormat/>
    <w:uiPriority w:val="99"/>
    <w:rPr>
      <w:sz w:val="18"/>
      <w:szCs w:val="18"/>
    </w:rPr>
  </w:style>
  <w:style w:type="character" w:customStyle="1" w:styleId="71">
    <w:name w:val="批注框文本 Char"/>
    <w:basedOn w:val="27"/>
    <w:link w:val="21"/>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2024-12-02T01:48:00Z</cp:lastPrinted>
  <dcterms:modified xsi:type="dcterms:W3CDTF">2024-12-18T07:25:06Z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