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华容县鲇鱼须镇人民政府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eastAsia="仿宋_GB2312" w:cs="Times New Roman"/>
          <w:sz w:val="32"/>
          <w:szCs w:val="32"/>
          <w:u w:val="single"/>
          <w:lang w:eastAsia="zh-CN"/>
        </w:rPr>
        <w:t>华容县鲇鱼须镇人民政府</w:t>
      </w:r>
      <w:r>
        <w:rPr>
          <w:rFonts w:hint="default" w:ascii="Times New Roman" w:hAnsi="Times New Roman" w:eastAsia="仿宋_GB2312" w:cs="Times New Roman"/>
          <w:sz w:val="32"/>
          <w:szCs w:val="32"/>
          <w:u w:val="none"/>
        </w:rPr>
        <w:t>（盖章）</w:t>
      </w:r>
    </w:p>
    <w:p>
      <w:pPr>
        <w:spacing w:line="600" w:lineRule="exact"/>
        <w:jc w:val="center"/>
        <w:rPr>
          <w:rFonts w:hint="default" w:ascii="Times New Roman" w:hAnsi="Times New Roman" w:eastAsia="楷体_GB2312" w:cs="Times New Roman"/>
          <w:sz w:val="32"/>
          <w:szCs w:val="32"/>
        </w:rPr>
      </w:pPr>
      <w:r>
        <w:rPr>
          <w:rFonts w:hint="eastAsia" w:eastAsia="楷体_GB2312" w:cs="Times New Roman"/>
          <w:sz w:val="32"/>
          <w:szCs w:val="32"/>
          <w:lang w:val="en-US" w:eastAsia="zh-CN"/>
        </w:rPr>
        <w:t>2023</w:t>
      </w:r>
      <w:r>
        <w:rPr>
          <w:rFonts w:hint="default" w:ascii="Times New Roman" w:hAnsi="Times New Roman" w:eastAsia="楷体_GB2312" w:cs="Times New Roman"/>
          <w:sz w:val="32"/>
          <w:szCs w:val="32"/>
        </w:rPr>
        <w:t>年</w:t>
      </w:r>
      <w:r>
        <w:rPr>
          <w:rFonts w:hint="eastAsia" w:eastAsia="楷体_GB2312" w:cs="Times New Roman"/>
          <w:sz w:val="32"/>
          <w:szCs w:val="32"/>
          <w:lang w:val="en-US" w:eastAsia="zh-CN"/>
        </w:rPr>
        <w:t>7</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10</w:t>
      </w:r>
      <w:r>
        <w:rPr>
          <w:rFonts w:hint="default" w:ascii="Times New Roman" w:hAnsi="Times New Roman" w:eastAsia="楷体_GB2312" w:cs="Times New Roman"/>
          <w:sz w:val="32"/>
          <w:szCs w:val="32"/>
        </w:rPr>
        <w:t>日</w:t>
      </w:r>
    </w:p>
    <w:p>
      <w:pPr>
        <w:jc w:val="center"/>
        <w:rPr>
          <w:rFonts w:hint="default" w:ascii="Times New Roman" w:hAnsi="Times New Roman" w:eastAsia="仿宋_GB2312" w:cs="Times New Roman"/>
          <w:sz w:val="32"/>
          <w:szCs w:val="32"/>
        </w:rPr>
        <w:sectPr>
          <w:pgSz w:w="11906" w:h="16838"/>
          <w:pgMar w:top="1701"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eastAsia="仿宋_GB2312" w:cs="Times New Roman"/>
          <w:sz w:val="32"/>
          <w:szCs w:val="32"/>
        </w:rPr>
        <w:t>（此页为封面）</w:t>
      </w:r>
    </w:p>
    <w:p>
      <w:pPr>
        <w:keepNext w:val="0"/>
        <w:keepLines w:val="0"/>
        <w:pageBreakBefore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年度华容县鲇鱼须镇人民政府</w:t>
      </w:r>
    </w:p>
    <w:p>
      <w:pPr>
        <w:keepNext w:val="0"/>
        <w:keepLines w:val="0"/>
        <w:pageBreakBefore w:val="0"/>
        <w:kinsoku/>
        <w:wordWrap/>
        <w:overflowPunct/>
        <w:topLinePunct w:val="0"/>
        <w:autoSpaceDE/>
        <w:autoSpaceDN/>
        <w:bidi w:val="0"/>
        <w:adjustRightInd/>
        <w:snapToGrid/>
        <w:spacing w:line="61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华容县鲇鱼须镇人民政府单位华容县鲇鱼须镇由原鲇鱼须镇与原宋家嘴镇合并而成，镇辖13个村和2个社区，内设机构包括：镇政府机关、镇财政所、镇农业综合服务中心、镇社会事业综合服务中心、镇退役军人服务站、镇综合行政执法大队、镇水利服务站。</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部门职责：</w:t>
      </w:r>
      <w:r>
        <w:rPr>
          <w:rFonts w:hint="default" w:ascii="Times New Roman" w:hAnsi="Times New Roman" w:eastAsia="仿宋_GB2312" w:cs="Times New Roman"/>
          <w:color w:val="000000"/>
          <w:sz w:val="32"/>
          <w:szCs w:val="32"/>
        </w:rPr>
        <w:t>全</w:t>
      </w:r>
      <w:r>
        <w:rPr>
          <w:rFonts w:hint="eastAsia" w:eastAsia="仿宋_GB2312" w:cs="Times New Roman"/>
          <w:color w:val="000000"/>
          <w:sz w:val="32"/>
          <w:szCs w:val="32"/>
          <w:lang w:eastAsia="zh-CN"/>
        </w:rPr>
        <w:t>面</w:t>
      </w:r>
      <w:r>
        <w:rPr>
          <w:rFonts w:hint="default" w:ascii="Times New Roman" w:hAnsi="Times New Roman" w:eastAsia="仿宋_GB2312" w:cs="Times New Roman"/>
          <w:color w:val="000000"/>
          <w:sz w:val="32"/>
          <w:szCs w:val="32"/>
        </w:rPr>
        <w:t>贯彻落实党和国家在农村的各项方针政策和法律法规，加强基层组织建设，完善党对农村工作的领导，紧紧围绕促进经济发展、增加农民收入，强化公共服务、着力改善民生，加强社会管理、维护农村稳定，推进基层民主、促进农村和谐四个方面履职。</w:t>
      </w:r>
    </w:p>
    <w:p>
      <w:pPr>
        <w:pStyle w:val="5"/>
        <w:keepNext w:val="0"/>
        <w:keepLines w:val="0"/>
        <w:pageBreakBefore w:val="0"/>
        <w:widowControl/>
        <w:numPr>
          <w:ilvl w:val="0"/>
          <w:numId w:val="1"/>
        </w:numPr>
        <w:kinsoku/>
        <w:wordWrap/>
        <w:overflowPunct/>
        <w:topLinePunct w:val="0"/>
        <w:autoSpaceDE/>
        <w:autoSpaceDN/>
        <w:bidi w:val="0"/>
        <w:adjustRightInd/>
        <w:snapToGrid/>
        <w:spacing w:line="610" w:lineRule="exact"/>
        <w:ind w:left="0" w:lef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基本支出情况</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年度基本支出</w:t>
      </w:r>
      <w:r>
        <w:rPr>
          <w:rFonts w:hint="eastAsia" w:eastAsia="仿宋_GB2312" w:cs="Times New Roman"/>
          <w:color w:val="000000"/>
          <w:sz w:val="32"/>
          <w:szCs w:val="32"/>
          <w:lang w:val="en-US" w:eastAsia="zh-CN"/>
        </w:rPr>
        <w:t>1304.01</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其中</w:t>
      </w:r>
      <w:r>
        <w:rPr>
          <w:rFonts w:hint="eastAsia" w:eastAsia="仿宋_GB2312" w:cs="Times New Roman"/>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人员经费</w:t>
      </w:r>
      <w:r>
        <w:rPr>
          <w:rFonts w:hint="eastAsia" w:eastAsia="仿宋_GB2312" w:cs="Times New Roman"/>
          <w:color w:val="000000"/>
          <w:sz w:val="32"/>
          <w:szCs w:val="32"/>
          <w:lang w:val="en-US" w:eastAsia="zh-CN"/>
        </w:rPr>
        <w:t>998.38万元，占基本支出的76.56%</w:t>
      </w:r>
      <w:r>
        <w:rPr>
          <w:rFonts w:hint="default" w:ascii="Times New Roman" w:hAnsi="Times New Roman" w:eastAsia="仿宋_GB2312" w:cs="Times New Roman"/>
          <w:color w:val="000000"/>
          <w:sz w:val="32"/>
          <w:szCs w:val="32"/>
        </w:rPr>
        <w:t>，主要包括基本工资、津贴补贴、奖金、伙食补助费、绩效工资、机关事业单位基本养老保险缴费、职业年金缴费、职工基本医疗保险缴费、公务员医疗保险缴费、其他社会保障缴费、住房公积金、其他工资福利支出、抚恤金、生活补助、奖励金、其他对个人和家庭的补助</w:t>
      </w:r>
      <w:r>
        <w:rPr>
          <w:rFonts w:hint="eastAsia"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color w:val="000000"/>
          <w:sz w:val="32"/>
          <w:szCs w:val="32"/>
        </w:rPr>
        <w:t>公用经费</w:t>
      </w:r>
      <w:r>
        <w:rPr>
          <w:rFonts w:hint="eastAsia" w:eastAsia="仿宋_GB2312" w:cs="Times New Roman"/>
          <w:color w:val="000000"/>
          <w:sz w:val="32"/>
          <w:szCs w:val="32"/>
          <w:lang w:val="en-US" w:eastAsia="zh-CN"/>
        </w:rPr>
        <w:t>305.63万元，占基本支出的23.44%</w:t>
      </w:r>
      <w:r>
        <w:rPr>
          <w:rFonts w:hint="default" w:ascii="Times New Roman" w:hAnsi="Times New Roman" w:eastAsia="仿宋_GB2312" w:cs="Times New Roman"/>
          <w:color w:val="000000"/>
          <w:sz w:val="32"/>
          <w:szCs w:val="32"/>
        </w:rPr>
        <w:t>，主要包括办公费、印刷费、手续费、水费、电费、邮电费、差旅费、维修（护）费、会议费、公务接待费、劳务费、工会经费、其他交通费用、其他商品和服务支出、办公设备购置、专用设备购置、信息网络及软件购置更新</w:t>
      </w:r>
      <w:r>
        <w:rPr>
          <w:rFonts w:hint="eastAsia"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w:t>
      </w:r>
    </w:p>
    <w:p>
      <w:pPr>
        <w:pStyle w:val="5"/>
        <w:keepNext w:val="0"/>
        <w:keepLines w:val="0"/>
        <w:pageBreakBefore w:val="0"/>
        <w:widowControl/>
        <w:numPr>
          <w:ilvl w:val="0"/>
          <w:numId w:val="1"/>
        </w:numPr>
        <w:kinsoku/>
        <w:wordWrap/>
        <w:overflowPunct/>
        <w:topLinePunct w:val="0"/>
        <w:autoSpaceDE/>
        <w:autoSpaceDN/>
        <w:bidi w:val="0"/>
        <w:adjustRightInd/>
        <w:snapToGrid/>
        <w:spacing w:line="610" w:lineRule="exact"/>
        <w:ind w:left="0" w:leftChars="0"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项目支出情况</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2022年度</w:t>
      </w:r>
      <w:r>
        <w:rPr>
          <w:rFonts w:hint="default" w:ascii="Times New Roman" w:hAnsi="Times New Roman" w:eastAsia="仿宋_GB2312" w:cs="Times New Roman"/>
          <w:color w:val="000000"/>
          <w:sz w:val="32"/>
          <w:szCs w:val="32"/>
        </w:rPr>
        <w:t>项目支出</w:t>
      </w:r>
      <w:r>
        <w:rPr>
          <w:rFonts w:hint="eastAsia" w:eastAsia="仿宋_GB2312" w:cs="Times New Roman"/>
          <w:color w:val="000000"/>
          <w:sz w:val="32"/>
          <w:szCs w:val="32"/>
          <w:lang w:val="en-US" w:eastAsia="zh-CN"/>
        </w:rPr>
        <w:t>1939.96</w:t>
      </w:r>
      <w:r>
        <w:rPr>
          <w:rFonts w:hint="default" w:ascii="Times New Roman" w:hAnsi="Times New Roman" w:eastAsia="仿宋_GB2312" w:cs="Times New Roman"/>
          <w:color w:val="000000"/>
          <w:sz w:val="32"/>
          <w:szCs w:val="32"/>
        </w:rPr>
        <w:t>万元。其中</w:t>
      </w:r>
      <w:r>
        <w:rPr>
          <w:rFonts w:hint="eastAsia" w:eastAsia="仿宋_GB2312" w:cs="Times New Roman"/>
          <w:color w:val="000000"/>
          <w:sz w:val="32"/>
          <w:szCs w:val="32"/>
          <w:lang w:eastAsia="zh-CN"/>
        </w:rPr>
        <w:t>：工资福利支出</w:t>
      </w:r>
      <w:r>
        <w:rPr>
          <w:rFonts w:hint="eastAsia" w:eastAsia="仿宋_GB2312" w:cs="Times New Roman"/>
          <w:color w:val="000000"/>
          <w:sz w:val="32"/>
          <w:szCs w:val="32"/>
          <w:lang w:val="en-US" w:eastAsia="zh-CN"/>
        </w:rPr>
        <w:t>70万元，占3.61%；商品和服务支出483.32万元，占24.91%；对个人和家庭的补助支出617.93万元，占31.85%；资本性支出693.71万元，占35.76%；对企业补助支出75万元，占3.87%。</w:t>
      </w:r>
    </w:p>
    <w:p>
      <w:pPr>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为贯彻落实《中共中央国务院关于全面实施预算绩效管理的意见》的精神，落实《华容县财政局关于2022年度财政预算支出绩效自评工作的通知》的要求，我部门积极组织开展202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年度整体支出绩效自评工作，强化财政支出绩效理念和责任意识，以切实提高财政资金使用效益。</w:t>
      </w:r>
    </w:p>
    <w:p>
      <w:pPr>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部门开展整体支出绩效评价，</w:t>
      </w:r>
      <w:r>
        <w:rPr>
          <w:rFonts w:hint="eastAsia" w:eastAsia="仿宋_GB2312" w:cs="Times New Roman"/>
          <w:color w:val="000000"/>
          <w:sz w:val="32"/>
          <w:szCs w:val="32"/>
          <w:lang w:eastAsia="zh-CN"/>
        </w:rPr>
        <w:t>按照收入性质分：</w:t>
      </w:r>
      <w:r>
        <w:rPr>
          <w:rFonts w:hint="default" w:ascii="Times New Roman" w:hAnsi="Times New Roman" w:eastAsia="仿宋_GB2312" w:cs="Times New Roman"/>
          <w:color w:val="000000"/>
          <w:sz w:val="32"/>
          <w:szCs w:val="32"/>
        </w:rPr>
        <w:t>涉及一般公共预算支出</w:t>
      </w:r>
      <w:r>
        <w:rPr>
          <w:rFonts w:hint="eastAsia" w:eastAsia="仿宋_GB2312" w:cs="Times New Roman"/>
          <w:color w:val="000000"/>
          <w:sz w:val="32"/>
          <w:szCs w:val="32"/>
          <w:lang w:val="en-US" w:eastAsia="zh-CN"/>
        </w:rPr>
        <w:t>3190.47</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占</w:t>
      </w:r>
      <w:r>
        <w:rPr>
          <w:rFonts w:hint="eastAsia" w:eastAsia="仿宋_GB2312" w:cs="Times New Roman"/>
          <w:color w:val="000000"/>
          <w:sz w:val="32"/>
          <w:szCs w:val="32"/>
          <w:lang w:val="en-US" w:eastAsia="zh-CN"/>
        </w:rPr>
        <w:t>98.35%；</w:t>
      </w:r>
      <w:r>
        <w:rPr>
          <w:rFonts w:hint="default" w:ascii="Times New Roman" w:hAnsi="Times New Roman" w:eastAsia="仿宋_GB2312" w:cs="Times New Roman"/>
          <w:color w:val="000000"/>
          <w:sz w:val="32"/>
          <w:szCs w:val="32"/>
        </w:rPr>
        <w:t>政府性基金预算支出</w:t>
      </w:r>
      <w:r>
        <w:rPr>
          <w:rFonts w:hint="eastAsia" w:eastAsia="仿宋_GB2312" w:cs="Times New Roman"/>
          <w:color w:val="000000"/>
          <w:sz w:val="32"/>
          <w:szCs w:val="32"/>
          <w:lang w:val="en-US" w:eastAsia="zh-CN"/>
        </w:rPr>
        <w:t>53.50</w:t>
      </w:r>
      <w:r>
        <w:rPr>
          <w:rFonts w:hint="default" w:ascii="Times New Roman" w:hAnsi="Times New Roman" w:eastAsia="仿宋_GB2312" w:cs="Times New Roman"/>
          <w:color w:val="000000"/>
          <w:sz w:val="32"/>
          <w:szCs w:val="32"/>
        </w:rPr>
        <w:t>万元，</w:t>
      </w:r>
      <w:r>
        <w:rPr>
          <w:rFonts w:hint="eastAsia" w:eastAsia="仿宋_GB2312" w:cs="Times New Roman"/>
          <w:color w:val="000000"/>
          <w:sz w:val="32"/>
          <w:szCs w:val="32"/>
          <w:lang w:eastAsia="zh-CN"/>
        </w:rPr>
        <w:t>占</w:t>
      </w:r>
      <w:r>
        <w:rPr>
          <w:rFonts w:hint="eastAsia" w:eastAsia="仿宋_GB2312" w:cs="Times New Roman"/>
          <w:color w:val="000000"/>
          <w:sz w:val="32"/>
          <w:szCs w:val="32"/>
          <w:lang w:val="en-US" w:eastAsia="zh-CN"/>
        </w:rPr>
        <w:t>1.65%</w:t>
      </w:r>
      <w:r>
        <w:rPr>
          <w:rFonts w:hint="eastAsia" w:eastAsia="仿宋_GB2312" w:cs="Times New Roman"/>
          <w:color w:val="000000"/>
          <w:sz w:val="32"/>
          <w:szCs w:val="32"/>
          <w:lang w:eastAsia="zh-CN"/>
        </w:rPr>
        <w:t>。按照支出性质分：</w:t>
      </w:r>
      <w:r>
        <w:rPr>
          <w:rFonts w:hint="default" w:ascii="Times New Roman" w:hAnsi="Times New Roman" w:eastAsia="仿宋_GB2312" w:cs="Times New Roman"/>
          <w:color w:val="000000"/>
          <w:sz w:val="32"/>
          <w:szCs w:val="32"/>
        </w:rPr>
        <w:t>基本支出</w:t>
      </w:r>
      <w:r>
        <w:rPr>
          <w:rFonts w:hint="eastAsia" w:eastAsia="仿宋_GB2312" w:cs="Times New Roman"/>
          <w:color w:val="000000"/>
          <w:sz w:val="32"/>
          <w:szCs w:val="32"/>
          <w:lang w:val="en-US" w:eastAsia="zh-CN"/>
        </w:rPr>
        <w:t>1304.01</w:t>
      </w:r>
      <w:r>
        <w:rPr>
          <w:rFonts w:hint="default" w:ascii="Times New Roman" w:hAnsi="Times New Roman" w:eastAsia="仿宋_GB2312" w:cs="Times New Roman"/>
          <w:color w:val="000000"/>
          <w:sz w:val="32"/>
          <w:szCs w:val="32"/>
        </w:rPr>
        <w:t>万元，占</w:t>
      </w:r>
      <w:r>
        <w:rPr>
          <w:rFonts w:hint="eastAsia" w:eastAsia="仿宋_GB2312" w:cs="Times New Roman"/>
          <w:color w:val="000000"/>
          <w:sz w:val="32"/>
          <w:szCs w:val="32"/>
          <w:lang w:val="en-US" w:eastAsia="zh-CN"/>
        </w:rPr>
        <w:t>40.2</w:t>
      </w:r>
      <w:r>
        <w:rPr>
          <w:rFonts w:hint="default" w:ascii="Times New Roman" w:hAnsi="Times New Roman" w:eastAsia="仿宋_GB2312" w:cs="Times New Roman"/>
          <w:color w:val="000000"/>
          <w:sz w:val="32"/>
          <w:szCs w:val="32"/>
        </w:rPr>
        <w:t>%；项目支出</w:t>
      </w:r>
      <w:r>
        <w:rPr>
          <w:rFonts w:hint="eastAsia" w:eastAsia="仿宋_GB2312" w:cs="Times New Roman"/>
          <w:color w:val="000000"/>
          <w:sz w:val="32"/>
          <w:szCs w:val="32"/>
          <w:lang w:val="en-US" w:eastAsia="zh-CN"/>
        </w:rPr>
        <w:t>1939.96</w:t>
      </w:r>
      <w:r>
        <w:rPr>
          <w:rFonts w:hint="default" w:ascii="Times New Roman" w:hAnsi="Times New Roman" w:eastAsia="仿宋_GB2312" w:cs="Times New Roman"/>
          <w:color w:val="000000"/>
          <w:sz w:val="32"/>
          <w:szCs w:val="32"/>
        </w:rPr>
        <w:t>万元，占</w:t>
      </w:r>
      <w:r>
        <w:rPr>
          <w:rFonts w:hint="eastAsia" w:eastAsia="仿宋_GB2312" w:cs="Times New Roman"/>
          <w:color w:val="000000"/>
          <w:sz w:val="32"/>
          <w:szCs w:val="32"/>
          <w:lang w:val="en-US" w:eastAsia="zh-CN"/>
        </w:rPr>
        <w:t>59.8</w:t>
      </w:r>
      <w:r>
        <w:rPr>
          <w:rFonts w:hint="default" w:ascii="Times New Roman" w:hAnsi="Times New Roman" w:eastAsia="仿宋_GB2312" w:cs="Times New Roman"/>
          <w:color w:val="000000"/>
          <w:sz w:val="32"/>
          <w:szCs w:val="32"/>
        </w:rPr>
        <w:t>%。通过成立评价小组，依据相关政策规定、部门职能职责、年度工作计划、专项资金绩效目标及专项资金管理办法，对202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年度预算配置、预算执行、预算管理、资产管理、职责履行等指标完成情况、效益情况进行自评。通过整体绩效评价结果显示，202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年度整体绩效目标完成情况较好。</w:t>
      </w:r>
    </w:p>
    <w:p>
      <w:pPr>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hint="default"/>
        </w:rPr>
      </w:pPr>
      <w:r>
        <w:rPr>
          <w:rFonts w:hint="default" w:ascii="Times New Roman" w:hAnsi="Times New Roman" w:eastAsia="仿宋_GB2312" w:cs="Times New Roman"/>
          <w:sz w:val="32"/>
          <w:szCs w:val="32"/>
        </w:rPr>
        <w:t>单位开展项目支出绩效评价，项目支出1939.96万元。其中：工资福利支出70万元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商品和服务支出483.32万元，对个人和家庭的补助支出617.93万元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资本性支出693.71万元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农业结构调整支出75万元。</w:t>
      </w:r>
      <w:bookmarkStart w:id="0" w:name="_GoBack"/>
      <w:bookmarkEnd w:id="0"/>
      <w:r>
        <w:rPr>
          <w:rFonts w:hint="default" w:ascii="Times New Roman" w:hAnsi="Times New Roman" w:eastAsia="仿宋_GB2312" w:cs="Times New Roman"/>
          <w:sz w:val="32"/>
          <w:szCs w:val="32"/>
        </w:rPr>
        <w:t>主要用于发展农业经济，推动社会各项事业，促进经济社会协调发展，提升乡村社会文化发展，巩固农村环境整治成果，巩固精准扶贫成果，推进乡村振兴等。主要目标：保障镇政府的基本运转，不断提升镇政府服务水平；促进经济、社会和文化发展；加强农村建设，建设美丽、宜居新镇等。通过项目绩效评价结果显示，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年度项目绩效目标完成情况较好。</w:t>
      </w:r>
    </w:p>
    <w:p>
      <w:pPr>
        <w:pStyle w:val="5"/>
        <w:keepNext w:val="0"/>
        <w:keepLines w:val="0"/>
        <w:pageBreakBefore w:val="0"/>
        <w:widowControl/>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、存在的问题及原因分析</w:t>
      </w:r>
    </w:p>
    <w:p>
      <w:pPr>
        <w:pStyle w:val="5"/>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思想认识尚不到位。部分人员对绩效评价不了解，对绩效管理的意义认识不清，尤其是对“效”的理解不够，还停留在是否按计划完成任务上，而没有将工作重点放在效益和效果方面。</w:t>
      </w:r>
    </w:p>
    <w:p>
      <w:pPr>
        <w:pStyle w:val="5"/>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绩效评价报告质量欠缺。目前我</w:t>
      </w:r>
      <w:r>
        <w:rPr>
          <w:rFonts w:hint="eastAsia" w:ascii="Times New Roman" w:hAnsi="Times New Roman" w:eastAsia="仿宋_GB2312" w:cs="Times New Roman"/>
          <w:kern w:val="2"/>
          <w:sz w:val="32"/>
          <w:szCs w:val="32"/>
          <w:lang w:val="en-US" w:eastAsia="zh-CN" w:bidi="ar-SA"/>
        </w:rPr>
        <w:t>部门</w:t>
      </w:r>
      <w:r>
        <w:rPr>
          <w:rFonts w:hint="default" w:ascii="Times New Roman" w:hAnsi="Times New Roman" w:eastAsia="仿宋_GB2312" w:cs="Times New Roman"/>
          <w:kern w:val="2"/>
          <w:sz w:val="32"/>
          <w:szCs w:val="32"/>
          <w:lang w:val="en-US" w:eastAsia="zh-CN" w:bidi="ar-SA"/>
        </w:rPr>
        <w:t>还难以适应绩效评价工作涉及面广、专业性强的要求，绩效评价报告质量普遍不高。</w:t>
      </w:r>
    </w:p>
    <w:p>
      <w:pPr>
        <w:pStyle w:val="5"/>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组织开展</w:t>
      </w:r>
      <w:r>
        <w:rPr>
          <w:rFonts w:hint="eastAsia" w:ascii="楷体" w:hAnsi="楷体" w:eastAsia="楷体" w:cs="楷体"/>
          <w:b/>
          <w:bCs/>
          <w:sz w:val="32"/>
          <w:szCs w:val="32"/>
        </w:rPr>
        <w:t>绩效</w:t>
      </w:r>
      <w:r>
        <w:rPr>
          <w:rFonts w:hint="eastAsia" w:ascii="楷体" w:hAnsi="楷体" w:eastAsia="楷体" w:cs="楷体"/>
          <w:b/>
          <w:bCs/>
          <w:sz w:val="32"/>
          <w:szCs w:val="32"/>
          <w:lang w:eastAsia="zh-CN"/>
        </w:rPr>
        <w:t>评价业务培训</w:t>
      </w:r>
      <w:r>
        <w:rPr>
          <w:rFonts w:hint="eastAsia" w:ascii="楷体" w:hAnsi="楷体" w:eastAsia="楷体" w:cs="楷体"/>
          <w:b/>
          <w:bCs/>
          <w:sz w:val="32"/>
          <w:szCs w:val="32"/>
        </w:rPr>
        <w:t>。</w:t>
      </w:r>
      <w:r>
        <w:rPr>
          <w:rFonts w:hint="eastAsia" w:ascii="仿宋_GB2312" w:hAnsi="仿宋_GB2312" w:eastAsia="仿宋_GB2312" w:cs="仿宋_GB2312"/>
          <w:sz w:val="32"/>
          <w:szCs w:val="32"/>
        </w:rPr>
        <w:t>部门整体绩效评价工作是一项长期性的工作，专业性强，工作量大，加强开展相关的业务工作培训，组织开展部门之间、单位之间的经验交流，切实推进绩效评价工作的开展。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rPr>
      </w:pPr>
      <w:r>
        <w:rPr>
          <w:rFonts w:hint="eastAsia" w:ascii="楷体" w:hAnsi="楷体" w:eastAsia="楷体" w:cs="楷体"/>
          <w:b/>
          <w:bCs/>
          <w:sz w:val="32"/>
          <w:szCs w:val="32"/>
        </w:rPr>
        <w:t>（二）进一步扩大绩效评价支点环节。</w:t>
      </w:r>
      <w:r>
        <w:rPr>
          <w:rFonts w:hint="eastAsia" w:ascii="仿宋_GB2312" w:hAnsi="仿宋_GB2312" w:eastAsia="仿宋_GB2312" w:cs="仿宋_GB2312"/>
          <w:sz w:val="32"/>
          <w:szCs w:val="32"/>
        </w:rPr>
        <w:t>一是围绕</w:t>
      </w:r>
      <w:r>
        <w:rPr>
          <w:rFonts w:hint="eastAsia" w:ascii="仿宋_GB2312" w:hAnsi="仿宋_GB2312" w:eastAsia="仿宋_GB2312" w:cs="仿宋_GB2312"/>
          <w:sz w:val="32"/>
          <w:szCs w:val="32"/>
          <w:lang w:eastAsia="zh-CN"/>
        </w:rPr>
        <w:t>县委县政府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镇党委、政府和县财政局</w:t>
      </w:r>
      <w:r>
        <w:rPr>
          <w:rFonts w:hint="eastAsia" w:ascii="仿宋_GB2312" w:hAnsi="仿宋_GB2312" w:eastAsia="仿宋_GB2312" w:cs="仿宋_GB2312"/>
          <w:sz w:val="32"/>
          <w:szCs w:val="32"/>
        </w:rPr>
        <w:t>确定的重点项目或关系国计民生、社会关注度高、具有明显经济和社会效益的项目深入开展绩效评价。二是不断完善绩效评价工作方案，在实践中逐步探索建立</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级横向联动、</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自评相结合的评价机制。三是探索与预算编制相结合的财政绩效</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管理。将财政绩效评价逐步从事后评价延伸到事前评估、事中监控，并将各环节评价结果与当期财政拨款</w:t>
      </w:r>
      <w:r>
        <w:rPr>
          <w:rFonts w:hint="eastAsia" w:ascii="仿宋_GB2312" w:hAnsi="仿宋_GB2312" w:eastAsia="仿宋_GB2312" w:cs="仿宋_GB2312"/>
          <w:sz w:val="32"/>
          <w:szCs w:val="32"/>
          <w:lang w:eastAsia="zh-CN"/>
        </w:rPr>
        <w:t>跟踪</w:t>
      </w:r>
      <w:r>
        <w:rPr>
          <w:rFonts w:hint="eastAsia" w:ascii="仿宋_GB2312" w:hAnsi="仿宋_GB2312" w:eastAsia="仿宋_GB2312" w:cs="仿宋_GB2312"/>
          <w:sz w:val="32"/>
          <w:szCs w:val="32"/>
        </w:rPr>
        <w:t>管理及下年预算编制直接挂钩，形成互相制约的财政绩效管理新机制。</w:t>
      </w:r>
    </w:p>
    <w:p>
      <w:pPr>
        <w:keepNext w:val="0"/>
        <w:keepLines w:val="0"/>
        <w:pageBreakBefore w:val="0"/>
        <w:widowControl/>
        <w:numPr>
          <w:ilvl w:val="0"/>
          <w:numId w:val="2"/>
        </w:numPr>
        <w:kinsoku/>
        <w:wordWrap/>
        <w:overflowPunct/>
        <w:topLinePunct w:val="0"/>
        <w:autoSpaceDE/>
        <w:autoSpaceDN/>
        <w:bidi w:val="0"/>
        <w:adjustRightInd/>
        <w:snapToGrid/>
        <w:spacing w:line="61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keepNext w:val="0"/>
        <w:keepLines w:val="0"/>
        <w:pageBreakBefore w:val="0"/>
        <w:widowControl/>
        <w:numPr>
          <w:ilvl w:val="0"/>
          <w:numId w:val="0"/>
        </w:numPr>
        <w:kinsoku/>
        <w:wordWrap/>
        <w:overflowPunct/>
        <w:topLinePunct w:val="0"/>
        <w:autoSpaceDE/>
        <w:autoSpaceDN/>
        <w:bidi w:val="0"/>
        <w:adjustRightInd/>
        <w:snapToGrid/>
        <w:spacing w:line="61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无其他需说明的情况。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F8C90"/>
    <w:multiLevelType w:val="singleLevel"/>
    <w:tmpl w:val="1ECF8C90"/>
    <w:lvl w:ilvl="0" w:tentative="0">
      <w:start w:val="6"/>
      <w:numFmt w:val="chineseCounting"/>
      <w:suff w:val="nothing"/>
      <w:lvlText w:val="%1、"/>
      <w:lvlJc w:val="left"/>
      <w:rPr>
        <w:rFonts w:hint="eastAsia"/>
      </w:rPr>
    </w:lvl>
  </w:abstractNum>
  <w:abstractNum w:abstractNumId="1">
    <w:nsid w:val="426813D8"/>
    <w:multiLevelType w:val="singleLevel"/>
    <w:tmpl w:val="426813D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WZmZGE3MDgzOGE5NjE2ZjA0YzZmZTRkYTc3NmEifQ=="/>
  </w:docVars>
  <w:rsids>
    <w:rsidRoot w:val="00000000"/>
    <w:rsid w:val="022B0E5C"/>
    <w:rsid w:val="0CC223BD"/>
    <w:rsid w:val="124A70DD"/>
    <w:rsid w:val="128615C7"/>
    <w:rsid w:val="138C3371"/>
    <w:rsid w:val="149B2A75"/>
    <w:rsid w:val="153C64BA"/>
    <w:rsid w:val="15FA088E"/>
    <w:rsid w:val="1AB44C3E"/>
    <w:rsid w:val="24F1163A"/>
    <w:rsid w:val="24F74BCC"/>
    <w:rsid w:val="26943F86"/>
    <w:rsid w:val="2BBD2276"/>
    <w:rsid w:val="2E15634F"/>
    <w:rsid w:val="48AE6409"/>
    <w:rsid w:val="523F57F5"/>
    <w:rsid w:val="52734B8D"/>
    <w:rsid w:val="583D3C73"/>
    <w:rsid w:val="5B6E0CB7"/>
    <w:rsid w:val="60A800F7"/>
    <w:rsid w:val="7B21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szCs w:val="18"/>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2023-07-10T01:17:00Z</dcterms:created>
  <dc:creator>Administrator</dc:creator>
  <cp:lastModifiedBy>Kǎi</cp:lastModifiedBy>
  <dcterms:modified xsi:type="dcterms:W3CDTF">2024-05-28T01:38:48Z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3561D61A958B46C6A5B91847C1106E45_12</vt:lpwstr>
  </property>
</Properties>
</file>