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s="Times New Roman"/>
          <w:sz w:val="32"/>
          <w:szCs w:val="32"/>
        </w:rPr>
      </w:pPr>
    </w:p>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14"/>
        <w:tblW w:w="4998" w:type="pct"/>
        <w:jc w:val="center"/>
        <w:tblLayout w:type="autofit"/>
        <w:tblCellMar>
          <w:top w:w="0" w:type="dxa"/>
          <w:left w:w="108" w:type="dxa"/>
          <w:bottom w:w="0" w:type="dxa"/>
          <w:right w:w="108" w:type="dxa"/>
        </w:tblCellMar>
      </w:tblPr>
      <w:tblGrid>
        <w:gridCol w:w="3022"/>
        <w:gridCol w:w="1836"/>
        <w:gridCol w:w="2288"/>
        <w:gridCol w:w="1571"/>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97.60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119.46</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119.46</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0.89</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0.87</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0.89</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0.87</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29.00</w:t>
            </w:r>
          </w:p>
        </w:tc>
      </w:tr>
      <w:tr>
        <w:tblPrEx>
          <w:tblCellMar>
            <w:top w:w="0" w:type="dxa"/>
            <w:left w:w="108" w:type="dxa"/>
            <w:bottom w:w="0" w:type="dxa"/>
            <w:right w:w="108" w:type="dxa"/>
          </w:tblCellMar>
        </w:tblPrEx>
        <w:trPr>
          <w:trHeight w:val="539" w:hRule="atLeast"/>
          <w:jc w:val="center"/>
        </w:trPr>
        <w:tc>
          <w:tcPr>
            <w:tcW w:w="3022"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sz w:val="21"/>
                <w:szCs w:val="21"/>
                <w:lang w:val="en-US" w:eastAsia="zh-CN"/>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16.00</w:t>
            </w:r>
          </w:p>
        </w:tc>
      </w:tr>
      <w:tr>
        <w:tblPrEx>
          <w:tblCellMar>
            <w:top w:w="0" w:type="dxa"/>
            <w:left w:w="108" w:type="dxa"/>
            <w:bottom w:w="0" w:type="dxa"/>
            <w:right w:w="108" w:type="dxa"/>
          </w:tblCellMar>
        </w:tblPrEx>
        <w:trPr>
          <w:trHeight w:val="539" w:hRule="atLeast"/>
          <w:jc w:val="center"/>
        </w:trPr>
        <w:tc>
          <w:tcPr>
            <w:tcW w:w="3022"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sz w:val="21"/>
                <w:szCs w:val="21"/>
                <w:lang w:val="en-US" w:eastAsia="zh-CN"/>
              </w:rPr>
            </w:pPr>
            <w:r>
              <w:rPr>
                <w:rFonts w:hint="eastAsia" w:ascii="宋体" w:hAnsi="宋体" w:eastAsia="宋体" w:cs="宋体"/>
                <w:i w:val="0"/>
                <w:iCs w:val="0"/>
                <w:color w:val="000000"/>
                <w:kern w:val="0"/>
                <w:sz w:val="22"/>
                <w:szCs w:val="22"/>
                <w:u w:val="none"/>
                <w:lang w:val="en-US" w:eastAsia="zh-CN" w:bidi="ar"/>
              </w:rPr>
              <w:t>彩票公益金安排的支出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减少不必要的开支</w:t>
            </w: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高帆</w:t>
      </w:r>
      <w:r>
        <w:rPr>
          <w:rFonts w:hint="eastAsia" w:eastAsia="仿宋_GB2312" w:cs="Times New Roman"/>
          <w:sz w:val="22"/>
          <w:szCs w:val="22"/>
          <w:lang w:val="en-US" w:eastAsia="zh-CN"/>
        </w:rPr>
        <w:t xml:space="preserve">  </w:t>
      </w:r>
      <w:r>
        <w:rPr>
          <w:rFonts w:hint="default" w:ascii="Times New Roman" w:hAnsi="Times New Roman" w:eastAsia="仿宋_GB2312" w:cs="Times New Roman"/>
          <w:sz w:val="22"/>
          <w:szCs w:val="22"/>
        </w:rPr>
        <w:t>填报日期：</w:t>
      </w:r>
      <w:r>
        <w:rPr>
          <w:rFonts w:hint="eastAsia" w:eastAsia="仿宋_GB2312" w:cs="Times New Roman"/>
          <w:sz w:val="22"/>
          <w:szCs w:val="22"/>
          <w:lang w:val="en-US" w:eastAsia="zh-CN"/>
        </w:rPr>
        <w:t>2023.7.11</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13975803806</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14"/>
        <w:tblW w:w="4998" w:type="pct"/>
        <w:jc w:val="center"/>
        <w:tblLayout w:type="fixed"/>
        <w:tblCellMar>
          <w:top w:w="0" w:type="dxa"/>
          <w:left w:w="108" w:type="dxa"/>
          <w:bottom w:w="0" w:type="dxa"/>
          <w:right w:w="108" w:type="dxa"/>
        </w:tblCellMar>
      </w:tblPr>
      <w:tblGrid>
        <w:gridCol w:w="663"/>
        <w:gridCol w:w="832"/>
        <w:gridCol w:w="927"/>
        <w:gridCol w:w="2127"/>
        <w:gridCol w:w="1282"/>
        <w:gridCol w:w="900"/>
        <w:gridCol w:w="505"/>
        <w:gridCol w:w="995"/>
        <w:gridCol w:w="486"/>
      </w:tblGrid>
      <w:tr>
        <w:tblPrEx>
          <w:tblCellMar>
            <w:top w:w="0" w:type="dxa"/>
            <w:left w:w="108" w:type="dxa"/>
            <w:bottom w:w="0" w:type="dxa"/>
            <w:right w:w="108" w:type="dxa"/>
          </w:tblCellMar>
        </w:tblPrEx>
        <w:trPr>
          <w:trHeight w:val="1003" w:hRule="atLeast"/>
          <w:jc w:val="center"/>
        </w:trPr>
        <w:tc>
          <w:tcPr>
            <w:tcW w:w="3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619"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sz w:val="32"/>
                <w:szCs w:val="32"/>
                <w:u w:val="none"/>
                <w:lang w:eastAsia="zh-CN"/>
              </w:rPr>
              <w:t>华容县插旗镇财政所</w:t>
            </w:r>
          </w:p>
        </w:tc>
      </w:tr>
      <w:tr>
        <w:tblPrEx>
          <w:tblCellMar>
            <w:top w:w="0" w:type="dxa"/>
            <w:left w:w="108" w:type="dxa"/>
            <w:bottom w:w="0" w:type="dxa"/>
            <w:right w:w="108" w:type="dxa"/>
          </w:tblCellMar>
        </w:tblPrEx>
        <w:trPr>
          <w:trHeight w:val="863" w:hRule="atLeast"/>
          <w:jc w:val="center"/>
        </w:trPr>
        <w:tc>
          <w:tcPr>
            <w:tcW w:w="380"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1008"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122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73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28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7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27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380"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1008"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122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39.00</w:t>
            </w:r>
          </w:p>
        </w:tc>
        <w:tc>
          <w:tcPr>
            <w:tcW w:w="73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148.46</w:t>
            </w:r>
          </w:p>
        </w:tc>
        <w:tc>
          <w:tcPr>
            <w:tcW w:w="5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148.46</w:t>
            </w:r>
          </w:p>
        </w:tc>
        <w:tc>
          <w:tcPr>
            <w:tcW w:w="28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7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100.00%</w:t>
            </w:r>
          </w:p>
        </w:tc>
        <w:tc>
          <w:tcPr>
            <w:tcW w:w="27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96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165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96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119.46</w:t>
            </w:r>
          </w:p>
        </w:tc>
        <w:tc>
          <w:tcPr>
            <w:tcW w:w="165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119.46</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96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29.00</w:t>
            </w:r>
          </w:p>
        </w:tc>
        <w:tc>
          <w:tcPr>
            <w:tcW w:w="165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29.00</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96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165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96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165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380"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964"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1655"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1076" w:hRule="atLeast"/>
          <w:jc w:val="center"/>
        </w:trPr>
        <w:tc>
          <w:tcPr>
            <w:tcW w:w="380"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964"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i w:val="0"/>
                <w:iCs w:val="0"/>
                <w:color w:val="000000"/>
                <w:sz w:val="21"/>
                <w:szCs w:val="21"/>
              </w:rPr>
              <w:t>1、完善管理体制和制度管理。2、完善预算编制。3、严格执行预算标准。</w:t>
            </w:r>
            <w:r>
              <w:rPr>
                <w:rFonts w:hint="eastAsia" w:ascii="新宋体" w:hAnsi="新宋体" w:eastAsia="新宋体" w:cs="新宋体"/>
                <w:i w:val="0"/>
                <w:iCs w:val="0"/>
                <w:color w:val="000000"/>
                <w:sz w:val="21"/>
                <w:szCs w:val="21"/>
                <w:lang w:val="en-US" w:eastAsia="zh-CN"/>
              </w:rPr>
              <w:t>4、</w:t>
            </w:r>
            <w:r>
              <w:rPr>
                <w:rFonts w:hint="eastAsia" w:ascii="新宋体" w:hAnsi="新宋体" w:eastAsia="新宋体" w:cs="新宋体"/>
                <w:i w:val="0"/>
                <w:iCs w:val="0"/>
                <w:color w:val="000000"/>
                <w:sz w:val="21"/>
                <w:szCs w:val="21"/>
              </w:rPr>
              <w:t>对项目建设资金的监管</w:t>
            </w:r>
            <w:r>
              <w:rPr>
                <w:rFonts w:hint="eastAsia" w:ascii="新宋体" w:hAnsi="新宋体" w:eastAsia="新宋体" w:cs="新宋体"/>
                <w:i w:val="0"/>
                <w:iCs w:val="0"/>
                <w:color w:val="000000"/>
                <w:sz w:val="21"/>
                <w:szCs w:val="21"/>
                <w:lang w:eastAsia="zh-CN"/>
              </w:rPr>
              <w:t>。</w:t>
            </w:r>
            <w:r>
              <w:rPr>
                <w:rFonts w:hint="eastAsia" w:ascii="新宋体" w:hAnsi="新宋体" w:eastAsia="新宋体" w:cs="新宋体"/>
                <w:i w:val="0"/>
                <w:iCs w:val="0"/>
                <w:color w:val="000000"/>
                <w:sz w:val="21"/>
                <w:szCs w:val="21"/>
                <w:lang w:val="en-US" w:eastAsia="zh-CN"/>
              </w:rPr>
              <w:t>5、</w:t>
            </w:r>
            <w:r>
              <w:rPr>
                <w:rFonts w:hint="eastAsia" w:ascii="新宋体" w:hAnsi="新宋体" w:eastAsia="新宋体" w:cs="新宋体"/>
                <w:i w:val="0"/>
                <w:iCs w:val="0"/>
                <w:color w:val="000000"/>
                <w:sz w:val="21"/>
                <w:szCs w:val="21"/>
              </w:rPr>
              <w:t>对镇机关基本支出经费的监管</w:t>
            </w:r>
            <w:r>
              <w:rPr>
                <w:rFonts w:hint="eastAsia" w:ascii="新宋体" w:hAnsi="新宋体" w:eastAsia="新宋体" w:cs="新宋体"/>
                <w:i w:val="0"/>
                <w:iCs w:val="0"/>
                <w:color w:val="000000"/>
                <w:sz w:val="21"/>
                <w:szCs w:val="21"/>
                <w:lang w:eastAsia="zh-CN"/>
              </w:rPr>
              <w:t>。</w:t>
            </w:r>
          </w:p>
        </w:tc>
        <w:tc>
          <w:tcPr>
            <w:tcW w:w="1655"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i w:val="0"/>
                <w:iCs w:val="0"/>
                <w:color w:val="000000"/>
                <w:sz w:val="21"/>
                <w:szCs w:val="21"/>
                <w:lang w:val="en-US" w:eastAsia="zh-CN"/>
              </w:rPr>
              <w:t>按要求已完成</w:t>
            </w:r>
          </w:p>
        </w:tc>
      </w:tr>
      <w:tr>
        <w:tblPrEx>
          <w:tblCellMar>
            <w:top w:w="0" w:type="dxa"/>
            <w:left w:w="108" w:type="dxa"/>
            <w:bottom w:w="0" w:type="dxa"/>
            <w:right w:w="108" w:type="dxa"/>
          </w:tblCellMar>
        </w:tblPrEx>
        <w:trPr>
          <w:trHeight w:val="1485" w:hRule="atLeast"/>
          <w:jc w:val="center"/>
        </w:trPr>
        <w:tc>
          <w:tcPr>
            <w:tcW w:w="38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标</w:t>
            </w:r>
          </w:p>
        </w:tc>
        <w:tc>
          <w:tcPr>
            <w:tcW w:w="47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(50分)</w:t>
            </w: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tc>
        <w:tc>
          <w:tcPr>
            <w:tcW w:w="12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2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2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p>
        </w:tc>
        <w:tc>
          <w:tcPr>
            <w:tcW w:w="47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p>
        </w:tc>
        <w:tc>
          <w:tcPr>
            <w:tcW w:w="53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tc>
        <w:tc>
          <w:tcPr>
            <w:tcW w:w="12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村会计报账</w:t>
            </w:r>
            <w:r>
              <w:rPr>
                <w:rFonts w:hint="eastAsia" w:ascii="宋体" w:hAnsi="宋体" w:eastAsia="宋体" w:cs="宋体"/>
                <w:i w:val="0"/>
                <w:iCs w:val="0"/>
                <w:color w:val="000000"/>
                <w:kern w:val="0"/>
                <w:sz w:val="22"/>
                <w:szCs w:val="22"/>
                <w:u w:val="none"/>
                <w:lang w:val="en-US" w:eastAsia="zh-CN" w:bidi="ar"/>
              </w:rPr>
              <w:t>&gt;=</w:t>
            </w:r>
            <w:r>
              <w:rPr>
                <w:rFonts w:hint="eastAsia" w:ascii="宋体" w:hAnsi="宋体" w:cs="宋体"/>
                <w:i w:val="0"/>
                <w:iCs w:val="0"/>
                <w:color w:val="000000"/>
                <w:kern w:val="0"/>
                <w:sz w:val="22"/>
                <w:szCs w:val="22"/>
                <w:u w:val="none"/>
                <w:lang w:val="en-US" w:eastAsia="zh-CN" w:bidi="ar"/>
              </w:rPr>
              <w:t>6村</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9次</w:t>
            </w:r>
          </w:p>
        </w:tc>
        <w:tc>
          <w:tcPr>
            <w:tcW w:w="5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100%</w:t>
            </w:r>
          </w:p>
        </w:tc>
        <w:tc>
          <w:tcPr>
            <w:tcW w:w="2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w:t>
            </w:r>
          </w:p>
        </w:tc>
        <w:tc>
          <w:tcPr>
            <w:tcW w:w="2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329"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p>
        </w:tc>
        <w:tc>
          <w:tcPr>
            <w:tcW w:w="47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p>
        </w:tc>
        <w:tc>
          <w:tcPr>
            <w:tcW w:w="5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18"/>
                <w:szCs w:val="18"/>
              </w:rPr>
            </w:pPr>
          </w:p>
        </w:tc>
        <w:tc>
          <w:tcPr>
            <w:tcW w:w="12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kern w:val="2"/>
                <w:sz w:val="21"/>
                <w:szCs w:val="21"/>
                <w:lang w:val="en-US" w:eastAsia="zh-CN" w:bidi="ar-SA"/>
              </w:rPr>
              <w:t>会计培训</w:t>
            </w:r>
            <w:r>
              <w:rPr>
                <w:rFonts w:hint="eastAsia" w:ascii="宋体" w:hAnsi="宋体" w:eastAsia="宋体" w:cs="宋体"/>
                <w:i w:val="0"/>
                <w:iCs w:val="0"/>
                <w:color w:val="000000"/>
                <w:kern w:val="0"/>
                <w:sz w:val="22"/>
                <w:szCs w:val="22"/>
                <w:u w:val="none"/>
                <w:lang w:val="en-US" w:eastAsia="zh-CN" w:bidi="ar"/>
              </w:rPr>
              <w:t>&gt;=</w:t>
            </w:r>
            <w:r>
              <w:rPr>
                <w:rFonts w:hint="eastAsia" w:ascii="宋体" w:hAnsi="宋体" w:cs="宋体"/>
                <w:i w:val="0"/>
                <w:iCs w:val="0"/>
                <w:color w:val="000000"/>
                <w:kern w:val="0"/>
                <w:sz w:val="22"/>
                <w:szCs w:val="22"/>
                <w:u w:val="none"/>
                <w:lang w:val="en-US" w:eastAsia="zh-CN" w:bidi="ar"/>
              </w:rPr>
              <w:t>4</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4次</w:t>
            </w:r>
          </w:p>
        </w:tc>
        <w:tc>
          <w:tcPr>
            <w:tcW w:w="5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100%</w:t>
            </w:r>
          </w:p>
        </w:tc>
        <w:tc>
          <w:tcPr>
            <w:tcW w:w="2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w:t>
            </w:r>
          </w:p>
        </w:tc>
        <w:tc>
          <w:tcPr>
            <w:tcW w:w="2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78"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p>
        </w:tc>
        <w:tc>
          <w:tcPr>
            <w:tcW w:w="47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p>
        </w:tc>
        <w:tc>
          <w:tcPr>
            <w:tcW w:w="5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18"/>
                <w:szCs w:val="18"/>
              </w:rPr>
            </w:pPr>
          </w:p>
        </w:tc>
        <w:tc>
          <w:tcPr>
            <w:tcW w:w="12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三保工作</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=三保工作%</w:t>
            </w:r>
          </w:p>
        </w:tc>
        <w:tc>
          <w:tcPr>
            <w:tcW w:w="5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100%</w:t>
            </w:r>
          </w:p>
        </w:tc>
        <w:tc>
          <w:tcPr>
            <w:tcW w:w="2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w:t>
            </w:r>
          </w:p>
        </w:tc>
        <w:tc>
          <w:tcPr>
            <w:tcW w:w="2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2"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p>
        </w:tc>
        <w:tc>
          <w:tcPr>
            <w:tcW w:w="47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18"/>
                <w:szCs w:val="18"/>
              </w:rPr>
            </w:pPr>
          </w:p>
        </w:tc>
        <w:tc>
          <w:tcPr>
            <w:tcW w:w="53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质量</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指标</w:t>
            </w:r>
          </w:p>
        </w:tc>
        <w:tc>
          <w:tcPr>
            <w:tcW w:w="12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办公设备利用率</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&gt;=90%</w:t>
            </w:r>
          </w:p>
        </w:tc>
        <w:tc>
          <w:tcPr>
            <w:tcW w:w="5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100%</w:t>
            </w:r>
          </w:p>
        </w:tc>
        <w:tc>
          <w:tcPr>
            <w:tcW w:w="2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21"/>
                <w:szCs w:val="21"/>
                <w:lang w:val="en-US" w:eastAsia="zh-CN" w:bidi="ar-SA"/>
              </w:rPr>
            </w:pPr>
            <w:r>
              <w:rPr>
                <w:rFonts w:hint="eastAsia" w:ascii="新宋体" w:hAnsi="新宋体" w:eastAsia="新宋体" w:cs="新宋体"/>
                <w:i w:val="0"/>
                <w:iCs w:val="0"/>
                <w:color w:val="000000"/>
                <w:sz w:val="21"/>
                <w:szCs w:val="21"/>
                <w:lang w:val="en-US" w:eastAsia="zh-CN"/>
              </w:rPr>
              <w:t>5</w:t>
            </w:r>
          </w:p>
        </w:tc>
        <w:tc>
          <w:tcPr>
            <w:tcW w:w="2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2"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1" w:type="pct"/>
            <w:vMerge w:val="continue"/>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2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考核指标对标对表率</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&gt;=90%</w:t>
            </w:r>
          </w:p>
        </w:tc>
        <w:tc>
          <w:tcPr>
            <w:tcW w:w="5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100%</w:t>
            </w:r>
          </w:p>
        </w:tc>
        <w:tc>
          <w:tcPr>
            <w:tcW w:w="2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i w:val="0"/>
                <w:iCs w:val="0"/>
                <w:color w:val="000000"/>
                <w:kern w:val="2"/>
                <w:sz w:val="21"/>
                <w:szCs w:val="21"/>
                <w:lang w:val="en-US" w:eastAsia="zh-CN" w:bidi="ar-SA"/>
              </w:rPr>
            </w:pPr>
            <w:r>
              <w:rPr>
                <w:rFonts w:hint="eastAsia" w:ascii="新宋体" w:hAnsi="新宋体" w:eastAsia="新宋体" w:cs="新宋体"/>
                <w:i w:val="0"/>
                <w:iCs w:val="0"/>
                <w:color w:val="000000"/>
                <w:sz w:val="21"/>
                <w:szCs w:val="21"/>
                <w:lang w:val="en-US" w:eastAsia="zh-CN"/>
              </w:rPr>
              <w:t>5</w:t>
            </w:r>
          </w:p>
        </w:tc>
        <w:tc>
          <w:tcPr>
            <w:tcW w:w="2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0"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1"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2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完成工作及时率</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&gt;=98%</w:t>
            </w:r>
          </w:p>
        </w:tc>
        <w:tc>
          <w:tcPr>
            <w:tcW w:w="5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100%</w:t>
            </w:r>
          </w:p>
        </w:tc>
        <w:tc>
          <w:tcPr>
            <w:tcW w:w="2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i w:val="0"/>
                <w:iCs w:val="0"/>
                <w:color w:val="000000"/>
                <w:kern w:val="2"/>
                <w:sz w:val="21"/>
                <w:szCs w:val="21"/>
                <w:lang w:val="en-US" w:eastAsia="zh-CN" w:bidi="ar-SA"/>
              </w:rPr>
            </w:pPr>
            <w:r>
              <w:rPr>
                <w:rFonts w:hint="eastAsia" w:ascii="新宋体" w:hAnsi="新宋体" w:eastAsia="新宋体" w:cs="新宋体"/>
                <w:i w:val="0"/>
                <w:iCs w:val="0"/>
                <w:color w:val="000000"/>
                <w:sz w:val="21"/>
                <w:szCs w:val="21"/>
                <w:lang w:val="en-US" w:eastAsia="zh-CN"/>
              </w:rPr>
              <w:t>5</w:t>
            </w:r>
          </w:p>
        </w:tc>
        <w:tc>
          <w:tcPr>
            <w:tcW w:w="2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p>
        </w:tc>
      </w:tr>
      <w:tr>
        <w:tblPrEx>
          <w:tblCellMar>
            <w:top w:w="0" w:type="dxa"/>
            <w:left w:w="108" w:type="dxa"/>
            <w:bottom w:w="0" w:type="dxa"/>
            <w:right w:w="108" w:type="dxa"/>
          </w:tblCellMar>
        </w:tblPrEx>
        <w:trPr>
          <w:trHeight w:val="462"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2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FangSong_GB2312" w:cs="Times New Roman"/>
                <w:color w:val="000000"/>
                <w:kern w:val="0"/>
                <w:sz w:val="21"/>
                <w:szCs w:val="21"/>
                <w:lang w:val="en-US" w:eastAsia="zh-CN" w:bidi="ar-SA"/>
              </w:rPr>
            </w:pPr>
            <w:r>
              <w:rPr>
                <w:rFonts w:hint="eastAsia" w:eastAsia="FangSong_GB2312"/>
                <w:color w:val="000000"/>
                <w:kern w:val="0"/>
                <w:szCs w:val="21"/>
              </w:rPr>
              <w:t>年度内完成</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kern w:val="2"/>
                <w:sz w:val="21"/>
                <w:szCs w:val="21"/>
                <w:lang w:val="en-US" w:eastAsia="zh-CN" w:bidi="ar-SA"/>
              </w:rPr>
            </w:pPr>
            <w:r>
              <w:rPr>
                <w:rFonts w:hint="default" w:eastAsia="FangSong_GB2312"/>
                <w:color w:val="000000"/>
                <w:kern w:val="0"/>
                <w:szCs w:val="21"/>
              </w:rPr>
              <w:t>2022</w:t>
            </w:r>
            <w:r>
              <w:rPr>
                <w:rFonts w:hint="eastAsia" w:eastAsia="FangSong_GB2312"/>
                <w:color w:val="000000"/>
                <w:kern w:val="0"/>
                <w:szCs w:val="21"/>
              </w:rPr>
              <w:t>年完成</w:t>
            </w:r>
          </w:p>
        </w:tc>
        <w:tc>
          <w:tcPr>
            <w:tcW w:w="5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100%</w:t>
            </w:r>
          </w:p>
        </w:tc>
        <w:tc>
          <w:tcPr>
            <w:tcW w:w="2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　</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　</w:t>
            </w:r>
          </w:p>
        </w:tc>
        <w:tc>
          <w:tcPr>
            <w:tcW w:w="2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2"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1"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2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基本支出</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119.46万元　</w:t>
            </w:r>
          </w:p>
        </w:tc>
        <w:tc>
          <w:tcPr>
            <w:tcW w:w="5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i w:val="0"/>
                <w:iCs w:val="0"/>
                <w:color w:val="000000"/>
                <w:kern w:val="2"/>
                <w:sz w:val="21"/>
                <w:szCs w:val="21"/>
                <w:lang w:val="en-US" w:eastAsia="zh-CN" w:bidi="ar-SA"/>
              </w:rPr>
            </w:pPr>
            <w:r>
              <w:rPr>
                <w:rFonts w:hint="eastAsia" w:ascii="新宋体" w:hAnsi="新宋体" w:eastAsia="新宋体" w:cs="新宋体"/>
                <w:i w:val="0"/>
                <w:iCs w:val="0"/>
                <w:color w:val="000000"/>
                <w:sz w:val="21"/>
                <w:szCs w:val="21"/>
                <w:lang w:val="en-US" w:eastAsia="zh-CN"/>
              </w:rPr>
              <w:t>100%　</w:t>
            </w:r>
          </w:p>
        </w:tc>
        <w:tc>
          <w:tcPr>
            <w:tcW w:w="2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21"/>
                <w:szCs w:val="21"/>
                <w:lang w:val="en-US" w:eastAsia="zh-CN" w:bidi="ar-SA"/>
              </w:rPr>
            </w:pPr>
            <w:r>
              <w:rPr>
                <w:rFonts w:hint="eastAsia" w:ascii="新宋体" w:hAnsi="新宋体" w:eastAsia="新宋体" w:cs="新宋体"/>
                <w:i w:val="0"/>
                <w:iCs w:val="0"/>
                <w:color w:val="000000"/>
                <w:sz w:val="21"/>
                <w:szCs w:val="21"/>
                <w:lang w:val="en-US" w:eastAsia="zh-CN"/>
              </w:rPr>
              <w:t>5　</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i w:val="0"/>
                <w:iCs w:val="0"/>
                <w:color w:val="000000"/>
                <w:kern w:val="2"/>
                <w:sz w:val="21"/>
                <w:szCs w:val="21"/>
                <w:lang w:val="en-US" w:eastAsia="zh-CN" w:bidi="ar-SA"/>
              </w:rPr>
            </w:pPr>
            <w:r>
              <w:rPr>
                <w:rFonts w:hint="eastAsia" w:ascii="新宋体" w:hAnsi="新宋体" w:eastAsia="新宋体" w:cs="新宋体"/>
                <w:i w:val="0"/>
                <w:iCs w:val="0"/>
                <w:color w:val="000000"/>
                <w:sz w:val="21"/>
                <w:szCs w:val="21"/>
                <w:lang w:val="en-US" w:eastAsia="zh-CN"/>
              </w:rPr>
              <w:t>5　</w:t>
            </w:r>
          </w:p>
        </w:tc>
        <w:tc>
          <w:tcPr>
            <w:tcW w:w="2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2"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1"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2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项目支出</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29.00万元</w:t>
            </w:r>
          </w:p>
        </w:tc>
        <w:tc>
          <w:tcPr>
            <w:tcW w:w="5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100%</w:t>
            </w:r>
          </w:p>
        </w:tc>
        <w:tc>
          <w:tcPr>
            <w:tcW w:w="2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w:t>
            </w:r>
          </w:p>
        </w:tc>
        <w:tc>
          <w:tcPr>
            <w:tcW w:w="2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p>
        </w:tc>
      </w:tr>
      <w:tr>
        <w:tblPrEx>
          <w:tblCellMar>
            <w:top w:w="0" w:type="dxa"/>
            <w:left w:w="108" w:type="dxa"/>
            <w:bottom w:w="0" w:type="dxa"/>
            <w:right w:w="108" w:type="dxa"/>
          </w:tblCellMar>
        </w:tblPrEx>
        <w:trPr>
          <w:trHeight w:val="2682" w:hRule="atLeast"/>
          <w:jc w:val="center"/>
        </w:trPr>
        <w:tc>
          <w:tcPr>
            <w:tcW w:w="380"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2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指标</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指标值</w:t>
            </w:r>
          </w:p>
        </w:tc>
        <w:tc>
          <w:tcPr>
            <w:tcW w:w="5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完成值</w:t>
            </w:r>
          </w:p>
        </w:tc>
        <w:tc>
          <w:tcPr>
            <w:tcW w:w="2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分值</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得分</w:t>
            </w:r>
          </w:p>
        </w:tc>
        <w:tc>
          <w:tcPr>
            <w:tcW w:w="2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偏差原因分析及改进措施</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2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新宋体" w:hAnsi="新宋体" w:eastAsia="新宋体" w:cs="新宋体"/>
                <w:i w:val="0"/>
                <w:iCs w:val="0"/>
                <w:color w:val="000000"/>
                <w:sz w:val="21"/>
                <w:szCs w:val="21"/>
                <w:lang w:val="en-US" w:eastAsia="zh-CN"/>
              </w:rPr>
            </w:pPr>
            <w:r>
              <w:rPr>
                <w:rFonts w:hint="eastAsia" w:eastAsia="FangSong_GB2312"/>
                <w:color w:val="000000"/>
                <w:kern w:val="0"/>
                <w:szCs w:val="21"/>
              </w:rPr>
              <w:t>助推</w:t>
            </w:r>
            <w:r>
              <w:rPr>
                <w:rFonts w:hint="eastAsia" w:eastAsia="FangSong_GB2312"/>
                <w:color w:val="000000"/>
                <w:kern w:val="0"/>
                <w:szCs w:val="21"/>
                <w:lang w:eastAsia="zh-CN"/>
              </w:rPr>
              <w:t>插旗</w:t>
            </w:r>
            <w:r>
              <w:rPr>
                <w:rFonts w:hint="eastAsia" w:eastAsia="FangSong_GB2312"/>
                <w:color w:val="000000"/>
                <w:kern w:val="0"/>
                <w:szCs w:val="21"/>
              </w:rPr>
              <w:t>经济发展</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新宋体" w:hAnsi="新宋体" w:eastAsia="新宋体" w:cs="新宋体"/>
                <w:i w:val="0"/>
                <w:iCs w:val="0"/>
                <w:color w:val="000000"/>
                <w:sz w:val="21"/>
                <w:szCs w:val="21"/>
                <w:lang w:val="en-US" w:eastAsia="zh-CN"/>
              </w:rPr>
            </w:pPr>
            <w:r>
              <w:rPr>
                <w:rFonts w:hint="eastAsia" w:eastAsia="FangSong_GB2312"/>
                <w:color w:val="000000"/>
                <w:kern w:val="0"/>
                <w:szCs w:val="21"/>
              </w:rPr>
              <w:t>效果明显</w:t>
            </w:r>
          </w:p>
        </w:tc>
        <w:tc>
          <w:tcPr>
            <w:tcW w:w="5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新宋体" w:hAnsi="新宋体" w:eastAsia="新宋体" w:cs="新宋体"/>
                <w:i w:val="0"/>
                <w:iCs w:val="0"/>
                <w:color w:val="000000"/>
                <w:sz w:val="21"/>
                <w:szCs w:val="21"/>
                <w:lang w:val="en-US" w:eastAsia="zh-CN"/>
              </w:rPr>
            </w:pPr>
            <w:r>
              <w:rPr>
                <w:rFonts w:hint="eastAsia" w:eastAsia="FangSong_GB2312"/>
                <w:color w:val="000000"/>
                <w:kern w:val="0"/>
                <w:szCs w:val="21"/>
              </w:rPr>
              <w:t>效果明显</w:t>
            </w:r>
          </w:p>
        </w:tc>
        <w:tc>
          <w:tcPr>
            <w:tcW w:w="2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　</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　</w:t>
            </w:r>
          </w:p>
        </w:tc>
        <w:tc>
          <w:tcPr>
            <w:tcW w:w="2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1347"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220"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新宋体" w:hAnsi="新宋体" w:eastAsia="新宋体" w:cs="新宋体"/>
                <w:i w:val="0"/>
                <w:iCs w:val="0"/>
                <w:color w:val="000000"/>
                <w:sz w:val="21"/>
                <w:szCs w:val="21"/>
                <w:lang w:val="en-US" w:eastAsia="zh-CN"/>
              </w:rPr>
            </w:pPr>
            <w:r>
              <w:rPr>
                <w:rFonts w:hint="eastAsia" w:eastAsia="FangSong_GB2312"/>
                <w:color w:val="000000"/>
                <w:kern w:val="0"/>
                <w:szCs w:val="21"/>
              </w:rPr>
              <w:t>做好“三保”工作，维护</w:t>
            </w:r>
            <w:r>
              <w:rPr>
                <w:rFonts w:hint="eastAsia" w:eastAsia="FangSong_GB2312"/>
                <w:color w:val="000000"/>
                <w:kern w:val="0"/>
                <w:szCs w:val="21"/>
                <w:lang w:eastAsia="zh-CN"/>
              </w:rPr>
              <w:t>插旗</w:t>
            </w:r>
            <w:r>
              <w:rPr>
                <w:rFonts w:hint="eastAsia" w:eastAsia="FangSong_GB2312"/>
                <w:color w:val="000000"/>
                <w:kern w:val="0"/>
                <w:szCs w:val="21"/>
              </w:rPr>
              <w:t>经济社会发展大局稳定。</w:t>
            </w:r>
          </w:p>
        </w:tc>
        <w:tc>
          <w:tcPr>
            <w:tcW w:w="735"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新宋体" w:hAnsi="新宋体" w:eastAsia="新宋体" w:cs="新宋体"/>
                <w:i w:val="0"/>
                <w:iCs w:val="0"/>
                <w:color w:val="000000"/>
                <w:sz w:val="21"/>
                <w:szCs w:val="21"/>
                <w:lang w:val="en-US" w:eastAsia="zh-CN"/>
              </w:rPr>
            </w:pPr>
            <w:r>
              <w:rPr>
                <w:rFonts w:hint="eastAsia" w:eastAsia="FangSong_GB2312"/>
                <w:color w:val="000000"/>
                <w:kern w:val="0"/>
                <w:szCs w:val="21"/>
              </w:rPr>
              <w:t>做好“三保”工作，维护</w:t>
            </w:r>
            <w:r>
              <w:rPr>
                <w:rFonts w:hint="eastAsia" w:eastAsia="FangSong_GB2312"/>
                <w:color w:val="000000"/>
                <w:kern w:val="0"/>
                <w:szCs w:val="21"/>
                <w:lang w:eastAsia="zh-CN"/>
              </w:rPr>
              <w:t>插旗</w:t>
            </w:r>
            <w:r>
              <w:rPr>
                <w:rFonts w:hint="eastAsia" w:eastAsia="FangSong_GB2312"/>
                <w:color w:val="000000"/>
                <w:kern w:val="0"/>
                <w:szCs w:val="21"/>
              </w:rPr>
              <w:t>经济社会发展大局稳定。</w:t>
            </w:r>
          </w:p>
        </w:tc>
        <w:tc>
          <w:tcPr>
            <w:tcW w:w="5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100%</w:t>
            </w:r>
          </w:p>
        </w:tc>
        <w:tc>
          <w:tcPr>
            <w:tcW w:w="2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　</w:t>
            </w:r>
          </w:p>
        </w:tc>
        <w:tc>
          <w:tcPr>
            <w:tcW w:w="57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　</w:t>
            </w:r>
          </w:p>
        </w:tc>
        <w:tc>
          <w:tcPr>
            <w:tcW w:w="27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22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人居环境得到改善</w:t>
            </w:r>
          </w:p>
        </w:tc>
        <w:tc>
          <w:tcPr>
            <w:tcW w:w="73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=人居环境得到改善%　</w:t>
            </w:r>
          </w:p>
        </w:tc>
        <w:tc>
          <w:tcPr>
            <w:tcW w:w="5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100%　</w:t>
            </w:r>
          </w:p>
        </w:tc>
        <w:tc>
          <w:tcPr>
            <w:tcW w:w="2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　</w:t>
            </w:r>
          </w:p>
        </w:tc>
        <w:tc>
          <w:tcPr>
            <w:tcW w:w="57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　</w:t>
            </w:r>
          </w:p>
        </w:tc>
        <w:tc>
          <w:tcPr>
            <w:tcW w:w="27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12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全镇经济发展</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=促进全镇经济发展%</w:t>
            </w:r>
          </w:p>
        </w:tc>
        <w:tc>
          <w:tcPr>
            <w:tcW w:w="5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全镇经济发展</w:t>
            </w:r>
          </w:p>
        </w:tc>
        <w:tc>
          <w:tcPr>
            <w:tcW w:w="2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　</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　</w:t>
            </w:r>
          </w:p>
        </w:tc>
        <w:tc>
          <w:tcPr>
            <w:tcW w:w="2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531" w:type="pct"/>
            <w:tcBorders>
              <w:top w:val="single" w:color="auto" w:sz="4" w:space="0"/>
              <w:left w:val="nil"/>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sz w:val="21"/>
                <w:szCs w:val="21"/>
              </w:rPr>
            </w:pPr>
            <w:r>
              <w:rPr>
                <w:rFonts w:hint="eastAsia" w:ascii="宋体" w:hAnsi="宋体" w:eastAsia="宋体" w:cs="宋体"/>
                <w:i w:val="0"/>
                <w:iCs w:val="0"/>
                <w:color w:val="000000"/>
                <w:kern w:val="0"/>
                <w:sz w:val="22"/>
                <w:szCs w:val="22"/>
                <w:u w:val="none"/>
                <w:lang w:val="en-US" w:eastAsia="zh-CN" w:bidi="ar"/>
              </w:rPr>
              <w:t>社会公众满意度</w:t>
            </w:r>
          </w:p>
        </w:tc>
        <w:tc>
          <w:tcPr>
            <w:tcW w:w="1220"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&gt;=95%</w:t>
            </w:r>
          </w:p>
        </w:tc>
        <w:tc>
          <w:tcPr>
            <w:tcW w:w="73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c>
          <w:tcPr>
            <w:tcW w:w="5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90%　</w:t>
            </w:r>
          </w:p>
        </w:tc>
        <w:tc>
          <w:tcPr>
            <w:tcW w:w="2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　</w:t>
            </w:r>
          </w:p>
        </w:tc>
        <w:tc>
          <w:tcPr>
            <w:tcW w:w="57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8　</w:t>
            </w:r>
          </w:p>
        </w:tc>
        <w:tc>
          <w:tcPr>
            <w:tcW w:w="27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89" w:hRule="atLeast"/>
          <w:jc w:val="center"/>
        </w:trPr>
        <w:tc>
          <w:tcPr>
            <w:tcW w:w="3860"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2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7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27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10"/>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高帆</w:t>
      </w:r>
      <w:r>
        <w:rPr>
          <w:rFonts w:hint="eastAsia" w:eastAsia="仿宋_GB2312" w:cs="Times New Roman"/>
          <w:sz w:val="22"/>
          <w:szCs w:val="22"/>
          <w:lang w:val="en-US" w:eastAsia="zh-CN"/>
        </w:rPr>
        <w:t xml:space="preserve">  </w:t>
      </w:r>
      <w:r>
        <w:rPr>
          <w:rFonts w:hint="default" w:ascii="Times New Roman" w:hAnsi="Times New Roman" w:eastAsia="仿宋_GB2312" w:cs="Times New Roman"/>
          <w:sz w:val="22"/>
          <w:szCs w:val="22"/>
        </w:rPr>
        <w:t>填报日期：</w:t>
      </w:r>
      <w:r>
        <w:rPr>
          <w:rFonts w:hint="eastAsia" w:eastAsia="仿宋_GB2312" w:cs="Times New Roman"/>
          <w:sz w:val="22"/>
          <w:szCs w:val="22"/>
          <w:lang w:val="en-US" w:eastAsia="zh-CN"/>
        </w:rPr>
        <w:t>2023.7.11</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13975803806</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华容县插旗镇财政所</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华容县插旗镇财政所：</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11</w:t>
      </w:r>
      <w:r>
        <w:rPr>
          <w:rFonts w:hint="default" w:ascii="Times New Roman" w:hAnsi="Times New Roman" w:eastAsia="楷体_GB2312" w:cs="Times New Roman"/>
          <w:sz w:val="32"/>
          <w:szCs w:val="32"/>
        </w:rPr>
        <w:t>日</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华容县插旗镇财政所</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spacing w:line="540" w:lineRule="exact"/>
        <w:ind w:firstLine="640" w:firstLineChars="200"/>
        <w:rPr>
          <w:rFonts w:hint="default" w:ascii="Times New Roman" w:hAnsi="Times New Roman" w:eastAsia="仿宋_GB2312" w:cs="Times New Roman"/>
          <w:sz w:val="32"/>
          <w:szCs w:val="32"/>
        </w:rPr>
      </w:pPr>
      <w:r>
        <w:rPr>
          <w:rFonts w:hint="eastAsia" w:ascii="仿宋" w:hAnsi="仿宋" w:eastAsia="仿宋" w:cs="仿宋"/>
          <w:sz w:val="32"/>
          <w:szCs w:val="32"/>
        </w:rPr>
        <w:t>根据《华容县财政局关于开展202</w:t>
      </w:r>
      <w:r>
        <w:rPr>
          <w:rFonts w:hint="eastAsia" w:ascii="仿宋" w:hAnsi="仿宋" w:eastAsia="仿宋" w:cs="仿宋"/>
          <w:sz w:val="32"/>
          <w:szCs w:val="32"/>
          <w:lang w:val="en-US" w:eastAsia="zh-CN"/>
        </w:rPr>
        <w:t>2</w:t>
      </w:r>
      <w:r>
        <w:rPr>
          <w:rFonts w:hint="eastAsia" w:ascii="仿宋" w:hAnsi="仿宋" w:eastAsia="仿宋" w:cs="仿宋"/>
          <w:sz w:val="32"/>
          <w:szCs w:val="32"/>
        </w:rPr>
        <w:t>年度部门整体支出绩效自评工作的通知》（华财函〔202</w:t>
      </w:r>
      <w:r>
        <w:rPr>
          <w:rFonts w:hint="eastAsia" w:ascii="仿宋" w:hAnsi="仿宋" w:eastAsia="仿宋" w:cs="仿宋"/>
          <w:sz w:val="32"/>
          <w:szCs w:val="32"/>
          <w:lang w:val="en-US" w:eastAsia="zh-CN"/>
        </w:rPr>
        <w:t>3</w:t>
      </w:r>
      <w:r>
        <w:rPr>
          <w:rFonts w:hint="eastAsia" w:ascii="仿宋" w:hAnsi="仿宋" w:eastAsia="仿宋" w:cs="仿宋"/>
          <w:sz w:val="32"/>
          <w:szCs w:val="32"/>
        </w:rPr>
        <w:t>〕</w:t>
      </w:r>
      <w:r>
        <w:rPr>
          <w:rFonts w:hint="eastAsia" w:ascii="仿宋" w:hAnsi="仿宋" w:eastAsia="仿宋" w:cs="仿宋"/>
          <w:sz w:val="32"/>
          <w:szCs w:val="32"/>
          <w:lang w:val="en-US" w:eastAsia="zh-CN"/>
        </w:rPr>
        <w:t>63</w:t>
      </w:r>
      <w:r>
        <w:rPr>
          <w:rFonts w:hint="eastAsia" w:ascii="仿宋" w:hAnsi="仿宋" w:eastAsia="仿宋" w:cs="仿宋"/>
          <w:sz w:val="32"/>
          <w:szCs w:val="32"/>
        </w:rPr>
        <w:t>号）的相关规定和要求，现对我</w:t>
      </w:r>
      <w:r>
        <w:rPr>
          <w:rFonts w:hint="eastAsia" w:ascii="仿宋" w:hAnsi="仿宋" w:eastAsia="仿宋" w:cs="仿宋"/>
          <w:sz w:val="32"/>
          <w:szCs w:val="32"/>
          <w:lang w:eastAsia="zh-CN"/>
        </w:rPr>
        <w:t>部门</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年度整体支出开展绩效自评，现将情况汇报如下：</w:t>
      </w: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spacing w:line="560" w:lineRule="exact"/>
        <w:ind w:firstLine="420" w:firstLineChars="200"/>
        <w:rPr>
          <w:rFonts w:ascii="仿宋" w:hAnsi="仿宋" w:eastAsia="仿宋" w:cs="仿宋"/>
          <w:bCs/>
          <w:sz w:val="32"/>
          <w:szCs w:val="32"/>
        </w:rPr>
      </w:pPr>
      <w:r>
        <w:rPr>
          <w:rFonts w:hint="eastAsia"/>
          <w:lang w:val="en-US" w:eastAsia="zh-CN"/>
        </w:rPr>
        <w:t xml:space="preserve">  </w:t>
      </w:r>
      <w:r>
        <w:rPr>
          <w:rFonts w:hint="eastAsia" w:ascii="仿宋" w:hAnsi="仿宋" w:eastAsia="仿宋" w:cs="仿宋"/>
          <w:bCs/>
          <w:sz w:val="32"/>
          <w:szCs w:val="32"/>
        </w:rPr>
        <w:t>（一）部门基本情况</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lang w:eastAsia="zh-CN"/>
        </w:rPr>
        <w:t>华容县插旗镇人民财政所</w:t>
      </w:r>
      <w:r>
        <w:rPr>
          <w:rFonts w:hint="eastAsia" w:ascii="仿宋" w:hAnsi="仿宋" w:eastAsia="仿宋" w:cs="仿宋"/>
          <w:sz w:val="32"/>
          <w:szCs w:val="32"/>
        </w:rPr>
        <w:t>共有</w:t>
      </w:r>
      <w:r>
        <w:rPr>
          <w:rFonts w:hint="eastAsia" w:ascii="仿宋" w:hAnsi="仿宋" w:eastAsia="仿宋" w:cs="仿宋"/>
          <w:sz w:val="32"/>
          <w:szCs w:val="32"/>
          <w:lang w:eastAsia="zh-CN"/>
        </w:rPr>
        <w:t>财政所</w:t>
      </w:r>
      <w:r>
        <w:rPr>
          <w:rFonts w:hint="eastAsia" w:ascii="仿宋" w:hAnsi="仿宋" w:eastAsia="仿宋" w:cs="仿宋"/>
          <w:sz w:val="32"/>
          <w:szCs w:val="32"/>
          <w:lang w:val="en-US" w:eastAsia="zh-CN"/>
        </w:rPr>
        <w:t>1</w:t>
      </w:r>
      <w:r>
        <w:rPr>
          <w:rFonts w:hint="eastAsia" w:ascii="仿宋" w:hAnsi="仿宋" w:eastAsia="仿宋" w:cs="仿宋"/>
          <w:sz w:val="32"/>
          <w:szCs w:val="32"/>
        </w:rPr>
        <w:t>个独立核算工作机构。现有人员编制</w:t>
      </w:r>
      <w:r>
        <w:rPr>
          <w:rFonts w:hint="eastAsia" w:ascii="仿宋" w:hAnsi="仿宋" w:eastAsia="仿宋" w:cs="仿宋"/>
          <w:sz w:val="32"/>
          <w:szCs w:val="32"/>
          <w:lang w:val="en-US" w:eastAsia="zh-CN"/>
        </w:rPr>
        <w:t>5</w:t>
      </w:r>
      <w:r>
        <w:rPr>
          <w:rFonts w:hint="eastAsia" w:ascii="仿宋" w:hAnsi="仿宋" w:eastAsia="仿宋" w:cs="仿宋"/>
          <w:sz w:val="32"/>
          <w:szCs w:val="32"/>
        </w:rPr>
        <w:t>名（其中：行政编制</w:t>
      </w:r>
      <w:r>
        <w:rPr>
          <w:rFonts w:hint="eastAsia" w:ascii="仿宋" w:hAnsi="仿宋" w:eastAsia="仿宋" w:cs="仿宋"/>
          <w:sz w:val="32"/>
          <w:szCs w:val="32"/>
          <w:lang w:val="en-US" w:eastAsia="zh-CN"/>
        </w:rPr>
        <w:t>1</w:t>
      </w:r>
      <w:r>
        <w:rPr>
          <w:rFonts w:hint="eastAsia" w:ascii="仿宋" w:hAnsi="仿宋" w:eastAsia="仿宋" w:cs="仿宋"/>
          <w:sz w:val="32"/>
          <w:szCs w:val="32"/>
        </w:rPr>
        <w:t>名，事业全额编制</w:t>
      </w:r>
      <w:r>
        <w:rPr>
          <w:rFonts w:hint="eastAsia" w:ascii="仿宋" w:hAnsi="仿宋" w:eastAsia="仿宋" w:cs="仿宋"/>
          <w:sz w:val="32"/>
          <w:szCs w:val="32"/>
          <w:lang w:val="en-US" w:eastAsia="zh-CN"/>
        </w:rPr>
        <w:t>4</w:t>
      </w:r>
      <w:r>
        <w:rPr>
          <w:rFonts w:hint="eastAsia" w:ascii="仿宋" w:hAnsi="仿宋" w:eastAsia="仿宋" w:cs="仿宋"/>
          <w:sz w:val="32"/>
          <w:szCs w:val="32"/>
        </w:rPr>
        <w:t>名），实有在职干部、职工</w:t>
      </w:r>
      <w:r>
        <w:rPr>
          <w:rFonts w:hint="eastAsia" w:ascii="仿宋" w:hAnsi="仿宋" w:eastAsia="仿宋" w:cs="仿宋"/>
          <w:sz w:val="32"/>
          <w:szCs w:val="32"/>
          <w:lang w:val="en-US" w:eastAsia="zh-CN"/>
        </w:rPr>
        <w:t>5</w:t>
      </w:r>
      <w:r>
        <w:rPr>
          <w:rFonts w:hint="eastAsia" w:ascii="仿宋" w:hAnsi="仿宋" w:eastAsia="仿宋" w:cs="仿宋"/>
          <w:sz w:val="32"/>
          <w:szCs w:val="32"/>
        </w:rPr>
        <w:t>人。</w:t>
      </w:r>
    </w:p>
    <w:p>
      <w:pPr>
        <w:numPr>
          <w:ilvl w:val="0"/>
          <w:numId w:val="0"/>
        </w:numPr>
        <w:spacing w:line="560" w:lineRule="exact"/>
        <w:ind w:left="210" w:leftChars="0"/>
        <w:rPr>
          <w:rFonts w:ascii="仿宋" w:hAnsi="仿宋" w:eastAsia="仿宋" w:cs="仿宋"/>
          <w:bCs/>
          <w:sz w:val="32"/>
          <w:szCs w:val="32"/>
        </w:rPr>
      </w:pPr>
      <w:r>
        <w:rPr>
          <w:rFonts w:hint="eastAsia" w:ascii="仿宋" w:hAnsi="仿宋" w:eastAsia="仿宋" w:cs="仿宋"/>
          <w:bCs/>
          <w:sz w:val="32"/>
          <w:szCs w:val="32"/>
          <w:lang w:val="en-US" w:eastAsia="zh-CN"/>
        </w:rPr>
        <w:t xml:space="preserve">   （二）</w:t>
      </w:r>
      <w:r>
        <w:rPr>
          <w:rFonts w:hint="eastAsia" w:ascii="仿宋" w:hAnsi="仿宋" w:eastAsia="仿宋" w:cs="仿宋"/>
          <w:bCs/>
          <w:sz w:val="32"/>
          <w:szCs w:val="32"/>
        </w:rPr>
        <w:t>部门整体支出规模、使用方向和主要内容、涉及范围等</w:t>
      </w:r>
    </w:p>
    <w:p>
      <w:pPr>
        <w:spacing w:line="56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2022年，县财政下达我单位预算总收入148.46万元，其中：一般公共预算财政拨款收入119.46万元，政府性基金预算财政拨款收入29.00万元；预算总支出148.46万元；年末无结余，预算收支平衡。预算拨款总额比2021年增加64.46万元，增加加的主要原因人员的工资的调整及项目的增加，其中工资福利支出46.56万元，一般商品和服务支出34.60万元，对个人和家庭的补助38.30万元，项目资金29.00万元。资金主要用于：</w:t>
      </w:r>
      <w:r>
        <w:rPr>
          <w:rFonts w:hint="eastAsia" w:ascii="仿宋" w:hAnsi="仿宋" w:eastAsia="仿宋" w:cs="仿宋"/>
          <w:sz w:val="32"/>
          <w:szCs w:val="32"/>
          <w:lang w:eastAsia="zh-CN"/>
        </w:rPr>
        <w:t>人员经费和机关的公用经费支出及彩票公益、社会就业项目的支出。</w:t>
      </w:r>
    </w:p>
    <w:p>
      <w:pPr>
        <w:pStyle w:val="20"/>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基本支出情况</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b/>
          <w:bCs/>
          <w:sz w:val="32"/>
          <w:szCs w:val="32"/>
        </w:rPr>
        <w:t>收入情况</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年预算总收入</w:t>
      </w:r>
      <w:r>
        <w:rPr>
          <w:rFonts w:hint="eastAsia" w:ascii="仿宋" w:hAnsi="仿宋" w:eastAsia="仿宋" w:cs="仿宋"/>
          <w:sz w:val="32"/>
          <w:szCs w:val="32"/>
          <w:lang w:val="en-US" w:eastAsia="zh-CN"/>
        </w:rPr>
        <w:t>119.46</w:t>
      </w:r>
      <w:r>
        <w:rPr>
          <w:rFonts w:hint="eastAsia" w:ascii="仿宋" w:hAnsi="仿宋" w:eastAsia="仿宋" w:cs="仿宋"/>
          <w:sz w:val="32"/>
          <w:szCs w:val="32"/>
        </w:rPr>
        <w:t>万元。其中：经费拨款</w:t>
      </w:r>
      <w:r>
        <w:rPr>
          <w:rFonts w:hint="eastAsia" w:ascii="仿宋" w:hAnsi="仿宋" w:eastAsia="仿宋" w:cs="仿宋"/>
          <w:sz w:val="32"/>
          <w:szCs w:val="32"/>
          <w:lang w:val="en-US" w:eastAsia="zh-CN"/>
        </w:rPr>
        <w:t>119.46</w:t>
      </w:r>
      <w:r>
        <w:rPr>
          <w:rFonts w:hint="eastAsia" w:ascii="仿宋" w:hAnsi="仿宋" w:eastAsia="仿宋" w:cs="仿宋"/>
          <w:sz w:val="32"/>
          <w:szCs w:val="32"/>
        </w:rPr>
        <w:t>万元。预算总支出</w:t>
      </w:r>
      <w:r>
        <w:rPr>
          <w:rFonts w:hint="eastAsia" w:ascii="仿宋" w:hAnsi="仿宋" w:eastAsia="仿宋" w:cs="仿宋"/>
          <w:sz w:val="32"/>
          <w:szCs w:val="32"/>
          <w:lang w:val="en-US" w:eastAsia="zh-CN"/>
        </w:rPr>
        <w:t>119.46</w:t>
      </w:r>
      <w:r>
        <w:rPr>
          <w:rFonts w:hint="eastAsia" w:ascii="仿宋" w:hAnsi="仿宋" w:eastAsia="仿宋" w:cs="仿宋"/>
          <w:sz w:val="32"/>
          <w:szCs w:val="32"/>
        </w:rPr>
        <w:t>万元。预算收支平衡。</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b/>
          <w:bCs/>
          <w:sz w:val="32"/>
          <w:szCs w:val="32"/>
        </w:rPr>
        <w:t>支出情况</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年预算总支出</w:t>
      </w:r>
      <w:r>
        <w:rPr>
          <w:rFonts w:hint="eastAsia" w:ascii="仿宋" w:hAnsi="仿宋" w:eastAsia="仿宋" w:cs="仿宋"/>
          <w:sz w:val="32"/>
          <w:szCs w:val="32"/>
          <w:lang w:val="en-US" w:eastAsia="zh-CN"/>
        </w:rPr>
        <w:t>119.46</w:t>
      </w:r>
      <w:r>
        <w:rPr>
          <w:rFonts w:hint="eastAsia" w:ascii="仿宋" w:hAnsi="仿宋" w:eastAsia="仿宋" w:cs="仿宋"/>
          <w:sz w:val="32"/>
          <w:szCs w:val="32"/>
        </w:rPr>
        <w:t>万元。其中：</w:t>
      </w:r>
      <w:r>
        <w:rPr>
          <w:rFonts w:hint="eastAsia" w:ascii="仿宋" w:hAnsi="仿宋" w:eastAsia="仿宋" w:cs="仿宋"/>
          <w:sz w:val="32"/>
          <w:szCs w:val="32"/>
          <w:lang w:val="en-US" w:eastAsia="zh-CN"/>
        </w:rPr>
        <w:t>工资福利支出46.56万元，一般商品和服务支出34.60万元，对个人和家庭的补助38.30万元</w:t>
      </w:r>
      <w:r>
        <w:rPr>
          <w:rFonts w:hint="eastAsia" w:ascii="仿宋" w:hAnsi="仿宋" w:eastAsia="仿宋" w:cs="仿宋"/>
          <w:sz w:val="32"/>
          <w:szCs w:val="32"/>
        </w:rPr>
        <w:t>。</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b/>
          <w:bCs/>
          <w:sz w:val="32"/>
          <w:szCs w:val="32"/>
        </w:rPr>
        <w:t>“三公经费”支出情况分析</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eastAsia="zh-CN"/>
        </w:rPr>
        <w:t>华容县插旗镇财政所</w:t>
      </w:r>
      <w:r>
        <w:rPr>
          <w:rFonts w:hint="eastAsia" w:ascii="仿宋" w:hAnsi="仿宋" w:eastAsia="仿宋" w:cs="仿宋"/>
          <w:sz w:val="32"/>
          <w:szCs w:val="32"/>
        </w:rPr>
        <w:t>“三公经费”实际开支</w:t>
      </w:r>
      <w:r>
        <w:rPr>
          <w:rFonts w:hint="eastAsia" w:ascii="仿宋" w:hAnsi="仿宋" w:eastAsia="仿宋" w:cs="仿宋"/>
          <w:sz w:val="32"/>
          <w:szCs w:val="32"/>
          <w:lang w:val="en-US" w:eastAsia="zh-CN"/>
        </w:rPr>
        <w:t>0.87</w:t>
      </w:r>
      <w:r>
        <w:rPr>
          <w:rFonts w:hint="eastAsia" w:ascii="仿宋" w:hAnsi="仿宋" w:eastAsia="仿宋" w:cs="仿宋"/>
          <w:sz w:val="32"/>
          <w:szCs w:val="32"/>
        </w:rPr>
        <w:t>万元。其中公务接待费</w:t>
      </w:r>
      <w:r>
        <w:rPr>
          <w:rFonts w:hint="eastAsia" w:ascii="仿宋" w:hAnsi="仿宋" w:eastAsia="仿宋" w:cs="仿宋"/>
          <w:sz w:val="32"/>
          <w:szCs w:val="32"/>
          <w:lang w:val="en-US" w:eastAsia="zh-CN"/>
        </w:rPr>
        <w:t>0.87</w:t>
      </w:r>
      <w:r>
        <w:rPr>
          <w:rFonts w:hint="eastAsia" w:ascii="仿宋" w:hAnsi="仿宋" w:eastAsia="仿宋" w:cs="仿宋"/>
          <w:sz w:val="32"/>
          <w:szCs w:val="32"/>
        </w:rPr>
        <w:t>万元。</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b/>
          <w:bCs/>
          <w:sz w:val="32"/>
          <w:szCs w:val="32"/>
        </w:rPr>
        <w:t>固定资产管理情况分析</w:t>
      </w:r>
      <w:r>
        <w:rPr>
          <w:rFonts w:hint="eastAsia" w:ascii="仿宋" w:hAnsi="仿宋" w:eastAsia="仿宋" w:cs="仿宋"/>
          <w:sz w:val="32"/>
          <w:szCs w:val="32"/>
        </w:rPr>
        <w:t>：按照例行节约，物尽其用的原则，</w:t>
      </w:r>
      <w:r>
        <w:rPr>
          <w:rFonts w:hint="eastAsia" w:ascii="仿宋" w:hAnsi="仿宋" w:eastAsia="仿宋" w:cs="仿宋"/>
          <w:sz w:val="32"/>
          <w:szCs w:val="32"/>
          <w:lang w:eastAsia="zh-CN"/>
        </w:rPr>
        <w:t>华容县插旗镇财政所</w:t>
      </w:r>
      <w:r>
        <w:rPr>
          <w:rFonts w:hint="eastAsia" w:ascii="仿宋" w:hAnsi="仿宋" w:eastAsia="仿宋" w:cs="仿宋"/>
          <w:sz w:val="32"/>
          <w:szCs w:val="32"/>
        </w:rPr>
        <w:t>资产管理采取统一建账，统一核算管理，对每件固定资产使用明确保管职责，闲置的资产，由办公室统一调整，合理流动，发挥其效益；至202</w:t>
      </w:r>
      <w:r>
        <w:rPr>
          <w:rFonts w:hint="eastAsia" w:ascii="仿宋" w:hAnsi="仿宋" w:eastAsia="仿宋" w:cs="仿宋"/>
          <w:sz w:val="32"/>
          <w:szCs w:val="32"/>
          <w:lang w:val="en-US" w:eastAsia="zh-CN"/>
        </w:rPr>
        <w:t>2</w:t>
      </w:r>
      <w:r>
        <w:rPr>
          <w:rFonts w:hint="eastAsia" w:ascii="仿宋" w:hAnsi="仿宋" w:eastAsia="仿宋" w:cs="仿宋"/>
          <w:sz w:val="32"/>
          <w:szCs w:val="32"/>
        </w:rPr>
        <w:t>年12月有固定资产</w:t>
      </w:r>
      <w:r>
        <w:rPr>
          <w:rFonts w:hint="eastAsia" w:ascii="仿宋" w:hAnsi="仿宋" w:eastAsia="仿宋" w:cs="仿宋"/>
          <w:sz w:val="32"/>
          <w:szCs w:val="32"/>
          <w:lang w:val="en-US" w:eastAsia="zh-CN"/>
        </w:rPr>
        <w:t>109.08</w:t>
      </w:r>
      <w:r>
        <w:rPr>
          <w:rFonts w:hint="eastAsia" w:ascii="仿宋" w:hAnsi="仿宋" w:eastAsia="仿宋" w:cs="仿宋"/>
          <w:sz w:val="32"/>
          <w:szCs w:val="32"/>
        </w:rPr>
        <w:t>万元，全部在用，保证了资产的安全高效，防止资产流失。</w:t>
      </w:r>
      <w:bookmarkStart w:id="0" w:name="_GoBack"/>
      <w:bookmarkEnd w:id="0"/>
    </w:p>
    <w:p>
      <w:pPr>
        <w:pStyle w:val="20"/>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项目支出情况</w:t>
      </w:r>
    </w:p>
    <w:p>
      <w:pPr>
        <w:pStyle w:val="20"/>
        <w:keepNext w:val="0"/>
        <w:keepLines w:val="0"/>
        <w:pageBreakBefore w:val="0"/>
        <w:widowControl/>
        <w:numPr>
          <w:ilvl w:val="0"/>
          <w:numId w:val="0"/>
        </w:numPr>
        <w:kinsoku/>
        <w:wordWrap/>
        <w:overflowPunct/>
        <w:topLinePunct w:val="0"/>
        <w:autoSpaceDE/>
        <w:autoSpaceDN/>
        <w:bidi w:val="0"/>
        <w:adjustRightInd/>
        <w:snapToGrid/>
        <w:spacing w:line="610" w:lineRule="exact"/>
        <w:ind w:leftChars="200"/>
        <w:jc w:val="both"/>
        <w:textAlignment w:val="auto"/>
        <w:rPr>
          <w:rFonts w:hint="default" w:ascii="Times New Roman" w:hAnsi="Times New Roman" w:eastAsia="黑体" w:cs="Times New Roman"/>
          <w:kern w:val="2"/>
          <w:sz w:val="32"/>
          <w:szCs w:val="32"/>
          <w:lang w:val="en-US" w:eastAsia="zh-CN" w:bidi="ar-SA"/>
        </w:rPr>
      </w:pPr>
      <w:r>
        <w:rPr>
          <w:rFonts w:hint="eastAsia" w:ascii="Times New Roman" w:hAnsi="Times New Roman" w:eastAsia="黑体" w:cs="Times New Roman"/>
          <w:kern w:val="2"/>
          <w:sz w:val="32"/>
          <w:szCs w:val="32"/>
          <w:lang w:val="en-US" w:eastAsia="zh-CN" w:bidi="ar-SA"/>
        </w:rPr>
        <w:t xml:space="preserve"> </w:t>
      </w:r>
      <w:r>
        <w:rPr>
          <w:rFonts w:hint="eastAsia" w:ascii="仿宋" w:hAnsi="仿宋" w:eastAsia="仿宋" w:cs="仿宋"/>
          <w:b/>
          <w:bCs/>
          <w:sz w:val="32"/>
          <w:szCs w:val="32"/>
        </w:rPr>
        <w:t>1.专项资金安排落实、总投入等情况分析</w:t>
      </w:r>
    </w:p>
    <w:p>
      <w:pPr>
        <w:spacing w:line="560" w:lineRule="exact"/>
        <w:ind w:firstLine="640" w:firstLineChars="200"/>
        <w:rPr>
          <w:rFonts w:hint="eastAsia" w:ascii="仿宋" w:hAnsi="仿宋" w:eastAsia="仿宋" w:cs="仿宋"/>
          <w:color w:val="000000"/>
          <w:sz w:val="32"/>
          <w:szCs w:val="32"/>
          <w:shd w:val="clear" w:color="auto" w:fill="F5F9FD"/>
        </w:rPr>
      </w:pPr>
      <w:r>
        <w:rPr>
          <w:rFonts w:hint="eastAsia" w:ascii="仿宋" w:hAnsi="仿宋" w:eastAsia="仿宋" w:cs="仿宋"/>
          <w:bCs/>
          <w:sz w:val="32"/>
          <w:szCs w:val="32"/>
        </w:rPr>
        <w:t>202</w:t>
      </w:r>
      <w:r>
        <w:rPr>
          <w:rFonts w:hint="eastAsia" w:ascii="仿宋" w:hAnsi="仿宋" w:eastAsia="仿宋" w:cs="仿宋"/>
          <w:bCs/>
          <w:sz w:val="32"/>
          <w:szCs w:val="32"/>
          <w:lang w:val="en-US" w:eastAsia="zh-CN"/>
        </w:rPr>
        <w:t>2</w:t>
      </w:r>
      <w:r>
        <w:rPr>
          <w:rFonts w:hint="eastAsia" w:ascii="仿宋" w:hAnsi="仿宋" w:eastAsia="仿宋" w:cs="仿宋"/>
          <w:bCs/>
          <w:sz w:val="32"/>
          <w:szCs w:val="32"/>
        </w:rPr>
        <w:t>年项目支出为</w:t>
      </w:r>
      <w:r>
        <w:rPr>
          <w:rFonts w:hint="eastAsia" w:ascii="仿宋" w:hAnsi="仿宋" w:eastAsia="仿宋" w:cs="仿宋"/>
          <w:bCs/>
          <w:sz w:val="32"/>
          <w:szCs w:val="32"/>
          <w:lang w:val="en-US" w:eastAsia="zh-CN"/>
        </w:rPr>
        <w:t>29.00</w:t>
      </w:r>
      <w:r>
        <w:rPr>
          <w:rFonts w:hint="eastAsia" w:ascii="仿宋" w:hAnsi="仿宋" w:eastAsia="仿宋" w:cs="仿宋"/>
          <w:bCs/>
          <w:sz w:val="32"/>
          <w:szCs w:val="32"/>
        </w:rPr>
        <w:t>万元，占总支出的</w:t>
      </w:r>
      <w:r>
        <w:rPr>
          <w:rFonts w:hint="eastAsia" w:ascii="仿宋" w:hAnsi="仿宋" w:eastAsia="仿宋" w:cs="仿宋"/>
          <w:bCs/>
          <w:sz w:val="32"/>
          <w:szCs w:val="32"/>
          <w:lang w:val="en-US" w:eastAsia="zh-CN"/>
        </w:rPr>
        <w:t>19.53</w:t>
      </w:r>
      <w:r>
        <w:rPr>
          <w:rFonts w:hint="eastAsia" w:ascii="仿宋" w:hAnsi="仿宋" w:eastAsia="仿宋" w:cs="仿宋"/>
          <w:bCs/>
          <w:sz w:val="32"/>
          <w:szCs w:val="32"/>
        </w:rPr>
        <w:t>%，主要是</w:t>
      </w:r>
      <w:r>
        <w:rPr>
          <w:rFonts w:hint="eastAsia" w:ascii="仿宋" w:hAnsi="仿宋" w:eastAsia="仿宋" w:cs="仿宋"/>
          <w:bCs/>
          <w:sz w:val="32"/>
          <w:szCs w:val="32"/>
          <w:lang w:eastAsia="zh-CN"/>
        </w:rPr>
        <w:t>对个人和家庭的补助。</w:t>
      </w:r>
    </w:p>
    <w:p>
      <w:p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2.专项资金实际使用情况分析</w:t>
      </w:r>
    </w:p>
    <w:p>
      <w:pPr>
        <w:spacing w:line="560" w:lineRule="exact"/>
        <w:ind w:firstLine="588" w:firstLineChars="184"/>
        <w:rPr>
          <w:rFonts w:hint="eastAsia" w:ascii="仿宋" w:hAnsi="仿宋" w:eastAsia="仿宋" w:cs="仿宋"/>
          <w:bCs/>
          <w:sz w:val="32"/>
          <w:szCs w:val="32"/>
        </w:rPr>
      </w:pPr>
      <w:r>
        <w:rPr>
          <w:rFonts w:hint="eastAsia" w:ascii="仿宋" w:hAnsi="仿宋" w:eastAsia="仿宋" w:cs="仿宋"/>
          <w:bCs/>
          <w:sz w:val="32"/>
          <w:szCs w:val="32"/>
        </w:rPr>
        <w:t>202</w:t>
      </w:r>
      <w:r>
        <w:rPr>
          <w:rFonts w:hint="eastAsia" w:ascii="仿宋" w:hAnsi="仿宋" w:eastAsia="仿宋" w:cs="仿宋"/>
          <w:bCs/>
          <w:sz w:val="32"/>
          <w:szCs w:val="32"/>
          <w:lang w:val="en-US" w:eastAsia="zh-CN"/>
        </w:rPr>
        <w:t>2</w:t>
      </w:r>
      <w:r>
        <w:rPr>
          <w:rFonts w:hint="eastAsia" w:ascii="仿宋" w:hAnsi="仿宋" w:eastAsia="仿宋" w:cs="仿宋"/>
          <w:bCs/>
          <w:sz w:val="32"/>
          <w:szCs w:val="32"/>
        </w:rPr>
        <w:t>年专项总收入</w:t>
      </w:r>
      <w:r>
        <w:rPr>
          <w:rFonts w:hint="eastAsia" w:ascii="仿宋" w:hAnsi="仿宋" w:eastAsia="仿宋" w:cs="仿宋"/>
          <w:bCs/>
          <w:sz w:val="32"/>
          <w:szCs w:val="32"/>
          <w:lang w:val="en-US" w:eastAsia="zh-CN"/>
        </w:rPr>
        <w:t>29.00</w:t>
      </w:r>
      <w:r>
        <w:rPr>
          <w:rFonts w:hint="eastAsia" w:ascii="仿宋" w:hAnsi="仿宋" w:eastAsia="仿宋" w:cs="仿宋"/>
          <w:bCs/>
          <w:sz w:val="32"/>
          <w:szCs w:val="32"/>
        </w:rPr>
        <w:t>万元，专项总支出</w:t>
      </w:r>
      <w:r>
        <w:rPr>
          <w:rFonts w:hint="eastAsia" w:ascii="仿宋" w:hAnsi="仿宋" w:eastAsia="仿宋" w:cs="仿宋"/>
          <w:bCs/>
          <w:sz w:val="32"/>
          <w:szCs w:val="32"/>
          <w:lang w:val="en-US" w:eastAsia="zh-CN"/>
        </w:rPr>
        <w:t>29.00</w:t>
      </w:r>
      <w:r>
        <w:rPr>
          <w:rFonts w:hint="eastAsia" w:ascii="仿宋" w:hAnsi="仿宋" w:eastAsia="仿宋" w:cs="仿宋"/>
          <w:bCs/>
          <w:sz w:val="32"/>
          <w:szCs w:val="32"/>
        </w:rPr>
        <w:t>万元，收支平衡，无资金结余。</w:t>
      </w:r>
    </w:p>
    <w:p>
      <w:p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3.专项资金管理情况分析</w:t>
      </w:r>
    </w:p>
    <w:p>
      <w:pPr>
        <w:spacing w:line="560" w:lineRule="exact"/>
        <w:ind w:firstLine="640" w:firstLineChars="200"/>
        <w:rPr>
          <w:rFonts w:hint="default" w:ascii="仿宋" w:hAnsi="仿宋" w:eastAsia="仿宋" w:cs="仿宋"/>
          <w:kern w:val="2"/>
          <w:sz w:val="32"/>
          <w:szCs w:val="32"/>
          <w:lang w:val="en-US" w:eastAsia="zh-CN" w:bidi="ar-SA"/>
        </w:rPr>
      </w:pPr>
      <w:r>
        <w:rPr>
          <w:rFonts w:hint="eastAsia" w:ascii="仿宋" w:hAnsi="仿宋" w:eastAsia="仿宋" w:cs="仿宋"/>
          <w:color w:val="000000"/>
          <w:sz w:val="32"/>
          <w:szCs w:val="32"/>
          <w:shd w:val="clear" w:color="auto" w:fill="FFFFFF"/>
        </w:rPr>
        <w:t>为加强项目资金管理，规范</w:t>
      </w:r>
      <w:r>
        <w:rPr>
          <w:rFonts w:hint="eastAsia" w:ascii="仿宋" w:hAnsi="仿宋" w:eastAsia="仿宋" w:cs="仿宋"/>
          <w:color w:val="333333"/>
          <w:sz w:val="32"/>
          <w:szCs w:val="32"/>
          <w:shd w:val="clear" w:color="auto" w:fill="FFFFFF"/>
        </w:rPr>
        <w:t>项目资金管理行为，提高项目管理水平及项目资金使用效益，</w:t>
      </w:r>
      <w:r>
        <w:rPr>
          <w:rFonts w:hint="eastAsia" w:ascii="仿宋" w:hAnsi="仿宋" w:eastAsia="仿宋" w:cs="仿宋"/>
          <w:color w:val="000000"/>
          <w:sz w:val="32"/>
          <w:szCs w:val="32"/>
          <w:shd w:val="clear" w:color="auto" w:fill="FFFFFF"/>
        </w:rPr>
        <w:t>本部门制定了财务管理制度、项目资金管理制度、专项资金管理办法等，对项目管理职责、申报与组织实施、项目资金的管理、监督检查与验收等进行了规定，成立了工作领导小组、明确工作职责、确定责任单位、制定工作方案、项目实施细则、考核办法等。</w:t>
      </w:r>
      <w:r>
        <w:rPr>
          <w:rFonts w:hint="eastAsia" w:ascii="仿宋" w:hAnsi="仿宋" w:eastAsia="仿宋" w:cs="仿宋"/>
          <w:color w:val="333333"/>
          <w:sz w:val="32"/>
          <w:szCs w:val="32"/>
          <w:shd w:val="clear" w:color="auto" w:fill="FFFFFF"/>
        </w:rPr>
        <w:t>项目资金严格按指定用途专款专用，实行专项报告制度，并接受财政部门或上级部门的检查、验收。202</w:t>
      </w:r>
      <w:r>
        <w:rPr>
          <w:rFonts w:hint="eastAsia" w:ascii="仿宋" w:hAnsi="仿宋" w:eastAsia="仿宋" w:cs="仿宋"/>
          <w:color w:val="333333"/>
          <w:sz w:val="32"/>
          <w:szCs w:val="32"/>
          <w:shd w:val="clear" w:color="auto" w:fill="FFFFFF"/>
          <w:lang w:val="en-US" w:eastAsia="zh-CN"/>
        </w:rPr>
        <w:t>2</w:t>
      </w:r>
      <w:r>
        <w:rPr>
          <w:rFonts w:hint="eastAsia" w:ascii="仿宋" w:hAnsi="仿宋" w:eastAsia="仿宋" w:cs="仿宋"/>
          <w:color w:val="333333"/>
          <w:sz w:val="32"/>
          <w:szCs w:val="32"/>
          <w:shd w:val="clear" w:color="auto" w:fill="FFFFFF"/>
        </w:rPr>
        <w:t>年本部门项目支出，基本能够严格按照相关制度规定等进行。</w:t>
      </w:r>
    </w:p>
    <w:p>
      <w:pPr>
        <w:pStyle w:val="20"/>
        <w:keepNext w:val="0"/>
        <w:keepLines w:val="0"/>
        <w:pageBreakBefore w:val="0"/>
        <w:widowControl/>
        <w:numPr>
          <w:ilvl w:val="0"/>
          <w:numId w:val="0"/>
        </w:numPr>
        <w:kinsoku/>
        <w:wordWrap/>
        <w:overflowPunct/>
        <w:topLinePunct w:val="0"/>
        <w:autoSpaceDE/>
        <w:autoSpaceDN/>
        <w:bidi w:val="0"/>
        <w:adjustRightInd/>
        <w:snapToGrid/>
        <w:spacing w:line="610" w:lineRule="exact"/>
        <w:ind w:leftChars="200" w:firstLine="320" w:firstLineChars="100"/>
        <w:jc w:val="both"/>
        <w:textAlignment w:val="auto"/>
        <w:rPr>
          <w:rFonts w:hint="default" w:ascii="Times New Roman" w:hAnsi="Times New Roman" w:eastAsia="黑体" w:cs="Times New Roman"/>
          <w:kern w:val="2"/>
          <w:sz w:val="32"/>
          <w:szCs w:val="32"/>
          <w:lang w:val="en-US" w:eastAsia="zh-CN" w:bidi="ar-SA"/>
        </w:rPr>
      </w:pPr>
      <w:r>
        <w:rPr>
          <w:rFonts w:hint="eastAsia" w:ascii="Times New Roman" w:hAnsi="Times New Roman" w:eastAsia="黑体" w:cs="Times New Roman"/>
          <w:kern w:val="2"/>
          <w:sz w:val="32"/>
          <w:szCs w:val="32"/>
          <w:lang w:val="en-US" w:eastAsia="zh-CN" w:bidi="ar-SA"/>
        </w:rPr>
        <w:t>四</w:t>
      </w:r>
      <w:r>
        <w:rPr>
          <w:rFonts w:hint="default" w:ascii="Times New Roman" w:hAnsi="Times New Roman" w:eastAsia="黑体" w:cs="Times New Roman"/>
          <w:kern w:val="2"/>
          <w:sz w:val="32"/>
          <w:szCs w:val="32"/>
          <w:lang w:val="en-US" w:eastAsia="zh-CN" w:bidi="ar-SA"/>
        </w:rPr>
        <w:t>、部门整体支出绩效情况</w:t>
      </w:r>
    </w:p>
    <w:p>
      <w:pPr>
        <w:spacing w:line="560" w:lineRule="exact"/>
        <w:ind w:firstLine="640" w:firstLineChars="200"/>
        <w:rPr>
          <w:rFonts w:hint="eastAsia" w:ascii="仿宋" w:hAnsi="仿宋" w:eastAsia="仿宋" w:cs="仿宋"/>
          <w:color w:val="000000"/>
          <w:sz w:val="32"/>
          <w:szCs w:val="32"/>
          <w:shd w:val="clear" w:color="auto" w:fill="FFFFFF"/>
          <w:lang w:val="en-US" w:eastAsia="zh-CN"/>
        </w:rPr>
      </w:pPr>
      <w:r>
        <w:rPr>
          <w:rFonts w:hint="eastAsia" w:ascii="仿宋" w:hAnsi="仿宋" w:eastAsia="仿宋" w:cs="仿宋"/>
          <w:color w:val="000000"/>
          <w:sz w:val="32"/>
          <w:szCs w:val="32"/>
          <w:shd w:val="clear" w:color="auto" w:fill="FFFFFF"/>
          <w:lang w:val="en-US" w:eastAsia="zh-CN"/>
        </w:rPr>
        <w:t>今年，所内的工作任务重、中心工作多，为了完成领导下达的各项任务，我所几位同志开启“白加黑、五加二”模式，高标准完成了领导交办的各项任务，主要有以下几个方面：</w:t>
      </w:r>
    </w:p>
    <w:p>
      <w:pPr>
        <w:spacing w:line="560" w:lineRule="exact"/>
        <w:ind w:firstLine="640" w:firstLineChars="200"/>
        <w:rPr>
          <w:rFonts w:hint="eastAsia" w:ascii="仿宋" w:hAnsi="仿宋" w:eastAsia="仿宋" w:cs="仿宋"/>
          <w:color w:val="000000"/>
          <w:sz w:val="32"/>
          <w:szCs w:val="32"/>
          <w:shd w:val="clear" w:color="auto" w:fill="FFFFFF"/>
          <w:lang w:val="en-US" w:eastAsia="zh-CN"/>
        </w:rPr>
      </w:pPr>
      <w:r>
        <w:rPr>
          <w:rFonts w:hint="eastAsia" w:ascii="仿宋" w:hAnsi="仿宋" w:eastAsia="仿宋" w:cs="仿宋"/>
          <w:color w:val="000000"/>
          <w:sz w:val="32"/>
          <w:szCs w:val="32"/>
          <w:shd w:val="clear" w:color="auto" w:fill="FFFFFF"/>
          <w:lang w:val="en-US" w:eastAsia="zh-CN"/>
        </w:rPr>
        <w:t>1、</w:t>
      </w:r>
      <w:r>
        <w:rPr>
          <w:rFonts w:hint="eastAsia" w:ascii="仿宋" w:hAnsi="仿宋" w:eastAsia="仿宋" w:cs="仿宋"/>
          <w:b/>
          <w:bCs/>
          <w:color w:val="000000"/>
          <w:sz w:val="32"/>
          <w:szCs w:val="32"/>
          <w:shd w:val="clear" w:color="auto" w:fill="FFFFFF"/>
          <w:lang w:val="en-US" w:eastAsia="zh-CN"/>
        </w:rPr>
        <w:t>惠农补贴资金发放规范</w:t>
      </w:r>
      <w:r>
        <w:rPr>
          <w:rFonts w:hint="eastAsia" w:ascii="仿宋" w:hAnsi="仿宋" w:eastAsia="仿宋" w:cs="仿宋"/>
          <w:color w:val="000000"/>
          <w:sz w:val="32"/>
          <w:szCs w:val="32"/>
          <w:shd w:val="clear" w:color="auto" w:fill="FFFFFF"/>
          <w:lang w:val="en-US" w:eastAsia="zh-CN"/>
        </w:rPr>
        <w:t>。全镇通过“一卡通”农商银行存折发放惠农补贴资金，其中：农村低保补贴45.64万元，耕地地力保护单季（四）补贴349.13万元，棉花目标价格补贴416.39万元，耕地地力保护双季补贴44.1万元，稻谷目标价格补贴64.62万元，种粮农民一次性补贴93.51万元，共计发放1013.39万元。为此我所加强督查力度。要求各村对每项补贴进行公开公示，并留存影像资料。并对邮政银行转农村商业银行补贴农户信息资料纠错后及时录入上传惠农系统，有效的保障以上所有惠农补贴资金都按政策和时间要求及时足额发放到农户。</w:t>
      </w:r>
    </w:p>
    <w:p>
      <w:pPr>
        <w:spacing w:line="560" w:lineRule="exact"/>
        <w:ind w:firstLine="640" w:firstLineChars="200"/>
        <w:rPr>
          <w:rFonts w:hint="eastAsia" w:ascii="仿宋" w:hAnsi="仿宋" w:eastAsia="仿宋" w:cs="仿宋"/>
          <w:color w:val="000000"/>
          <w:sz w:val="32"/>
          <w:szCs w:val="32"/>
          <w:shd w:val="clear" w:color="auto" w:fill="FFFFFF"/>
          <w:lang w:val="en-US" w:eastAsia="zh-CN"/>
        </w:rPr>
      </w:pPr>
      <w:r>
        <w:rPr>
          <w:rFonts w:hint="eastAsia" w:ascii="仿宋" w:hAnsi="仿宋" w:eastAsia="仿宋" w:cs="仿宋"/>
          <w:color w:val="000000"/>
          <w:sz w:val="32"/>
          <w:szCs w:val="32"/>
          <w:shd w:val="clear" w:color="auto" w:fill="FFFFFF"/>
          <w:lang w:val="en-US" w:eastAsia="zh-CN"/>
        </w:rPr>
        <w:t>2、</w:t>
      </w:r>
      <w:r>
        <w:rPr>
          <w:rFonts w:hint="eastAsia" w:ascii="仿宋" w:hAnsi="仿宋" w:eastAsia="仿宋" w:cs="仿宋"/>
          <w:b/>
          <w:bCs/>
          <w:color w:val="000000"/>
          <w:sz w:val="32"/>
          <w:szCs w:val="32"/>
          <w:shd w:val="clear" w:color="auto" w:fill="FFFFFF"/>
          <w:lang w:val="en-US" w:eastAsia="zh-CN"/>
        </w:rPr>
        <w:t>一事一议发挥实效</w:t>
      </w:r>
      <w:r>
        <w:rPr>
          <w:rFonts w:hint="eastAsia" w:ascii="仿宋" w:hAnsi="仿宋" w:eastAsia="仿宋" w:cs="仿宋"/>
          <w:color w:val="000000"/>
          <w:sz w:val="32"/>
          <w:szCs w:val="32"/>
          <w:shd w:val="clear" w:color="auto" w:fill="FFFFFF"/>
          <w:lang w:val="en-US" w:eastAsia="zh-CN"/>
        </w:rPr>
        <w:t>。今年全镇共计发放一事一议财政奖补资金65万元，其中有千和、曙光、插旗、注北、大湾、同福六个村全部完工，所内专管员陈龙全程跟进拍照，并保证了工程建设事前、事中、事后实地巡查监督，确保农村生产生活急需的道路、水利兴修等村级公益事业项目建设的范围、规模达标，让农村基础设施得到改善，使群众从中早日受益。</w:t>
      </w:r>
    </w:p>
    <w:p>
      <w:pPr>
        <w:spacing w:line="560" w:lineRule="exact"/>
        <w:ind w:firstLine="640" w:firstLineChars="200"/>
        <w:rPr>
          <w:rFonts w:hint="eastAsia" w:ascii="仿宋" w:hAnsi="仿宋" w:eastAsia="仿宋" w:cs="仿宋"/>
          <w:color w:val="000000"/>
          <w:sz w:val="32"/>
          <w:szCs w:val="32"/>
          <w:shd w:val="clear" w:color="auto" w:fill="FFFFFF"/>
          <w:lang w:val="en-US" w:eastAsia="zh-CN"/>
        </w:rPr>
      </w:pPr>
      <w:r>
        <w:rPr>
          <w:rFonts w:hint="eastAsia" w:ascii="仿宋" w:hAnsi="仿宋" w:eastAsia="仿宋" w:cs="仿宋"/>
          <w:color w:val="000000"/>
          <w:sz w:val="32"/>
          <w:szCs w:val="32"/>
          <w:shd w:val="clear" w:color="auto" w:fill="FFFFFF"/>
          <w:lang w:val="en-US" w:eastAsia="zh-CN"/>
        </w:rPr>
        <w:t>3、</w:t>
      </w:r>
      <w:r>
        <w:rPr>
          <w:rFonts w:hint="eastAsia" w:ascii="仿宋" w:hAnsi="仿宋" w:eastAsia="仿宋" w:cs="仿宋"/>
          <w:b/>
          <w:bCs/>
          <w:color w:val="000000"/>
          <w:sz w:val="32"/>
          <w:szCs w:val="32"/>
          <w:shd w:val="clear" w:color="auto" w:fill="FFFFFF"/>
          <w:lang w:val="en-US" w:eastAsia="zh-CN"/>
        </w:rPr>
        <w:t>财务管理规范运行</w:t>
      </w:r>
      <w:r>
        <w:rPr>
          <w:rFonts w:hint="eastAsia" w:ascii="仿宋" w:hAnsi="仿宋" w:eastAsia="仿宋" w:cs="仿宋"/>
          <w:color w:val="000000"/>
          <w:sz w:val="32"/>
          <w:szCs w:val="32"/>
          <w:shd w:val="clear" w:color="auto" w:fill="FFFFFF"/>
          <w:lang w:val="en-US" w:eastAsia="zh-CN"/>
        </w:rPr>
        <w:t>。截至目前，我所机关、站所、村场账务都已按时按月处理完成，各项工作严格按照“星级财政所”创建标准落实。各个会计线上的凭证装订整齐规范，账本数据精准齐全，报表、账簿及资料手续齐备完整。</w:t>
      </w:r>
    </w:p>
    <w:p>
      <w:pPr>
        <w:spacing w:line="560" w:lineRule="exact"/>
        <w:ind w:firstLine="640" w:firstLineChars="200"/>
        <w:rPr>
          <w:rFonts w:hint="eastAsia" w:ascii="仿宋" w:hAnsi="仿宋" w:eastAsia="仿宋" w:cs="仿宋"/>
          <w:color w:val="000000"/>
          <w:sz w:val="32"/>
          <w:szCs w:val="32"/>
          <w:shd w:val="clear" w:color="auto" w:fill="FFFFFF"/>
          <w:lang w:val="en-US" w:eastAsia="zh-CN"/>
        </w:rPr>
      </w:pPr>
      <w:r>
        <w:rPr>
          <w:rFonts w:hint="eastAsia" w:ascii="仿宋" w:hAnsi="仿宋" w:eastAsia="仿宋" w:cs="仿宋"/>
          <w:color w:val="000000"/>
          <w:sz w:val="32"/>
          <w:szCs w:val="32"/>
          <w:shd w:val="clear" w:color="auto" w:fill="FFFFFF"/>
          <w:lang w:val="en-US" w:eastAsia="zh-CN"/>
        </w:rPr>
        <w:t>4、</w:t>
      </w:r>
      <w:r>
        <w:rPr>
          <w:rFonts w:hint="eastAsia" w:ascii="仿宋" w:hAnsi="仿宋" w:eastAsia="仿宋" w:cs="仿宋"/>
          <w:b/>
          <w:bCs/>
          <w:color w:val="000000"/>
          <w:sz w:val="32"/>
          <w:szCs w:val="32"/>
          <w:shd w:val="clear" w:color="auto" w:fill="FFFFFF"/>
          <w:lang w:val="en-US" w:eastAsia="zh-CN"/>
        </w:rPr>
        <w:t>内务管理不乱不散</w:t>
      </w:r>
      <w:r>
        <w:rPr>
          <w:rFonts w:hint="eastAsia" w:ascii="仿宋" w:hAnsi="仿宋" w:eastAsia="仿宋" w:cs="仿宋"/>
          <w:color w:val="000000"/>
          <w:sz w:val="32"/>
          <w:szCs w:val="32"/>
          <w:shd w:val="clear" w:color="auto" w:fill="FFFFFF"/>
          <w:lang w:val="en-US" w:eastAsia="zh-CN"/>
        </w:rPr>
        <w:t>。今年，厉行节约和规范“政府采购”是全所工作的重点内容之一，为了达到县局的要求，全所同志最大努力节约开支，用最少的钱办最多的事。每年6月份和12月份，我所都将财务情况作通报，让财务透明化、高效化。今年，除所内日用及办公开支外，最大的支出就是办公楼的维修维护方面的支出。</w:t>
      </w:r>
    </w:p>
    <w:p>
      <w:pPr>
        <w:spacing w:line="560" w:lineRule="exact"/>
        <w:ind w:firstLine="640" w:firstLineChars="200"/>
        <w:rPr>
          <w:rFonts w:hint="eastAsia" w:ascii="仿宋" w:hAnsi="仿宋" w:eastAsia="仿宋" w:cs="仿宋"/>
          <w:color w:val="000000"/>
          <w:sz w:val="32"/>
          <w:szCs w:val="32"/>
          <w:shd w:val="clear" w:color="auto" w:fill="FFFFFF"/>
          <w:lang w:val="en-US" w:eastAsia="zh-CN"/>
        </w:rPr>
      </w:pPr>
      <w:r>
        <w:rPr>
          <w:rFonts w:hint="eastAsia" w:ascii="仿宋" w:hAnsi="仿宋" w:eastAsia="仿宋" w:cs="仿宋"/>
          <w:color w:val="000000"/>
          <w:sz w:val="32"/>
          <w:szCs w:val="32"/>
          <w:shd w:val="clear" w:color="auto" w:fill="FFFFFF"/>
          <w:lang w:val="en-US" w:eastAsia="zh-CN"/>
        </w:rPr>
        <w:t>5、</w:t>
      </w:r>
      <w:r>
        <w:rPr>
          <w:rFonts w:hint="eastAsia" w:ascii="仿宋" w:hAnsi="仿宋" w:eastAsia="仿宋" w:cs="仿宋"/>
          <w:b/>
          <w:bCs/>
          <w:color w:val="000000"/>
          <w:sz w:val="32"/>
          <w:szCs w:val="32"/>
          <w:shd w:val="clear" w:color="auto" w:fill="FFFFFF"/>
          <w:lang w:val="en-US" w:eastAsia="zh-CN"/>
        </w:rPr>
        <w:t>中心工作稳步推</w:t>
      </w:r>
      <w:r>
        <w:rPr>
          <w:rFonts w:hint="eastAsia" w:ascii="仿宋" w:hAnsi="仿宋" w:eastAsia="仿宋" w:cs="仿宋"/>
          <w:color w:val="000000"/>
          <w:sz w:val="32"/>
          <w:szCs w:val="32"/>
          <w:shd w:val="clear" w:color="auto" w:fill="FFFFFF"/>
          <w:lang w:val="en-US" w:eastAsia="zh-CN"/>
        </w:rPr>
        <w:t>进。今年，疫情防控、乡村振兴、土窖整治、抗旱救灾、环境整治、县委巡察以及省、市、县的各项检查工作，全所同志认真应对，并能按要求认真落实各项检查，到目前为止，各项检查都得到了上级领导的高度好评。</w:t>
      </w:r>
    </w:p>
    <w:p>
      <w:pPr>
        <w:spacing w:line="560" w:lineRule="exact"/>
        <w:ind w:firstLine="640" w:firstLineChars="200"/>
        <w:rPr>
          <w:rFonts w:hint="default"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lang w:eastAsia="zh-CN"/>
        </w:rPr>
        <w:t>五、</w:t>
      </w:r>
      <w:r>
        <w:rPr>
          <w:rFonts w:hint="default" w:ascii="仿宋" w:hAnsi="仿宋" w:eastAsia="仿宋" w:cs="仿宋"/>
          <w:color w:val="000000"/>
          <w:sz w:val="32"/>
          <w:szCs w:val="32"/>
          <w:shd w:val="clear" w:color="auto" w:fill="FFFFFF"/>
        </w:rPr>
        <w:t>存在的问题及原因分析</w:t>
      </w:r>
    </w:p>
    <w:p>
      <w:pPr>
        <w:spacing w:line="560" w:lineRule="exact"/>
        <w:ind w:firstLine="640" w:firstLineChars="200"/>
        <w:rPr>
          <w:rFonts w:hint="eastAsia" w:ascii="仿宋" w:hAnsi="仿宋" w:eastAsia="仿宋" w:cs="仿宋"/>
          <w:color w:val="000000"/>
          <w:sz w:val="32"/>
          <w:szCs w:val="32"/>
          <w:shd w:val="clear" w:color="auto" w:fill="FFFFFF"/>
          <w:lang w:val="en-US" w:eastAsia="zh-CN"/>
        </w:rPr>
      </w:pPr>
      <w:r>
        <w:rPr>
          <w:rFonts w:hint="eastAsia" w:ascii="仿宋" w:hAnsi="仿宋" w:eastAsia="仿宋" w:cs="仿宋"/>
          <w:color w:val="000000"/>
          <w:sz w:val="32"/>
          <w:szCs w:val="32"/>
          <w:shd w:val="clear" w:color="auto" w:fill="FFFFFF"/>
          <w:lang w:val="en-US" w:eastAsia="zh-CN"/>
        </w:rPr>
        <w:t>1.预算绩效指标体系存在进一步完善的空间，我单位现建立的各项预算绩效目标指标仍有不科学、不细致的地方，影响了预算绩效评价的结果。</w:t>
      </w:r>
    </w:p>
    <w:p>
      <w:pPr>
        <w:spacing w:line="560" w:lineRule="exact"/>
        <w:ind w:firstLine="640" w:firstLineChars="200"/>
        <w:rPr>
          <w:rFonts w:hint="eastAsia" w:ascii="仿宋" w:hAnsi="仿宋" w:eastAsia="仿宋" w:cs="仿宋"/>
          <w:color w:val="000000"/>
          <w:sz w:val="32"/>
          <w:szCs w:val="32"/>
          <w:shd w:val="clear" w:color="auto" w:fill="FFFFFF"/>
          <w:lang w:val="en-US" w:eastAsia="zh-CN"/>
        </w:rPr>
      </w:pPr>
      <w:r>
        <w:rPr>
          <w:rFonts w:hint="eastAsia" w:ascii="仿宋" w:hAnsi="仿宋" w:eastAsia="仿宋" w:cs="仿宋"/>
          <w:color w:val="000000"/>
          <w:sz w:val="32"/>
          <w:szCs w:val="32"/>
          <w:shd w:val="clear" w:color="auto" w:fill="FFFFFF"/>
          <w:lang w:val="en-US" w:eastAsia="zh-CN"/>
        </w:rPr>
        <w:t>2.预算绩效管理经验需要进一步积累。因为预算绩效管理工作具有政策性强、专业性强、涉及面广、操作难度大等特点，经验不足，导致工作多走许多弯路，影响工作效果</w:t>
      </w:r>
    </w:p>
    <w:p>
      <w:pPr>
        <w:spacing w:line="560" w:lineRule="exact"/>
        <w:ind w:firstLine="640" w:firstLineChars="200"/>
        <w:rPr>
          <w:rFonts w:hint="default"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lang w:eastAsia="zh-CN"/>
        </w:rPr>
        <w:t>六</w:t>
      </w:r>
      <w:r>
        <w:rPr>
          <w:rFonts w:hint="default" w:ascii="仿宋" w:hAnsi="仿宋" w:eastAsia="仿宋" w:cs="仿宋"/>
          <w:color w:val="000000"/>
          <w:sz w:val="32"/>
          <w:szCs w:val="32"/>
          <w:shd w:val="clear" w:color="auto" w:fill="FFFFFF"/>
        </w:rPr>
        <w:t>、下一步改进措施</w:t>
      </w:r>
    </w:p>
    <w:p>
      <w:pPr>
        <w:spacing w:line="560" w:lineRule="exact"/>
        <w:ind w:firstLine="640" w:firstLineChars="200"/>
        <w:rPr>
          <w:rFonts w:hint="eastAsia" w:ascii="仿宋" w:hAnsi="仿宋" w:eastAsia="仿宋" w:cs="仿宋"/>
          <w:color w:val="000000"/>
          <w:sz w:val="32"/>
          <w:szCs w:val="32"/>
          <w:shd w:val="clear" w:color="auto" w:fill="FFFFFF"/>
          <w:lang w:val="en-US" w:eastAsia="zh-CN"/>
        </w:rPr>
      </w:pPr>
      <w:r>
        <w:rPr>
          <w:rFonts w:hint="eastAsia" w:ascii="仿宋" w:hAnsi="仿宋" w:eastAsia="仿宋" w:cs="仿宋"/>
          <w:color w:val="000000"/>
          <w:sz w:val="32"/>
          <w:szCs w:val="32"/>
          <w:shd w:val="clear" w:color="auto" w:fill="FFFFFF"/>
          <w:lang w:val="en-US" w:eastAsia="zh-CN"/>
        </w:rPr>
        <w:t>1、细化预算编制工作，认真做好预算的编制。进一步加强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pPr>
        <w:spacing w:line="560" w:lineRule="exact"/>
        <w:ind w:firstLine="640" w:firstLineChars="200"/>
        <w:rPr>
          <w:rFonts w:hint="eastAsia" w:ascii="仿宋" w:hAnsi="仿宋" w:eastAsia="仿宋" w:cs="仿宋"/>
          <w:color w:val="000000"/>
          <w:sz w:val="32"/>
          <w:szCs w:val="32"/>
          <w:shd w:val="clear" w:color="auto" w:fill="FFFFFF"/>
          <w:lang w:val="en-US" w:eastAsia="zh-CN"/>
        </w:rPr>
      </w:pPr>
      <w:r>
        <w:rPr>
          <w:rFonts w:hint="eastAsia" w:ascii="仿宋" w:hAnsi="仿宋" w:eastAsia="仿宋" w:cs="仿宋"/>
          <w:color w:val="000000"/>
          <w:sz w:val="32"/>
          <w:szCs w:val="32"/>
          <w:shd w:val="clear" w:color="auto" w:fill="FFFFFF"/>
          <w:lang w:val="en-US" w:eastAsia="zh-CN"/>
        </w:rPr>
        <w:t>2、加强财务管理，严格财务审核。加强单位财务管理，健全单位财务管理制度体系，规范单位财务行为。在费用报账支付时，按照预算规定的费用项目和用途进行资金使用审核、列报支付、财务核算，杜绝超支现象的发生。</w:t>
      </w:r>
    </w:p>
    <w:p>
      <w:pPr>
        <w:spacing w:line="560" w:lineRule="exact"/>
        <w:ind w:firstLine="640" w:firstLineChars="200"/>
        <w:rPr>
          <w:rFonts w:hint="eastAsia" w:ascii="仿宋" w:hAnsi="仿宋" w:eastAsia="仿宋" w:cs="仿宋"/>
          <w:color w:val="000000"/>
          <w:kern w:val="2"/>
          <w:sz w:val="32"/>
          <w:szCs w:val="32"/>
          <w:shd w:val="clear" w:color="auto" w:fill="FFFFFF"/>
          <w:lang w:val="en-US" w:eastAsia="zh-CN" w:bidi="ar-SA"/>
        </w:rPr>
      </w:pPr>
      <w:r>
        <w:rPr>
          <w:rFonts w:hint="eastAsia" w:ascii="仿宋" w:hAnsi="仿宋" w:eastAsia="仿宋" w:cs="仿宋"/>
          <w:color w:val="000000"/>
          <w:sz w:val="32"/>
          <w:szCs w:val="32"/>
          <w:shd w:val="clear" w:color="auto" w:fill="FFFFFF"/>
          <w:lang w:val="en-US" w:eastAsia="zh-CN"/>
        </w:rPr>
        <w:t>3、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的管理，合理压缩“三公”</w:t>
      </w:r>
      <w:r>
        <w:rPr>
          <w:rFonts w:hint="eastAsia" w:ascii="仿宋" w:hAnsi="仿宋" w:eastAsia="仿宋" w:cs="仿宋"/>
          <w:color w:val="000000"/>
          <w:kern w:val="2"/>
          <w:sz w:val="32"/>
          <w:szCs w:val="32"/>
          <w:shd w:val="clear" w:color="auto" w:fill="FFFFFF"/>
          <w:lang w:val="en-US" w:eastAsia="zh-CN" w:bidi="ar-SA"/>
        </w:rPr>
        <w:t>经费支出。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420"/>
        <w:jc w:val="both"/>
        <w:rPr>
          <w:rFonts w:hint="eastAsia" w:ascii="仿宋" w:hAnsi="仿宋" w:eastAsia="仿宋" w:cs="仿宋"/>
          <w:color w:val="000000"/>
          <w:kern w:val="2"/>
          <w:sz w:val="32"/>
          <w:szCs w:val="32"/>
          <w:shd w:val="clear" w:color="auto" w:fill="FFFFFF"/>
          <w:lang w:val="en-US" w:eastAsia="zh-CN" w:bidi="ar-SA"/>
        </w:rPr>
      </w:pPr>
      <w:r>
        <w:rPr>
          <w:rFonts w:hint="eastAsia" w:ascii="仿宋" w:hAnsi="仿宋" w:eastAsia="仿宋" w:cs="仿宋"/>
          <w:color w:val="000000"/>
          <w:kern w:val="2"/>
          <w:sz w:val="32"/>
          <w:szCs w:val="32"/>
          <w:shd w:val="clear" w:color="auto" w:fill="FFFFFF"/>
          <w:lang w:val="en-US" w:eastAsia="zh-CN" w:bidi="ar-SA"/>
        </w:rPr>
        <w:t>4、</w:t>
      </w:r>
      <w:r>
        <w:rPr>
          <w:rFonts w:hint="eastAsia" w:ascii="仿宋" w:hAnsi="仿宋" w:eastAsia="仿宋" w:cs="仿宋"/>
          <w:b w:val="0"/>
          <w:bCs w:val="0"/>
          <w:color w:val="000000"/>
          <w:kern w:val="2"/>
          <w:sz w:val="32"/>
          <w:szCs w:val="32"/>
          <w:shd w:val="clear" w:color="auto" w:fill="FFFFFF"/>
          <w:lang w:val="en-US" w:eastAsia="zh-CN" w:bidi="ar-SA"/>
        </w:rPr>
        <w:t>对相关人员加强培训，特别是针对《预算法》、《行政事业单位会计制度》等学习培训，</w:t>
      </w:r>
      <w:r>
        <w:rPr>
          <w:rFonts w:hint="eastAsia" w:ascii="仿宋" w:hAnsi="仿宋" w:eastAsia="仿宋" w:cs="仿宋"/>
          <w:color w:val="000000"/>
          <w:kern w:val="2"/>
          <w:sz w:val="32"/>
          <w:szCs w:val="32"/>
          <w:shd w:val="clear" w:color="auto" w:fill="FFFFFF"/>
          <w:lang w:val="en-US" w:eastAsia="zh-CN" w:bidi="ar-SA"/>
        </w:rPr>
        <w:t>规范部门预算收支核算，切实提高部门预算收支管理水平。 </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pStyle w:val="2"/>
        <w:rPr>
          <w:rFonts w:hint="eastAsia"/>
          <w:lang w:val="en-US" w:eastAsia="zh-CN"/>
        </w:rPr>
      </w:pPr>
    </w:p>
    <w:p>
      <w:pPr>
        <w:rPr>
          <w:rFonts w:hint="default" w:ascii="仿宋" w:hAnsi="仿宋" w:eastAsia="仿宋" w:cs="仿宋"/>
          <w:b w:val="0"/>
          <w:bCs w:val="0"/>
          <w:color w:val="000000"/>
          <w:kern w:val="2"/>
          <w:sz w:val="32"/>
          <w:szCs w:val="32"/>
          <w:shd w:val="clear" w:color="auto" w:fill="FFFFFF"/>
          <w:lang w:val="en-US" w:eastAsia="zh-CN" w:bidi="ar-SA"/>
        </w:rPr>
        <w:sectPr>
          <w:footerReference r:id="rId3" w:type="default"/>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lang w:val="en-US" w:eastAsia="zh-CN"/>
        </w:rPr>
        <w:t xml:space="preserve">    </w:t>
      </w:r>
      <w:r>
        <w:rPr>
          <w:rFonts w:hint="eastAsia" w:ascii="仿宋" w:hAnsi="仿宋" w:eastAsia="仿宋" w:cs="仿宋"/>
          <w:b w:val="0"/>
          <w:bCs w:val="0"/>
          <w:color w:val="000000"/>
          <w:kern w:val="2"/>
          <w:sz w:val="32"/>
          <w:szCs w:val="32"/>
          <w:shd w:val="clear" w:color="auto" w:fill="FFFFFF"/>
          <w:lang w:val="en-US" w:eastAsia="zh-CN" w:bidi="ar-SA"/>
        </w:rPr>
        <w:t xml:space="preserve">   </w:t>
      </w:r>
    </w:p>
    <w:p>
      <w:pPr>
        <w:keepNext w:val="0"/>
        <w:keepLines w:val="0"/>
        <w:pageBreakBefore w:val="0"/>
        <w:widowControl/>
        <w:kinsoku/>
        <w:wordWrap/>
        <w:overflowPunct/>
        <w:topLinePunct w:val="0"/>
        <w:autoSpaceDE/>
        <w:autoSpaceDN/>
        <w:bidi w:val="0"/>
        <w:adjustRightInd/>
        <w:snapToGrid/>
        <w:spacing w:line="610" w:lineRule="exact"/>
        <w:jc w:val="both"/>
        <w:textAlignment w:val="auto"/>
        <w:rPr>
          <w:rFonts w:hint="eastAsia" w:ascii="仿宋_GB2312" w:eastAsia="仿宋_GB2312"/>
          <w:sz w:val="32"/>
          <w:szCs w:val="32"/>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FE2865F-F797-4C25-B430-85AEC43C92C3}"/>
  </w:font>
  <w:font w:name="Arial">
    <w:panose1 w:val="020B0604020202020204"/>
    <w:charset w:val="01"/>
    <w:family w:val="swiss"/>
    <w:pitch w:val="default"/>
    <w:sig w:usb0="E0002AFF" w:usb1="C0007843" w:usb2="00000009" w:usb3="00000000" w:csb0="400001FF" w:csb1="FFFF0000"/>
    <w:embedRegular r:id="rId2" w:fontKey="{E56F69B0-AC11-4E25-9F1D-107815008AB4}"/>
  </w:font>
  <w:font w:name="黑体">
    <w:panose1 w:val="02010609060101010101"/>
    <w:charset w:val="86"/>
    <w:family w:val="auto"/>
    <w:pitch w:val="default"/>
    <w:sig w:usb0="800002BF" w:usb1="38CF7CFA" w:usb2="00000016" w:usb3="00000000" w:csb0="00040001" w:csb1="00000000"/>
    <w:embedRegular r:id="rId3" w:fontKey="{13BEA7F1-536D-4544-9F31-421D18F23B6A}"/>
  </w:font>
  <w:font w:name="Courier New">
    <w:panose1 w:val="02070309020205020404"/>
    <w:charset w:val="01"/>
    <w:family w:val="modern"/>
    <w:pitch w:val="default"/>
    <w:sig w:usb0="E0002AFF" w:usb1="C0007843" w:usb2="00000009" w:usb3="00000000" w:csb0="400001FF" w:csb1="FFFF0000"/>
    <w:embedRegular r:id="rId4" w:fontKey="{CEB3A360-5C58-425A-A6A5-D021F5AC8A56}"/>
  </w:font>
  <w:font w:name="Symbol">
    <w:panose1 w:val="05050102010706020507"/>
    <w:charset w:val="02"/>
    <w:family w:val="roman"/>
    <w:pitch w:val="default"/>
    <w:sig w:usb0="00000000" w:usb1="00000000" w:usb2="00000000" w:usb3="00000000" w:csb0="80000000" w:csb1="00000000"/>
    <w:embedRegular r:id="rId5" w:fontKey="{AAB04690-638A-4264-99A7-3AB954CA234F}"/>
  </w:font>
  <w:font w:name="Calibri">
    <w:panose1 w:val="020F0502020204030204"/>
    <w:charset w:val="00"/>
    <w:family w:val="swiss"/>
    <w:pitch w:val="default"/>
    <w:sig w:usb0="E00002FF" w:usb1="4000ACFF" w:usb2="00000001" w:usb3="00000000" w:csb0="2000019F" w:csb1="00000000"/>
    <w:embedRegular r:id="rId6" w:fontKey="{24D6C47B-FC73-428B-99FB-97B8FCD39684}"/>
  </w:font>
  <w:font w:name="仿宋_GB2312">
    <w:panose1 w:val="02010609030101010101"/>
    <w:charset w:val="86"/>
    <w:family w:val="auto"/>
    <w:pitch w:val="default"/>
    <w:sig w:usb0="00000001" w:usb1="080E0000" w:usb2="00000000" w:usb3="00000000" w:csb0="00040000" w:csb1="00000000"/>
    <w:embedRegular r:id="rId7" w:fontKey="{70CA2BA5-B928-40C0-8172-024139CB6C53}"/>
  </w:font>
  <w:font w:name="方正小标宋简体">
    <w:altName w:val="仿宋_GB2312"/>
    <w:panose1 w:val="02010601030101010101"/>
    <w:charset w:val="86"/>
    <w:family w:val="auto"/>
    <w:pitch w:val="default"/>
    <w:sig w:usb0="00000000" w:usb1="00000000" w:usb2="00000000" w:usb3="00000000" w:csb0="00040000" w:csb1="00000000"/>
    <w:embedRegular r:id="rId8" w:fontKey="{B6853DEA-DE63-4580-86C3-ED7E7DF27375}"/>
  </w:font>
  <w:font w:name="新宋体">
    <w:panose1 w:val="02010609030101010101"/>
    <w:charset w:val="86"/>
    <w:family w:val="auto"/>
    <w:pitch w:val="default"/>
    <w:sig w:usb0="00000003" w:usb1="288F0000" w:usb2="00000006" w:usb3="00000000" w:csb0="00040001" w:csb1="00000000"/>
    <w:embedRegular r:id="rId9" w:fontKey="{848CCADD-C667-4E65-BDAB-82C20D6ABE4F}"/>
  </w:font>
  <w:font w:name="FangSong_GB2312">
    <w:altName w:val="仿宋_GB2312"/>
    <w:panose1 w:val="02010609060101010101"/>
    <w:charset w:val="86"/>
    <w:family w:val="modern"/>
    <w:pitch w:val="default"/>
    <w:sig w:usb0="00000000" w:usb1="00000000" w:usb2="00000016" w:usb3="00000000" w:csb0="00040001" w:csb1="00000000"/>
    <w:embedRegular r:id="rId10" w:fontKey="{AF3FDCB5-E2EA-460F-AB51-B1B47DEDA33F}"/>
  </w:font>
  <w:font w:name="方正小标宋_GBK">
    <w:panose1 w:val="03000509000000000000"/>
    <w:charset w:val="86"/>
    <w:family w:val="script"/>
    <w:pitch w:val="default"/>
    <w:sig w:usb0="00000001" w:usb1="080E0000" w:usb2="00000000" w:usb3="00000000" w:csb0="00040000" w:csb1="00000000"/>
    <w:embedRegular r:id="rId11" w:fontKey="{A03B274A-23B1-4F91-B091-2E505574E36D}"/>
  </w:font>
  <w:font w:name="楷体_GB2312">
    <w:panose1 w:val="02010609030101010101"/>
    <w:charset w:val="86"/>
    <w:family w:val="auto"/>
    <w:pitch w:val="default"/>
    <w:sig w:usb0="00000001" w:usb1="080E0000" w:usb2="00000000" w:usb3="00000000" w:csb0="00040000" w:csb1="00000000"/>
    <w:embedRegular r:id="rId12" w:fontKey="{670FEC8A-B15C-4404-8870-29147AC6000D}"/>
  </w:font>
  <w:font w:name="仿宋">
    <w:panose1 w:val="02010609060101010101"/>
    <w:charset w:val="86"/>
    <w:family w:val="auto"/>
    <w:pitch w:val="default"/>
    <w:sig w:usb0="800002BF" w:usb1="38CF7CFA" w:usb2="00000016" w:usb3="00000000" w:csb0="00040001" w:csb1="00000000"/>
    <w:embedRegular r:id="rId13" w:fontKey="{D7947C9A-FFAE-4D9B-B548-7B7FD61A8F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8"/>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4E2F8D"/>
    <w:multiLevelType w:val="singleLevel"/>
    <w:tmpl w:val="A04E2F8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5YWU1ZmI5M2ZiNDRjMzcyMGI3ZDQyNTRmOWE2ZDEifQ=="/>
  </w:docVars>
  <w:rsids>
    <w:rsidRoot w:val="0CCB7736"/>
    <w:rsid w:val="00047FEF"/>
    <w:rsid w:val="000A3906"/>
    <w:rsid w:val="001776F1"/>
    <w:rsid w:val="00546B95"/>
    <w:rsid w:val="006F0A16"/>
    <w:rsid w:val="00773328"/>
    <w:rsid w:val="00821883"/>
    <w:rsid w:val="00917857"/>
    <w:rsid w:val="00A755C2"/>
    <w:rsid w:val="016A347B"/>
    <w:rsid w:val="0209000E"/>
    <w:rsid w:val="02B50488"/>
    <w:rsid w:val="0338470A"/>
    <w:rsid w:val="034822A9"/>
    <w:rsid w:val="03D86621"/>
    <w:rsid w:val="04EE6171"/>
    <w:rsid w:val="05395EA9"/>
    <w:rsid w:val="07397B77"/>
    <w:rsid w:val="097F356F"/>
    <w:rsid w:val="0ABD557B"/>
    <w:rsid w:val="0BBB5A8D"/>
    <w:rsid w:val="0BC159E2"/>
    <w:rsid w:val="0C104906"/>
    <w:rsid w:val="0CCB7736"/>
    <w:rsid w:val="0D5D49D6"/>
    <w:rsid w:val="0D9E0E8D"/>
    <w:rsid w:val="0DB429A2"/>
    <w:rsid w:val="0DF4544A"/>
    <w:rsid w:val="0E5508F9"/>
    <w:rsid w:val="0EAB7397"/>
    <w:rsid w:val="0ECE05F4"/>
    <w:rsid w:val="0EF755B3"/>
    <w:rsid w:val="0F17035E"/>
    <w:rsid w:val="0F4E168D"/>
    <w:rsid w:val="11404466"/>
    <w:rsid w:val="11762328"/>
    <w:rsid w:val="11963ADD"/>
    <w:rsid w:val="11EB0F5C"/>
    <w:rsid w:val="11F20483"/>
    <w:rsid w:val="128E3070"/>
    <w:rsid w:val="136F31F8"/>
    <w:rsid w:val="138750E0"/>
    <w:rsid w:val="15112E59"/>
    <w:rsid w:val="1579204C"/>
    <w:rsid w:val="15A620D3"/>
    <w:rsid w:val="16A3369E"/>
    <w:rsid w:val="178536BD"/>
    <w:rsid w:val="18BC5F4D"/>
    <w:rsid w:val="1933444D"/>
    <w:rsid w:val="19516372"/>
    <w:rsid w:val="19575CC2"/>
    <w:rsid w:val="19A80228"/>
    <w:rsid w:val="1A101464"/>
    <w:rsid w:val="1A9B3458"/>
    <w:rsid w:val="1AA26CD8"/>
    <w:rsid w:val="1AB74849"/>
    <w:rsid w:val="1AC52FF2"/>
    <w:rsid w:val="1AE6175D"/>
    <w:rsid w:val="1B742AA7"/>
    <w:rsid w:val="1CA34935"/>
    <w:rsid w:val="1CFA40C7"/>
    <w:rsid w:val="1D017DC5"/>
    <w:rsid w:val="1D5A640E"/>
    <w:rsid w:val="1E6D581F"/>
    <w:rsid w:val="1F7640EC"/>
    <w:rsid w:val="20455B10"/>
    <w:rsid w:val="20D76C5F"/>
    <w:rsid w:val="21057490"/>
    <w:rsid w:val="214A230E"/>
    <w:rsid w:val="21B052C4"/>
    <w:rsid w:val="22FF5445"/>
    <w:rsid w:val="23065733"/>
    <w:rsid w:val="238D0E57"/>
    <w:rsid w:val="24256710"/>
    <w:rsid w:val="251E7983"/>
    <w:rsid w:val="25885A22"/>
    <w:rsid w:val="260D5D83"/>
    <w:rsid w:val="26F816B6"/>
    <w:rsid w:val="28294D79"/>
    <w:rsid w:val="284A2254"/>
    <w:rsid w:val="28FB3848"/>
    <w:rsid w:val="292F1467"/>
    <w:rsid w:val="29786927"/>
    <w:rsid w:val="297B51B4"/>
    <w:rsid w:val="29E40467"/>
    <w:rsid w:val="29F527E2"/>
    <w:rsid w:val="2A1D7222"/>
    <w:rsid w:val="2A661299"/>
    <w:rsid w:val="2A726245"/>
    <w:rsid w:val="2B747CAD"/>
    <w:rsid w:val="2BF35971"/>
    <w:rsid w:val="2C487650"/>
    <w:rsid w:val="2E4A2482"/>
    <w:rsid w:val="2E4F43C0"/>
    <w:rsid w:val="2E5276CD"/>
    <w:rsid w:val="2EC7368E"/>
    <w:rsid w:val="30FB4B41"/>
    <w:rsid w:val="31621165"/>
    <w:rsid w:val="319A041A"/>
    <w:rsid w:val="323C5548"/>
    <w:rsid w:val="324E146B"/>
    <w:rsid w:val="329F4483"/>
    <w:rsid w:val="33BF39BD"/>
    <w:rsid w:val="34310128"/>
    <w:rsid w:val="35661CB4"/>
    <w:rsid w:val="35B54C33"/>
    <w:rsid w:val="37450F88"/>
    <w:rsid w:val="37D6106F"/>
    <w:rsid w:val="38F862EB"/>
    <w:rsid w:val="39343807"/>
    <w:rsid w:val="39513F13"/>
    <w:rsid w:val="39887BBC"/>
    <w:rsid w:val="3A461688"/>
    <w:rsid w:val="3A53023B"/>
    <w:rsid w:val="3A726921"/>
    <w:rsid w:val="3AF42D2D"/>
    <w:rsid w:val="3B3A041F"/>
    <w:rsid w:val="3BAE6BF9"/>
    <w:rsid w:val="3CCA47F2"/>
    <w:rsid w:val="3CDE0708"/>
    <w:rsid w:val="3D0228C2"/>
    <w:rsid w:val="3D5877DF"/>
    <w:rsid w:val="3DC55CAA"/>
    <w:rsid w:val="3DD556CA"/>
    <w:rsid w:val="3E2E22A0"/>
    <w:rsid w:val="3EEF519A"/>
    <w:rsid w:val="3F450429"/>
    <w:rsid w:val="40226C80"/>
    <w:rsid w:val="40C451A5"/>
    <w:rsid w:val="4156470B"/>
    <w:rsid w:val="41943ACE"/>
    <w:rsid w:val="420212D0"/>
    <w:rsid w:val="425D4066"/>
    <w:rsid w:val="43173FD4"/>
    <w:rsid w:val="44143822"/>
    <w:rsid w:val="44654A12"/>
    <w:rsid w:val="457C5F26"/>
    <w:rsid w:val="45C951A4"/>
    <w:rsid w:val="480F0A51"/>
    <w:rsid w:val="48EF3B0C"/>
    <w:rsid w:val="49CF255F"/>
    <w:rsid w:val="4A9F6A3B"/>
    <w:rsid w:val="4AB310CF"/>
    <w:rsid w:val="4AF35B0D"/>
    <w:rsid w:val="4B2C5DCD"/>
    <w:rsid w:val="4B7D1173"/>
    <w:rsid w:val="4C150E22"/>
    <w:rsid w:val="4C6A38FC"/>
    <w:rsid w:val="4C905C83"/>
    <w:rsid w:val="4CE74BC3"/>
    <w:rsid w:val="4CF5000E"/>
    <w:rsid w:val="4D1D5A08"/>
    <w:rsid w:val="4DB17672"/>
    <w:rsid w:val="5055171C"/>
    <w:rsid w:val="50A17FA6"/>
    <w:rsid w:val="50AC44C4"/>
    <w:rsid w:val="50EA6DB9"/>
    <w:rsid w:val="51052624"/>
    <w:rsid w:val="512D6CA6"/>
    <w:rsid w:val="51CA7471"/>
    <w:rsid w:val="521C2FA3"/>
    <w:rsid w:val="522529B2"/>
    <w:rsid w:val="53910AF4"/>
    <w:rsid w:val="54B812AB"/>
    <w:rsid w:val="54E66898"/>
    <w:rsid w:val="555952B3"/>
    <w:rsid w:val="556B5A36"/>
    <w:rsid w:val="55751703"/>
    <w:rsid w:val="55AF40BB"/>
    <w:rsid w:val="56F72F7C"/>
    <w:rsid w:val="582C52D4"/>
    <w:rsid w:val="58382B00"/>
    <w:rsid w:val="586243BF"/>
    <w:rsid w:val="58FD3402"/>
    <w:rsid w:val="597520EC"/>
    <w:rsid w:val="597D6A47"/>
    <w:rsid w:val="5AAF7799"/>
    <w:rsid w:val="5B5C1753"/>
    <w:rsid w:val="5D8130A1"/>
    <w:rsid w:val="5E134100"/>
    <w:rsid w:val="5F2B0CC9"/>
    <w:rsid w:val="5F620CFC"/>
    <w:rsid w:val="5F7A1C50"/>
    <w:rsid w:val="601C4AB5"/>
    <w:rsid w:val="60BE691E"/>
    <w:rsid w:val="61444403"/>
    <w:rsid w:val="62107A09"/>
    <w:rsid w:val="62265BDF"/>
    <w:rsid w:val="625865CD"/>
    <w:rsid w:val="62E1699A"/>
    <w:rsid w:val="64147F0D"/>
    <w:rsid w:val="64D66362"/>
    <w:rsid w:val="65070998"/>
    <w:rsid w:val="65860217"/>
    <w:rsid w:val="65B37C6A"/>
    <w:rsid w:val="667E0AA1"/>
    <w:rsid w:val="67033EE6"/>
    <w:rsid w:val="68FB17C3"/>
    <w:rsid w:val="69345A96"/>
    <w:rsid w:val="693F09CB"/>
    <w:rsid w:val="695F12F9"/>
    <w:rsid w:val="69636C3A"/>
    <w:rsid w:val="69CF7B2C"/>
    <w:rsid w:val="69D5464B"/>
    <w:rsid w:val="6A0B0004"/>
    <w:rsid w:val="6AFA1032"/>
    <w:rsid w:val="6BA1010E"/>
    <w:rsid w:val="6BE471E9"/>
    <w:rsid w:val="6C8D58AB"/>
    <w:rsid w:val="6CE47E41"/>
    <w:rsid w:val="6CED5810"/>
    <w:rsid w:val="6CF92413"/>
    <w:rsid w:val="6DFE5E04"/>
    <w:rsid w:val="6E87203D"/>
    <w:rsid w:val="6F9278BB"/>
    <w:rsid w:val="71025267"/>
    <w:rsid w:val="71572F19"/>
    <w:rsid w:val="719B7427"/>
    <w:rsid w:val="72054DFA"/>
    <w:rsid w:val="724A6793"/>
    <w:rsid w:val="741F26FA"/>
    <w:rsid w:val="74470DF8"/>
    <w:rsid w:val="75424C40"/>
    <w:rsid w:val="75FD1676"/>
    <w:rsid w:val="772B3188"/>
    <w:rsid w:val="789C10FF"/>
    <w:rsid w:val="79192653"/>
    <w:rsid w:val="799536BA"/>
    <w:rsid w:val="79F92809"/>
    <w:rsid w:val="7B170752"/>
    <w:rsid w:val="7B68370A"/>
    <w:rsid w:val="7B884C47"/>
    <w:rsid w:val="7B8F681B"/>
    <w:rsid w:val="7D6618C8"/>
    <w:rsid w:val="7D7953C1"/>
    <w:rsid w:val="7DD96C0E"/>
    <w:rsid w:val="7E474F7B"/>
    <w:rsid w:val="7E522459"/>
    <w:rsid w:val="7E8F7AC1"/>
    <w:rsid w:val="7EA03BA6"/>
    <w:rsid w:val="7F937A0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16">
    <w:name w:val="Default Paragraph Font"/>
    <w:semiHidden/>
    <w:qFormat/>
    <w:uiPriority w:val="99"/>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toc 1"/>
    <w:basedOn w:val="1"/>
    <w:next w:val="1"/>
    <w:qFormat/>
    <w:uiPriority w:val="0"/>
    <w:pPr>
      <w:widowControl w:val="0"/>
      <w:spacing w:after="0"/>
      <w:jc w:val="both"/>
    </w:pPr>
    <w:rPr>
      <w:rFonts w:ascii="Times New Roman" w:hAnsi="Times New Roman" w:eastAsia="宋体" w:cs="Times New Roman"/>
      <w:kern w:val="2"/>
      <w:sz w:val="21"/>
      <w:szCs w:val="24"/>
      <w:lang w:val="en-US" w:eastAsia="zh-CN" w:bidi="ar-SA"/>
    </w:rPr>
  </w:style>
  <w:style w:type="paragraph" w:styleId="4">
    <w:name w:val="Body Text"/>
    <w:basedOn w:val="1"/>
    <w:next w:val="5"/>
    <w:qFormat/>
    <w:uiPriority w:val="0"/>
    <w:pPr>
      <w:spacing w:before="100" w:beforeAutospacing="1" w:after="120"/>
    </w:pPr>
    <w:rPr>
      <w:rFonts w:eastAsia="仿宋_GB2312"/>
      <w:sz w:val="32"/>
      <w:szCs w:val="32"/>
    </w:rPr>
  </w:style>
  <w:style w:type="paragraph" w:customStyle="1" w:styleId="5">
    <w:name w:val="正文首行缩进1"/>
    <w:basedOn w:val="1"/>
    <w:qFormat/>
    <w:uiPriority w:val="0"/>
    <w:pPr>
      <w:spacing w:after="120"/>
      <w:ind w:firstLine="100" w:firstLineChars="100"/>
    </w:p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Body Text Indent 2"/>
    <w:basedOn w:val="1"/>
    <w:qFormat/>
    <w:uiPriority w:val="0"/>
    <w:pPr>
      <w:spacing w:after="120" w:afterAutospacing="0" w:line="480" w:lineRule="auto"/>
      <w:ind w:left="420" w:leftChars="200"/>
    </w:pPr>
  </w:style>
  <w:style w:type="paragraph" w:styleId="8">
    <w:name w:val="footer"/>
    <w:basedOn w:val="1"/>
    <w:link w:val="18"/>
    <w:qFormat/>
    <w:uiPriority w:val="99"/>
    <w:pPr>
      <w:tabs>
        <w:tab w:val="center" w:pos="4153"/>
        <w:tab w:val="right" w:pos="8306"/>
      </w:tabs>
      <w:snapToGrid w:val="0"/>
      <w:jc w:val="left"/>
    </w:pPr>
    <w:rPr>
      <w:sz w:val="18"/>
      <w:szCs w:val="18"/>
    </w:rPr>
  </w:style>
  <w:style w:type="paragraph" w:styleId="9">
    <w:name w:val="header"/>
    <w:basedOn w:val="1"/>
    <w:link w:val="1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footnote text"/>
    <w:basedOn w:val="1"/>
    <w:next w:val="1"/>
    <w:qFormat/>
    <w:uiPriority w:val="0"/>
    <w:pPr>
      <w:snapToGrid w:val="0"/>
      <w:jc w:val="left"/>
    </w:pPr>
    <w:rPr>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2">
    <w:name w:val="Body Text First Indent"/>
    <w:basedOn w:val="4"/>
    <w:next w:val="1"/>
    <w:qFormat/>
    <w:uiPriority w:val="0"/>
    <w:pPr>
      <w:adjustRightInd w:val="0"/>
      <w:snapToGrid w:val="0"/>
      <w:spacing w:after="0" w:line="360" w:lineRule="auto"/>
      <w:ind w:firstLine="100" w:firstLineChars="100"/>
    </w:pPr>
    <w:rPr>
      <w:rFonts w:eastAsia="宋体"/>
      <w:sz w:val="28"/>
      <w:szCs w:val="20"/>
    </w:rPr>
  </w:style>
  <w:style w:type="paragraph" w:styleId="13">
    <w:name w:val="Body Text First Indent 2"/>
    <w:basedOn w:val="6"/>
    <w:qFormat/>
    <w:uiPriority w:val="0"/>
    <w:pPr>
      <w:spacing w:before="100" w:beforeAutospacing="1" w:after="0"/>
      <w:ind w:left="0" w:firstLine="420" w:firstLineChars="200"/>
    </w:pPr>
    <w:rPr>
      <w:rFonts w:ascii="Calibri" w:hAnsi="Calibri" w:eastAsia="宋体" w:cs="Times New Roman"/>
    </w:rPr>
  </w:style>
  <w:style w:type="table" w:styleId="15">
    <w:name w:val="Table Grid"/>
    <w:basedOn w:val="14"/>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99"/>
    <w:rPr>
      <w:rFonts w:cs="Times New Roman"/>
    </w:rPr>
  </w:style>
  <w:style w:type="character" w:customStyle="1" w:styleId="18">
    <w:name w:val="Footer Char"/>
    <w:basedOn w:val="16"/>
    <w:link w:val="8"/>
    <w:semiHidden/>
    <w:qFormat/>
    <w:uiPriority w:val="99"/>
    <w:rPr>
      <w:sz w:val="18"/>
      <w:szCs w:val="18"/>
    </w:rPr>
  </w:style>
  <w:style w:type="character" w:customStyle="1" w:styleId="19">
    <w:name w:val="Header Char"/>
    <w:basedOn w:val="16"/>
    <w:link w:val="9"/>
    <w:semiHidden/>
    <w:qFormat/>
    <w:uiPriority w:val="99"/>
    <w:rPr>
      <w:sz w:val="18"/>
      <w:szCs w:val="18"/>
    </w:rPr>
  </w:style>
  <w:style w:type="paragraph" w:styleId="20">
    <w:name w:val="List Paragraph"/>
    <w:basedOn w:val="1"/>
    <w:qFormat/>
    <w:uiPriority w:val="99"/>
    <w:pPr>
      <w:ind w:firstLine="420" w:firstLineChars="200"/>
    </w:pPr>
    <w:rPr>
      <w:rFonts w:ascii="Calibri" w:hAnsi="Calibri"/>
      <w:szCs w:val="22"/>
    </w:rPr>
  </w:style>
  <w:style w:type="character" w:customStyle="1" w:styleId="21">
    <w:name w:val="NormalCharacter"/>
    <w:qFormat/>
    <w:uiPriority w:val="99"/>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11</Pages>
  <Words>3561</Words>
  <Characters>3988</Characters>
  <Lines>0</Lines>
  <Paragraphs>0</Paragraphs>
  <TotalTime>7</TotalTime>
  <ScaleCrop>false</ScaleCrop>
  <LinksUpToDate>false</LinksUpToDate>
  <CharactersWithSpaces>4056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Queen</cp:lastModifiedBy>
  <cp:lastPrinted>2023-07-12T08:19:10Z</cp:lastPrinted>
  <dcterms:modified xsi:type="dcterms:W3CDTF">2023-07-12T08:21:45Z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22F6C65267154955AD5E17359874E52A_13</vt:lpwstr>
  </property>
</Properties>
</file>