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DA2" w:rsidRDefault="000D1E5F" w:rsidP="00182462">
      <w:pPr>
        <w:spacing w:afterLines="50" w:line="600" w:lineRule="exact"/>
        <w:rPr>
          <w:rFonts w:ascii="黑体" w:eastAsia="黑体" w:hAnsi="黑体" w:cs="黑体"/>
          <w:sz w:val="32"/>
          <w:szCs w:val="32"/>
        </w:rPr>
      </w:pPr>
      <w:r>
        <w:rPr>
          <w:rFonts w:ascii="黑体" w:eastAsia="黑体" w:hAnsi="黑体" w:cs="黑体" w:hint="eastAsia"/>
          <w:sz w:val="32"/>
          <w:szCs w:val="32"/>
        </w:rPr>
        <w:t>附件1</w:t>
      </w:r>
    </w:p>
    <w:p w:rsidR="00150DA2" w:rsidRDefault="000D1E5F" w:rsidP="00182462">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2022年度部门整体支出绩效评价基础数据表</w:t>
      </w:r>
    </w:p>
    <w:tbl>
      <w:tblPr>
        <w:tblW w:w="4996" w:type="pct"/>
        <w:jc w:val="center"/>
        <w:tblLook w:val="04A0"/>
      </w:tblPr>
      <w:tblGrid>
        <w:gridCol w:w="3021"/>
        <w:gridCol w:w="1836"/>
        <w:gridCol w:w="2286"/>
        <w:gridCol w:w="1570"/>
      </w:tblGrid>
      <w:tr w:rsidR="00150DA2">
        <w:trPr>
          <w:trHeight w:val="539"/>
          <w:jc w:val="center"/>
        </w:trPr>
        <w:tc>
          <w:tcPr>
            <w:tcW w:w="1733" w:type="pct"/>
            <w:vMerge w:val="restar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财政供养人员情况（人）</w:t>
            </w:r>
          </w:p>
        </w:tc>
        <w:tc>
          <w:tcPr>
            <w:tcW w:w="1053" w:type="pct"/>
            <w:tcBorders>
              <w:top w:val="single" w:sz="4" w:space="0" w:color="auto"/>
              <w:left w:val="nil"/>
              <w:bottom w:val="single" w:sz="4" w:space="0" w:color="auto"/>
              <w:right w:val="single" w:sz="4" w:space="0" w:color="auto"/>
            </w:tcBorders>
            <w:vAlign w:val="center"/>
          </w:tcPr>
          <w:p w:rsidR="00150DA2" w:rsidRDefault="000D1E5F">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编制数</w:t>
            </w:r>
          </w:p>
        </w:tc>
        <w:tc>
          <w:tcPr>
            <w:tcW w:w="1312" w:type="pct"/>
            <w:tcBorders>
              <w:top w:val="single" w:sz="4" w:space="0" w:color="auto"/>
              <w:left w:val="nil"/>
              <w:bottom w:val="single" w:sz="4" w:space="0" w:color="auto"/>
              <w:right w:val="single" w:sz="4" w:space="0" w:color="auto"/>
            </w:tcBorders>
            <w:vAlign w:val="center"/>
          </w:tcPr>
          <w:p w:rsidR="00150DA2" w:rsidRDefault="000D1E5F">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2022年实际在职人数</w:t>
            </w:r>
          </w:p>
        </w:tc>
        <w:tc>
          <w:tcPr>
            <w:tcW w:w="901" w:type="pct"/>
            <w:tcBorders>
              <w:top w:val="single" w:sz="4" w:space="0" w:color="auto"/>
              <w:left w:val="nil"/>
              <w:bottom w:val="single" w:sz="4" w:space="0" w:color="auto"/>
              <w:right w:val="single" w:sz="4" w:space="0" w:color="auto"/>
            </w:tcBorders>
            <w:vAlign w:val="center"/>
          </w:tcPr>
          <w:p w:rsidR="00150DA2" w:rsidRDefault="000D1E5F">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控制率</w:t>
            </w:r>
          </w:p>
        </w:tc>
      </w:tr>
      <w:tr w:rsidR="00150DA2">
        <w:trPr>
          <w:trHeight w:val="539"/>
          <w:jc w:val="center"/>
        </w:trPr>
        <w:tc>
          <w:tcPr>
            <w:tcW w:w="1733" w:type="pct"/>
            <w:vMerge/>
            <w:tcBorders>
              <w:top w:val="single" w:sz="4" w:space="0" w:color="auto"/>
              <w:left w:val="single" w:sz="4" w:space="0" w:color="auto"/>
              <w:bottom w:val="single" w:sz="4" w:space="0" w:color="auto"/>
              <w:right w:val="single" w:sz="4" w:space="0" w:color="auto"/>
            </w:tcBorders>
            <w:vAlign w:val="center"/>
          </w:tcPr>
          <w:p w:rsidR="00150DA2" w:rsidRDefault="00150DA2">
            <w:pPr>
              <w:widowControl/>
              <w:spacing w:line="360" w:lineRule="exact"/>
              <w:jc w:val="center"/>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auto"/>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117</w:t>
            </w:r>
          </w:p>
        </w:tc>
        <w:tc>
          <w:tcPr>
            <w:tcW w:w="1312" w:type="pct"/>
            <w:tcBorders>
              <w:top w:val="single" w:sz="4" w:space="0" w:color="auto"/>
              <w:left w:val="nil"/>
              <w:bottom w:val="single" w:sz="4" w:space="0" w:color="auto"/>
              <w:right w:val="single" w:sz="4" w:space="0" w:color="auto"/>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117</w:t>
            </w:r>
          </w:p>
        </w:tc>
        <w:tc>
          <w:tcPr>
            <w:tcW w:w="901" w:type="pct"/>
            <w:tcBorders>
              <w:top w:val="single" w:sz="4" w:space="0" w:color="auto"/>
              <w:left w:val="nil"/>
              <w:bottom w:val="single" w:sz="4" w:space="0" w:color="auto"/>
              <w:right w:val="single" w:sz="4" w:space="0" w:color="auto"/>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100%</w:t>
            </w: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经费控制情况（万元）</w:t>
            </w:r>
          </w:p>
        </w:tc>
        <w:tc>
          <w:tcPr>
            <w:tcW w:w="1053"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2021年决算数</w:t>
            </w:r>
          </w:p>
        </w:tc>
        <w:tc>
          <w:tcPr>
            <w:tcW w:w="1312"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2022年预算数</w:t>
            </w:r>
          </w:p>
        </w:tc>
        <w:tc>
          <w:tcPr>
            <w:tcW w:w="901"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2022年决算数</w:t>
            </w: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spacing w:line="360" w:lineRule="exact"/>
              <w:rPr>
                <w:rFonts w:ascii="新宋体" w:eastAsia="新宋体" w:hAnsi="新宋体" w:cs="新宋体"/>
                <w:szCs w:val="21"/>
              </w:rPr>
            </w:pPr>
            <w:r>
              <w:rPr>
                <w:rFonts w:ascii="新宋体" w:eastAsia="新宋体" w:hAnsi="新宋体" w:cs="新宋体" w:hint="eastAsia"/>
                <w:szCs w:val="21"/>
              </w:rPr>
              <w:t>一、基本支出：</w:t>
            </w:r>
          </w:p>
        </w:tc>
        <w:tc>
          <w:tcPr>
            <w:tcW w:w="1053"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1755.13</w:t>
            </w:r>
          </w:p>
        </w:tc>
        <w:tc>
          <w:tcPr>
            <w:tcW w:w="1312"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1975.59</w:t>
            </w: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spacing w:line="360" w:lineRule="exact"/>
              <w:rPr>
                <w:rFonts w:ascii="新宋体" w:eastAsia="新宋体" w:hAnsi="新宋体" w:cs="新宋体"/>
                <w:szCs w:val="21"/>
              </w:rPr>
            </w:pPr>
            <w:r>
              <w:rPr>
                <w:rFonts w:ascii="新宋体" w:eastAsia="新宋体" w:hAnsi="新宋体" w:cs="新宋体" w:hint="eastAsia"/>
                <w:szCs w:val="21"/>
              </w:rPr>
              <w:t>其中：三公经费</w:t>
            </w:r>
          </w:p>
        </w:tc>
        <w:tc>
          <w:tcPr>
            <w:tcW w:w="1053"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6.18</w:t>
            </w:r>
          </w:p>
        </w:tc>
        <w:tc>
          <w:tcPr>
            <w:tcW w:w="1312"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27.24</w:t>
            </w:r>
          </w:p>
        </w:tc>
        <w:tc>
          <w:tcPr>
            <w:tcW w:w="901"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6.11</w:t>
            </w: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spacing w:line="360" w:lineRule="exact"/>
              <w:rPr>
                <w:rFonts w:ascii="新宋体" w:eastAsia="新宋体" w:hAnsi="新宋体" w:cs="新宋体"/>
                <w:szCs w:val="21"/>
              </w:rPr>
            </w:pPr>
            <w:r>
              <w:rPr>
                <w:rFonts w:ascii="新宋体" w:eastAsia="新宋体" w:hAnsi="新宋体" w:cs="新宋体" w:hint="eastAsia"/>
                <w:szCs w:val="21"/>
              </w:rPr>
              <w:t>1.公务用车购置和维护经费</w:t>
            </w:r>
          </w:p>
        </w:tc>
        <w:tc>
          <w:tcPr>
            <w:tcW w:w="1053"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spacing w:line="360" w:lineRule="exact"/>
              <w:rPr>
                <w:rFonts w:ascii="新宋体" w:eastAsia="新宋体" w:hAnsi="新宋体" w:cs="新宋体"/>
                <w:szCs w:val="21"/>
              </w:rPr>
            </w:pPr>
            <w:r>
              <w:rPr>
                <w:rFonts w:ascii="新宋体" w:eastAsia="新宋体" w:hAnsi="新宋体" w:cs="新宋体" w:hint="eastAsia"/>
                <w:szCs w:val="21"/>
              </w:rPr>
              <w:t>其中：公车购置</w:t>
            </w:r>
          </w:p>
        </w:tc>
        <w:tc>
          <w:tcPr>
            <w:tcW w:w="1053"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spacing w:line="360" w:lineRule="exact"/>
              <w:rPr>
                <w:rFonts w:ascii="新宋体" w:eastAsia="新宋体" w:hAnsi="新宋体" w:cs="新宋体"/>
                <w:szCs w:val="21"/>
              </w:rPr>
            </w:pPr>
            <w:r>
              <w:rPr>
                <w:rFonts w:ascii="新宋体" w:eastAsia="新宋体" w:hAnsi="新宋体" w:cs="新宋体" w:hint="eastAsia"/>
                <w:szCs w:val="21"/>
              </w:rPr>
              <w:t>公车运行维护</w:t>
            </w:r>
          </w:p>
        </w:tc>
        <w:tc>
          <w:tcPr>
            <w:tcW w:w="1053"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spacing w:line="360" w:lineRule="exact"/>
              <w:rPr>
                <w:rFonts w:ascii="新宋体" w:eastAsia="新宋体" w:hAnsi="新宋体" w:cs="新宋体"/>
                <w:szCs w:val="21"/>
              </w:rPr>
            </w:pPr>
            <w:r>
              <w:rPr>
                <w:rFonts w:ascii="新宋体" w:eastAsia="新宋体" w:hAnsi="新宋体" w:cs="新宋体" w:hint="eastAsia"/>
                <w:szCs w:val="21"/>
              </w:rPr>
              <w:t>2.出国经费</w:t>
            </w:r>
          </w:p>
        </w:tc>
        <w:tc>
          <w:tcPr>
            <w:tcW w:w="1053"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spacing w:line="360" w:lineRule="exact"/>
              <w:rPr>
                <w:rFonts w:ascii="新宋体" w:eastAsia="新宋体" w:hAnsi="新宋体" w:cs="新宋体"/>
                <w:szCs w:val="21"/>
              </w:rPr>
            </w:pPr>
            <w:r>
              <w:rPr>
                <w:rFonts w:ascii="新宋体" w:eastAsia="新宋体" w:hAnsi="新宋体" w:cs="新宋体" w:hint="eastAsia"/>
                <w:szCs w:val="21"/>
              </w:rPr>
              <w:t>3.公务接待</w:t>
            </w:r>
          </w:p>
        </w:tc>
        <w:tc>
          <w:tcPr>
            <w:tcW w:w="1053"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6.18</w:t>
            </w:r>
          </w:p>
        </w:tc>
        <w:tc>
          <w:tcPr>
            <w:tcW w:w="1312"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27.24</w:t>
            </w:r>
          </w:p>
        </w:tc>
        <w:tc>
          <w:tcPr>
            <w:tcW w:w="901"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6.11</w:t>
            </w: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spacing w:line="360" w:lineRule="exact"/>
              <w:rPr>
                <w:rFonts w:ascii="新宋体" w:eastAsia="新宋体" w:hAnsi="新宋体" w:cs="新宋体"/>
                <w:szCs w:val="21"/>
              </w:rPr>
            </w:pPr>
            <w:r>
              <w:rPr>
                <w:rFonts w:ascii="新宋体" w:eastAsia="新宋体" w:hAnsi="新宋体" w:cs="新宋体" w:hint="eastAsia"/>
                <w:szCs w:val="21"/>
              </w:rPr>
              <w:t>二、项目支出：</w:t>
            </w:r>
          </w:p>
        </w:tc>
        <w:tc>
          <w:tcPr>
            <w:tcW w:w="1053"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3586.70</w:t>
            </w:r>
          </w:p>
        </w:tc>
        <w:tc>
          <w:tcPr>
            <w:tcW w:w="1312"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4019.55</w:t>
            </w: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rPr>
              <w:t>一般公共服务支出</w:t>
            </w:r>
          </w:p>
        </w:tc>
        <w:tc>
          <w:tcPr>
            <w:tcW w:w="1053"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147.10</w:t>
            </w: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rPr>
              <w:t>社会保障和就业支出</w:t>
            </w:r>
          </w:p>
        </w:tc>
        <w:tc>
          <w:tcPr>
            <w:tcW w:w="1053"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909.05</w:t>
            </w: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rPr>
              <w:t>卫生健康支出</w:t>
            </w:r>
          </w:p>
        </w:tc>
        <w:tc>
          <w:tcPr>
            <w:tcW w:w="1053"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28.70</w:t>
            </w: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rPr>
              <w:t>节能环保支出</w:t>
            </w:r>
          </w:p>
        </w:tc>
        <w:tc>
          <w:tcPr>
            <w:tcW w:w="1053"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155.00</w:t>
            </w: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rPr>
              <w:t>城乡社区支出</w:t>
            </w:r>
          </w:p>
        </w:tc>
        <w:tc>
          <w:tcPr>
            <w:tcW w:w="1053"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31.10</w:t>
            </w: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rPr>
              <w:t>农林水支出</w:t>
            </w:r>
          </w:p>
        </w:tc>
        <w:tc>
          <w:tcPr>
            <w:tcW w:w="1053"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2294.99</w:t>
            </w: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rPr>
              <w:t>交通运输支出</w:t>
            </w:r>
          </w:p>
        </w:tc>
        <w:tc>
          <w:tcPr>
            <w:tcW w:w="1053"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105.83</w:t>
            </w: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rPr>
              <w:t>自然资源海洋气象等支出</w:t>
            </w:r>
          </w:p>
        </w:tc>
        <w:tc>
          <w:tcPr>
            <w:tcW w:w="1053"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22.00</w:t>
            </w: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rPr>
              <w:t>粮油物资储备支出</w:t>
            </w:r>
          </w:p>
        </w:tc>
        <w:tc>
          <w:tcPr>
            <w:tcW w:w="1053"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252.78</w:t>
            </w: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rPr>
              <w:lastRenderedPageBreak/>
              <w:t>灾害防治及应急管理支出</w:t>
            </w:r>
          </w:p>
        </w:tc>
        <w:tc>
          <w:tcPr>
            <w:tcW w:w="1053"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35.00</w:t>
            </w: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rPr>
              <w:t>彩票公益金安排的支出</w:t>
            </w:r>
          </w:p>
        </w:tc>
        <w:tc>
          <w:tcPr>
            <w:tcW w:w="1053"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150DA2" w:rsidRDefault="00150DA2">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38.00</w:t>
            </w:r>
          </w:p>
        </w:tc>
      </w:tr>
      <w:tr w:rsidR="00150DA2">
        <w:trPr>
          <w:trHeight w:val="539"/>
          <w:jc w:val="center"/>
        </w:trPr>
        <w:tc>
          <w:tcPr>
            <w:tcW w:w="1733" w:type="pct"/>
            <w:tcBorders>
              <w:top w:val="nil"/>
              <w:left w:val="single" w:sz="4" w:space="0" w:color="auto"/>
              <w:bottom w:val="single" w:sz="4" w:space="0" w:color="auto"/>
              <w:right w:val="single" w:sz="4" w:space="0" w:color="auto"/>
            </w:tcBorders>
            <w:vAlign w:val="center"/>
          </w:tcPr>
          <w:p w:rsidR="00150DA2" w:rsidRDefault="000D1E5F">
            <w:pPr>
              <w:widowControl/>
              <w:spacing w:line="360" w:lineRule="exact"/>
              <w:rPr>
                <w:rFonts w:ascii="新宋体" w:eastAsia="新宋体" w:hAnsi="新宋体" w:cs="新宋体"/>
                <w:szCs w:val="21"/>
              </w:rPr>
            </w:pPr>
            <w:r>
              <w:rPr>
                <w:rFonts w:ascii="新宋体" w:eastAsia="新宋体" w:hAnsi="新宋体" w:cs="新宋体" w:hint="eastAsia"/>
                <w:szCs w:val="21"/>
              </w:rPr>
              <w:t>厉行节约保障措施</w:t>
            </w:r>
          </w:p>
        </w:tc>
        <w:tc>
          <w:tcPr>
            <w:tcW w:w="3266" w:type="pct"/>
            <w:gridSpan w:val="3"/>
            <w:tcBorders>
              <w:top w:val="single" w:sz="4" w:space="0" w:color="auto"/>
              <w:left w:val="nil"/>
              <w:bottom w:val="single" w:sz="4" w:space="0" w:color="auto"/>
              <w:right w:val="single" w:sz="4" w:space="0" w:color="000000"/>
            </w:tcBorders>
            <w:vAlign w:val="center"/>
          </w:tcPr>
          <w:p w:rsidR="00150DA2" w:rsidRDefault="000D1E5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减少不必要的开支</w:t>
            </w:r>
          </w:p>
        </w:tc>
      </w:tr>
    </w:tbl>
    <w:p w:rsidR="00150DA2" w:rsidRDefault="000D1E5F">
      <w:pPr>
        <w:widowControl/>
        <w:spacing w:line="400" w:lineRule="exact"/>
        <w:jc w:val="left"/>
        <w:rPr>
          <w:rFonts w:ascii="新宋体" w:eastAsia="新宋体" w:hAnsi="新宋体" w:cs="新宋体"/>
          <w:szCs w:val="21"/>
        </w:rPr>
      </w:pPr>
      <w:r>
        <w:rPr>
          <w:rFonts w:ascii="新宋体" w:eastAsia="新宋体" w:hAnsi="新宋体" w:cs="新宋体" w:hint="eastAsia"/>
          <w:szCs w:val="21"/>
        </w:rPr>
        <w:t>说明：以上数据均来源于部门决算报表，其中“基本支出”数据参照基本支出决算明细表（财决05-1表）；“三公经费”数据参照机构运行信息表（财决附03表）；“项目支出”数据参照项目支出决算明细表（财决05-2表）。</w:t>
      </w:r>
    </w:p>
    <w:p w:rsidR="00150DA2" w:rsidRDefault="00150DA2">
      <w:pPr>
        <w:widowControl/>
        <w:spacing w:line="400" w:lineRule="exact"/>
        <w:jc w:val="left"/>
        <w:rPr>
          <w:rFonts w:eastAsia="仿宋_GB2312"/>
          <w:sz w:val="22"/>
        </w:rPr>
      </w:pPr>
    </w:p>
    <w:p w:rsidR="00FF191C" w:rsidRDefault="000D1E5F">
      <w:pPr>
        <w:widowControl/>
        <w:spacing w:line="400" w:lineRule="exact"/>
        <w:jc w:val="left"/>
        <w:rPr>
          <w:rFonts w:eastAsia="仿宋_GB2312"/>
          <w:sz w:val="22"/>
        </w:rPr>
      </w:pPr>
      <w:r>
        <w:rPr>
          <w:rFonts w:eastAsia="仿宋_GB2312"/>
          <w:sz w:val="22"/>
        </w:rPr>
        <w:t>填表人：</w:t>
      </w:r>
      <w:r w:rsidR="00FF191C">
        <w:rPr>
          <w:rFonts w:eastAsia="仿宋_GB2312" w:hint="eastAsia"/>
          <w:sz w:val="22"/>
        </w:rPr>
        <w:t>余佳敏</w:t>
      </w:r>
      <w:r w:rsidR="00FF191C">
        <w:rPr>
          <w:rFonts w:eastAsia="仿宋_GB2312" w:hint="eastAsia"/>
          <w:sz w:val="22"/>
        </w:rPr>
        <w:t xml:space="preserve">                                      </w:t>
      </w:r>
      <w:r>
        <w:rPr>
          <w:rFonts w:eastAsia="仿宋_GB2312"/>
          <w:sz w:val="22"/>
        </w:rPr>
        <w:t>填报日期：</w:t>
      </w:r>
      <w:r w:rsidR="00FF191C">
        <w:rPr>
          <w:rFonts w:eastAsia="仿宋_GB2312" w:hint="eastAsia"/>
          <w:sz w:val="22"/>
        </w:rPr>
        <w:t>2023</w:t>
      </w:r>
      <w:r w:rsidR="00FF191C">
        <w:rPr>
          <w:rFonts w:eastAsia="仿宋_GB2312" w:hint="eastAsia"/>
          <w:sz w:val="22"/>
        </w:rPr>
        <w:t>年</w:t>
      </w:r>
      <w:r w:rsidR="00FF191C">
        <w:rPr>
          <w:rFonts w:ascii="宋体" w:hAnsi="宋体" w:cs="宋体" w:hint="eastAsia"/>
          <w:sz w:val="22"/>
        </w:rPr>
        <w:t>7月12日</w:t>
      </w:r>
      <w:r>
        <w:rPr>
          <w:rFonts w:eastAsia="仿宋_GB2312"/>
          <w:sz w:val="22"/>
        </w:rPr>
        <w:t xml:space="preserve"> </w:t>
      </w:r>
    </w:p>
    <w:p w:rsidR="00150DA2" w:rsidRDefault="000D1E5F">
      <w:pPr>
        <w:widowControl/>
        <w:spacing w:line="400" w:lineRule="exact"/>
        <w:jc w:val="left"/>
        <w:rPr>
          <w:rFonts w:eastAsia="黑体"/>
          <w:sz w:val="32"/>
          <w:szCs w:val="32"/>
        </w:rPr>
      </w:pPr>
      <w:r>
        <w:rPr>
          <w:rFonts w:eastAsia="仿宋_GB2312"/>
          <w:sz w:val="22"/>
        </w:rPr>
        <w:t>联系电话：</w:t>
      </w:r>
      <w:r w:rsidR="00FF191C">
        <w:rPr>
          <w:rFonts w:eastAsia="仿宋_GB2312" w:hint="eastAsia"/>
          <w:sz w:val="22"/>
        </w:rPr>
        <w:t xml:space="preserve">18773089332                               </w:t>
      </w:r>
      <w:r>
        <w:rPr>
          <w:rFonts w:eastAsia="仿宋_GB2312"/>
          <w:sz w:val="22"/>
        </w:rPr>
        <w:t>单位负责人签字：</w:t>
      </w:r>
      <w:r>
        <w:rPr>
          <w:rFonts w:eastAsia="仿宋_GB2312"/>
          <w:sz w:val="22"/>
        </w:rPr>
        <w:br w:type="page"/>
      </w:r>
      <w:r>
        <w:rPr>
          <w:rFonts w:ascii="黑体" w:eastAsia="黑体" w:hAnsi="黑体" w:cs="黑体"/>
          <w:sz w:val="32"/>
          <w:szCs w:val="32"/>
        </w:rPr>
        <w:lastRenderedPageBreak/>
        <w:t>附件</w:t>
      </w:r>
      <w:r>
        <w:rPr>
          <w:rFonts w:ascii="黑体" w:eastAsia="黑体" w:hAnsi="黑体" w:cs="黑体" w:hint="eastAsia"/>
          <w:sz w:val="32"/>
          <w:szCs w:val="32"/>
        </w:rPr>
        <w:t>2</w:t>
      </w:r>
    </w:p>
    <w:p w:rsidR="00150DA2" w:rsidRDefault="000D1E5F" w:rsidP="00182462">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2022年度部门整体支出绩效自评表</w:t>
      </w:r>
    </w:p>
    <w:tbl>
      <w:tblPr>
        <w:tblW w:w="4996" w:type="pct"/>
        <w:jc w:val="center"/>
        <w:tblLayout w:type="fixed"/>
        <w:tblLook w:val="04A0"/>
      </w:tblPr>
      <w:tblGrid>
        <w:gridCol w:w="823"/>
        <w:gridCol w:w="640"/>
        <w:gridCol w:w="807"/>
        <w:gridCol w:w="1715"/>
        <w:gridCol w:w="960"/>
        <w:gridCol w:w="960"/>
        <w:gridCol w:w="551"/>
        <w:gridCol w:w="765"/>
        <w:gridCol w:w="1492"/>
      </w:tblGrid>
      <w:tr w:rsidR="00150DA2">
        <w:trPr>
          <w:trHeight w:val="1003"/>
          <w:jc w:val="center"/>
        </w:trPr>
        <w:tc>
          <w:tcPr>
            <w:tcW w:w="472"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县级预算部门名称</w:t>
            </w:r>
          </w:p>
        </w:tc>
        <w:tc>
          <w:tcPr>
            <w:tcW w:w="4527" w:type="pct"/>
            <w:gridSpan w:val="8"/>
            <w:tcBorders>
              <w:top w:val="single" w:sz="4" w:space="0" w:color="auto"/>
              <w:left w:val="nil"/>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eastAsia="仿宋_GB2312" w:hint="eastAsia"/>
                <w:sz w:val="32"/>
                <w:szCs w:val="32"/>
              </w:rPr>
              <w:t>华容县东山镇人民政府</w:t>
            </w:r>
          </w:p>
        </w:tc>
      </w:tr>
      <w:tr w:rsidR="00150DA2">
        <w:trPr>
          <w:trHeight w:val="863"/>
          <w:jc w:val="center"/>
        </w:trPr>
        <w:tc>
          <w:tcPr>
            <w:tcW w:w="472" w:type="pct"/>
            <w:vMerge w:val="restart"/>
            <w:tcBorders>
              <w:top w:val="nil"/>
              <w:left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预算</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申请</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（万元）</w:t>
            </w:r>
          </w:p>
        </w:tc>
        <w:tc>
          <w:tcPr>
            <w:tcW w:w="830" w:type="pct"/>
            <w:gridSpan w:val="2"/>
            <w:tcBorders>
              <w:top w:val="nil"/>
              <w:left w:val="nil"/>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szCs w:val="21"/>
              </w:rPr>
            </w:pPr>
          </w:p>
        </w:tc>
        <w:tc>
          <w:tcPr>
            <w:tcW w:w="984" w:type="pct"/>
            <w:tcBorders>
              <w:top w:val="nil"/>
              <w:left w:val="nil"/>
              <w:bottom w:val="single" w:sz="4" w:space="0" w:color="auto"/>
              <w:right w:val="single" w:sz="4" w:space="0" w:color="auto"/>
            </w:tcBorders>
            <w:vAlign w:val="center"/>
          </w:tcPr>
          <w:p w:rsidR="00150DA2" w:rsidRDefault="000D1E5F">
            <w:pPr>
              <w:spacing w:line="0" w:lineRule="atLeast"/>
              <w:jc w:val="center"/>
              <w:rPr>
                <w:rFonts w:ascii="新宋体" w:eastAsia="新宋体" w:hAnsi="新宋体" w:cs="新宋体"/>
                <w:szCs w:val="21"/>
              </w:rPr>
            </w:pPr>
            <w:r>
              <w:rPr>
                <w:rFonts w:ascii="新宋体" w:eastAsia="新宋体" w:hAnsi="新宋体" w:cs="新宋体" w:hint="eastAsia"/>
                <w:szCs w:val="21"/>
              </w:rPr>
              <w:t>年初</w:t>
            </w:r>
          </w:p>
          <w:p w:rsidR="00150DA2" w:rsidRDefault="000D1E5F">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551" w:type="pct"/>
            <w:tcBorders>
              <w:top w:val="nil"/>
              <w:left w:val="nil"/>
              <w:bottom w:val="single" w:sz="4" w:space="0" w:color="auto"/>
              <w:right w:val="single" w:sz="4" w:space="0" w:color="auto"/>
            </w:tcBorders>
            <w:vAlign w:val="center"/>
          </w:tcPr>
          <w:p w:rsidR="00150DA2" w:rsidRDefault="000D1E5F">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150DA2" w:rsidRDefault="000D1E5F">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550" w:type="pct"/>
            <w:tcBorders>
              <w:top w:val="nil"/>
              <w:left w:val="nil"/>
              <w:bottom w:val="single" w:sz="4" w:space="0" w:color="auto"/>
              <w:right w:val="single" w:sz="4" w:space="0" w:color="auto"/>
            </w:tcBorders>
            <w:vAlign w:val="center"/>
          </w:tcPr>
          <w:p w:rsidR="00150DA2" w:rsidRDefault="000D1E5F">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150DA2" w:rsidRDefault="000D1E5F">
            <w:pPr>
              <w:spacing w:line="0" w:lineRule="atLeast"/>
              <w:jc w:val="center"/>
              <w:rPr>
                <w:rFonts w:ascii="新宋体" w:eastAsia="新宋体" w:hAnsi="新宋体" w:cs="新宋体"/>
                <w:szCs w:val="21"/>
              </w:rPr>
            </w:pPr>
            <w:r>
              <w:rPr>
                <w:rFonts w:ascii="新宋体" w:eastAsia="新宋体" w:hAnsi="新宋体" w:cs="新宋体" w:hint="eastAsia"/>
                <w:szCs w:val="21"/>
              </w:rPr>
              <w:t>执行数</w:t>
            </w:r>
          </w:p>
        </w:tc>
        <w:tc>
          <w:tcPr>
            <w:tcW w:w="316" w:type="pct"/>
            <w:tcBorders>
              <w:top w:val="nil"/>
              <w:left w:val="nil"/>
              <w:bottom w:val="single" w:sz="4" w:space="0" w:color="auto"/>
              <w:right w:val="single" w:sz="4" w:space="0" w:color="auto"/>
            </w:tcBorders>
            <w:vAlign w:val="center"/>
          </w:tcPr>
          <w:p w:rsidR="00150DA2" w:rsidRDefault="000D1E5F">
            <w:pPr>
              <w:spacing w:line="0" w:lineRule="atLeast"/>
              <w:jc w:val="center"/>
              <w:rPr>
                <w:rFonts w:ascii="新宋体" w:eastAsia="新宋体" w:hAnsi="新宋体" w:cs="新宋体"/>
                <w:szCs w:val="21"/>
              </w:rPr>
            </w:pPr>
            <w:r>
              <w:rPr>
                <w:rFonts w:ascii="新宋体" w:eastAsia="新宋体" w:hAnsi="新宋体" w:cs="新宋体" w:hint="eastAsia"/>
                <w:szCs w:val="21"/>
              </w:rPr>
              <w:t>分值</w:t>
            </w:r>
          </w:p>
        </w:tc>
        <w:tc>
          <w:tcPr>
            <w:tcW w:w="439" w:type="pct"/>
            <w:tcBorders>
              <w:top w:val="nil"/>
              <w:left w:val="nil"/>
              <w:bottom w:val="single" w:sz="4" w:space="0" w:color="auto"/>
              <w:right w:val="single" w:sz="4" w:space="0" w:color="auto"/>
            </w:tcBorders>
            <w:vAlign w:val="center"/>
          </w:tcPr>
          <w:p w:rsidR="00150DA2" w:rsidRDefault="000D1E5F">
            <w:pPr>
              <w:spacing w:line="0" w:lineRule="atLeast"/>
              <w:jc w:val="center"/>
              <w:rPr>
                <w:rFonts w:ascii="新宋体" w:eastAsia="新宋体" w:hAnsi="新宋体" w:cs="新宋体"/>
                <w:szCs w:val="21"/>
              </w:rPr>
            </w:pPr>
            <w:r>
              <w:rPr>
                <w:rFonts w:ascii="新宋体" w:eastAsia="新宋体" w:hAnsi="新宋体" w:cs="新宋体" w:hint="eastAsia"/>
                <w:szCs w:val="21"/>
              </w:rPr>
              <w:t>执行率</w:t>
            </w:r>
          </w:p>
        </w:tc>
        <w:tc>
          <w:tcPr>
            <w:tcW w:w="855" w:type="pct"/>
            <w:tcBorders>
              <w:top w:val="nil"/>
              <w:left w:val="nil"/>
              <w:bottom w:val="single" w:sz="4" w:space="0" w:color="auto"/>
              <w:right w:val="single" w:sz="4" w:space="0" w:color="auto"/>
            </w:tcBorders>
            <w:vAlign w:val="center"/>
          </w:tcPr>
          <w:p w:rsidR="00150DA2" w:rsidRDefault="000D1E5F">
            <w:pPr>
              <w:spacing w:line="0" w:lineRule="atLeast"/>
              <w:jc w:val="center"/>
              <w:rPr>
                <w:rFonts w:ascii="新宋体" w:eastAsia="新宋体" w:hAnsi="新宋体" w:cs="新宋体"/>
                <w:szCs w:val="21"/>
              </w:rPr>
            </w:pPr>
            <w:r>
              <w:rPr>
                <w:rFonts w:ascii="新宋体" w:eastAsia="新宋体" w:hAnsi="新宋体" w:cs="新宋体" w:hint="eastAsia"/>
                <w:szCs w:val="21"/>
              </w:rPr>
              <w:t>得分</w:t>
            </w:r>
          </w:p>
        </w:tc>
      </w:tr>
      <w:tr w:rsidR="00150DA2">
        <w:trPr>
          <w:trHeight w:val="462"/>
          <w:jc w:val="center"/>
        </w:trPr>
        <w:tc>
          <w:tcPr>
            <w:tcW w:w="472" w:type="pct"/>
            <w:vMerge/>
            <w:tcBorders>
              <w:top w:val="nil"/>
              <w:left w:val="single" w:sz="4" w:space="0" w:color="auto"/>
              <w:right w:val="single" w:sz="4" w:space="0" w:color="auto"/>
            </w:tcBorders>
            <w:vAlign w:val="center"/>
          </w:tcPr>
          <w:p w:rsidR="00150DA2" w:rsidRDefault="00150DA2">
            <w:pPr>
              <w:widowControl/>
              <w:spacing w:line="0" w:lineRule="atLeast"/>
              <w:jc w:val="center"/>
              <w:rPr>
                <w:rFonts w:ascii="新宋体" w:eastAsia="新宋体" w:hAnsi="新宋体" w:cs="新宋体"/>
                <w:color w:val="000000"/>
                <w:szCs w:val="21"/>
              </w:rPr>
            </w:pPr>
          </w:p>
        </w:tc>
        <w:tc>
          <w:tcPr>
            <w:tcW w:w="830" w:type="pct"/>
            <w:gridSpan w:val="2"/>
            <w:tcBorders>
              <w:top w:val="nil"/>
              <w:left w:val="nil"/>
              <w:bottom w:val="single" w:sz="4" w:space="0" w:color="auto"/>
              <w:right w:val="single" w:sz="4" w:space="0" w:color="auto"/>
            </w:tcBorders>
            <w:vAlign w:val="center"/>
          </w:tcPr>
          <w:p w:rsidR="00150DA2" w:rsidRDefault="000D1E5F">
            <w:pPr>
              <w:spacing w:line="0" w:lineRule="atLeast"/>
              <w:jc w:val="center"/>
              <w:rPr>
                <w:rFonts w:ascii="新宋体" w:eastAsia="新宋体" w:hAnsi="新宋体" w:cs="新宋体"/>
                <w:szCs w:val="21"/>
              </w:rPr>
            </w:pPr>
            <w:r>
              <w:rPr>
                <w:rFonts w:ascii="新宋体" w:eastAsia="新宋体" w:hAnsi="新宋体" w:cs="新宋体" w:hint="eastAsia"/>
                <w:color w:val="000000"/>
                <w:szCs w:val="21"/>
              </w:rPr>
              <w:t>年度资金总额</w:t>
            </w:r>
          </w:p>
        </w:tc>
        <w:tc>
          <w:tcPr>
            <w:tcW w:w="984" w:type="pct"/>
            <w:tcBorders>
              <w:top w:val="nil"/>
              <w:left w:val="nil"/>
              <w:bottom w:val="single" w:sz="4" w:space="0" w:color="auto"/>
              <w:right w:val="single" w:sz="4" w:space="0" w:color="auto"/>
            </w:tcBorders>
            <w:vAlign w:val="center"/>
          </w:tcPr>
          <w:p w:rsidR="00150DA2" w:rsidRDefault="000D1E5F">
            <w:pPr>
              <w:spacing w:line="0" w:lineRule="atLeast"/>
              <w:jc w:val="center"/>
              <w:rPr>
                <w:rFonts w:ascii="新宋体" w:eastAsia="新宋体" w:hAnsi="新宋体" w:cs="新宋体"/>
                <w:szCs w:val="21"/>
              </w:rPr>
            </w:pPr>
            <w:r>
              <w:rPr>
                <w:rFonts w:ascii="新宋体" w:eastAsia="新宋体" w:hAnsi="新宋体" w:cs="新宋体" w:hint="eastAsia"/>
                <w:szCs w:val="21"/>
              </w:rPr>
              <w:t>1302.09</w:t>
            </w:r>
          </w:p>
        </w:tc>
        <w:tc>
          <w:tcPr>
            <w:tcW w:w="551" w:type="pct"/>
            <w:tcBorders>
              <w:top w:val="nil"/>
              <w:left w:val="nil"/>
              <w:bottom w:val="single" w:sz="4" w:space="0" w:color="auto"/>
              <w:right w:val="single" w:sz="4" w:space="0" w:color="auto"/>
            </w:tcBorders>
            <w:vAlign w:val="center"/>
          </w:tcPr>
          <w:p w:rsidR="00150DA2" w:rsidRDefault="000D1E5F">
            <w:pPr>
              <w:spacing w:line="0" w:lineRule="atLeast"/>
              <w:jc w:val="center"/>
              <w:rPr>
                <w:rFonts w:ascii="新宋体" w:eastAsia="新宋体" w:hAnsi="新宋体" w:cs="新宋体"/>
                <w:szCs w:val="21"/>
              </w:rPr>
            </w:pPr>
            <w:r>
              <w:rPr>
                <w:rFonts w:ascii="新宋体" w:eastAsia="新宋体" w:hAnsi="新宋体" w:cs="新宋体" w:hint="eastAsia"/>
                <w:szCs w:val="21"/>
              </w:rPr>
              <w:t>5995.14</w:t>
            </w:r>
          </w:p>
        </w:tc>
        <w:tc>
          <w:tcPr>
            <w:tcW w:w="550" w:type="pct"/>
            <w:tcBorders>
              <w:top w:val="nil"/>
              <w:left w:val="nil"/>
              <w:bottom w:val="single" w:sz="4" w:space="0" w:color="auto"/>
              <w:right w:val="single" w:sz="4" w:space="0" w:color="auto"/>
            </w:tcBorders>
            <w:vAlign w:val="center"/>
          </w:tcPr>
          <w:p w:rsidR="00150DA2" w:rsidRDefault="000D1E5F">
            <w:pPr>
              <w:spacing w:line="0" w:lineRule="atLeast"/>
              <w:jc w:val="center"/>
              <w:rPr>
                <w:rFonts w:ascii="新宋体" w:eastAsia="新宋体" w:hAnsi="新宋体" w:cs="新宋体"/>
                <w:szCs w:val="21"/>
              </w:rPr>
            </w:pPr>
            <w:r>
              <w:rPr>
                <w:rFonts w:ascii="新宋体" w:eastAsia="新宋体" w:hAnsi="新宋体" w:cs="新宋体" w:hint="eastAsia"/>
                <w:szCs w:val="21"/>
              </w:rPr>
              <w:t>5995.14</w:t>
            </w:r>
          </w:p>
        </w:tc>
        <w:tc>
          <w:tcPr>
            <w:tcW w:w="316" w:type="pct"/>
            <w:tcBorders>
              <w:top w:val="nil"/>
              <w:left w:val="nil"/>
              <w:bottom w:val="single" w:sz="4" w:space="0" w:color="auto"/>
              <w:right w:val="single" w:sz="4" w:space="0" w:color="auto"/>
            </w:tcBorders>
            <w:vAlign w:val="center"/>
          </w:tcPr>
          <w:p w:rsidR="00150DA2" w:rsidRDefault="000D1E5F">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c>
          <w:tcPr>
            <w:tcW w:w="439" w:type="pct"/>
            <w:tcBorders>
              <w:top w:val="nil"/>
              <w:left w:val="nil"/>
              <w:bottom w:val="single" w:sz="4" w:space="0" w:color="auto"/>
              <w:right w:val="single" w:sz="4" w:space="0" w:color="auto"/>
            </w:tcBorders>
            <w:vAlign w:val="center"/>
          </w:tcPr>
          <w:p w:rsidR="00150DA2" w:rsidRDefault="000D1E5F">
            <w:pPr>
              <w:spacing w:line="0" w:lineRule="atLeast"/>
              <w:jc w:val="center"/>
              <w:rPr>
                <w:rFonts w:ascii="新宋体" w:eastAsia="新宋体" w:hAnsi="新宋体" w:cs="新宋体"/>
                <w:szCs w:val="21"/>
              </w:rPr>
            </w:pPr>
            <w:r>
              <w:rPr>
                <w:rFonts w:ascii="新宋体" w:eastAsia="新宋体" w:hAnsi="新宋体" w:cs="新宋体" w:hint="eastAsia"/>
                <w:szCs w:val="21"/>
              </w:rPr>
              <w:t>100%</w:t>
            </w:r>
          </w:p>
        </w:tc>
        <w:tc>
          <w:tcPr>
            <w:tcW w:w="855" w:type="pct"/>
            <w:tcBorders>
              <w:top w:val="nil"/>
              <w:left w:val="nil"/>
              <w:bottom w:val="single" w:sz="4" w:space="0" w:color="auto"/>
              <w:right w:val="single" w:sz="4" w:space="0" w:color="auto"/>
            </w:tcBorders>
            <w:vAlign w:val="center"/>
          </w:tcPr>
          <w:p w:rsidR="00150DA2" w:rsidRDefault="000D1E5F">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r>
      <w:tr w:rsidR="00150DA2">
        <w:trPr>
          <w:trHeight w:val="462"/>
          <w:jc w:val="center"/>
        </w:trPr>
        <w:tc>
          <w:tcPr>
            <w:tcW w:w="472" w:type="pct"/>
            <w:vMerge/>
            <w:tcBorders>
              <w:left w:val="single" w:sz="4" w:space="0" w:color="auto"/>
              <w:right w:val="single" w:sz="4" w:space="0" w:color="auto"/>
            </w:tcBorders>
            <w:vAlign w:val="center"/>
          </w:tcPr>
          <w:p w:rsidR="00150DA2" w:rsidRDefault="00150DA2">
            <w:pPr>
              <w:widowControl/>
              <w:spacing w:line="0" w:lineRule="atLeast"/>
              <w:jc w:val="center"/>
              <w:rPr>
                <w:rFonts w:ascii="新宋体" w:eastAsia="新宋体" w:hAnsi="新宋体" w:cs="新宋体"/>
                <w:color w:val="000000"/>
                <w:szCs w:val="21"/>
              </w:rPr>
            </w:pPr>
          </w:p>
        </w:tc>
        <w:tc>
          <w:tcPr>
            <w:tcW w:w="2365" w:type="pct"/>
            <w:gridSpan w:val="4"/>
            <w:tcBorders>
              <w:top w:val="nil"/>
              <w:left w:val="nil"/>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按收入性质分：</w:t>
            </w:r>
          </w:p>
        </w:tc>
        <w:tc>
          <w:tcPr>
            <w:tcW w:w="2162" w:type="pct"/>
            <w:gridSpan w:val="4"/>
            <w:tcBorders>
              <w:top w:val="nil"/>
              <w:left w:val="nil"/>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按支出性质分：</w:t>
            </w:r>
          </w:p>
        </w:tc>
      </w:tr>
      <w:tr w:rsidR="00150DA2">
        <w:trPr>
          <w:trHeight w:val="462"/>
          <w:jc w:val="center"/>
        </w:trPr>
        <w:tc>
          <w:tcPr>
            <w:tcW w:w="472" w:type="pct"/>
            <w:vMerge/>
            <w:tcBorders>
              <w:left w:val="single" w:sz="4" w:space="0" w:color="auto"/>
              <w:right w:val="single" w:sz="4" w:space="0" w:color="auto"/>
            </w:tcBorders>
            <w:vAlign w:val="center"/>
          </w:tcPr>
          <w:p w:rsidR="00150DA2" w:rsidRDefault="00150DA2">
            <w:pPr>
              <w:widowControl/>
              <w:spacing w:line="0" w:lineRule="atLeast"/>
              <w:jc w:val="center"/>
              <w:rPr>
                <w:rFonts w:ascii="新宋体" w:eastAsia="新宋体" w:hAnsi="新宋体" w:cs="新宋体"/>
                <w:color w:val="000000"/>
                <w:szCs w:val="21"/>
              </w:rPr>
            </w:pPr>
          </w:p>
        </w:tc>
        <w:tc>
          <w:tcPr>
            <w:tcW w:w="2365" w:type="pct"/>
            <w:gridSpan w:val="4"/>
            <w:tcBorders>
              <w:top w:val="nil"/>
              <w:left w:val="nil"/>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  一般公共预算：5579.58</w:t>
            </w:r>
          </w:p>
        </w:tc>
        <w:tc>
          <w:tcPr>
            <w:tcW w:w="2162" w:type="pct"/>
            <w:gridSpan w:val="4"/>
            <w:tcBorders>
              <w:top w:val="nil"/>
              <w:left w:val="nil"/>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其中：基本支出：1975.59</w:t>
            </w:r>
          </w:p>
        </w:tc>
      </w:tr>
      <w:tr w:rsidR="00150DA2">
        <w:trPr>
          <w:trHeight w:val="462"/>
          <w:jc w:val="center"/>
        </w:trPr>
        <w:tc>
          <w:tcPr>
            <w:tcW w:w="472" w:type="pct"/>
            <w:vMerge/>
            <w:tcBorders>
              <w:left w:val="single" w:sz="4" w:space="0" w:color="auto"/>
              <w:right w:val="single" w:sz="4" w:space="0" w:color="auto"/>
            </w:tcBorders>
            <w:vAlign w:val="center"/>
          </w:tcPr>
          <w:p w:rsidR="00150DA2" w:rsidRDefault="00150DA2">
            <w:pPr>
              <w:widowControl/>
              <w:spacing w:line="0" w:lineRule="atLeast"/>
              <w:jc w:val="center"/>
              <w:rPr>
                <w:rFonts w:ascii="新宋体" w:eastAsia="新宋体" w:hAnsi="新宋体" w:cs="新宋体"/>
                <w:color w:val="000000"/>
                <w:szCs w:val="21"/>
              </w:rPr>
            </w:pPr>
          </w:p>
        </w:tc>
        <w:tc>
          <w:tcPr>
            <w:tcW w:w="2365" w:type="pct"/>
            <w:gridSpan w:val="4"/>
            <w:tcBorders>
              <w:top w:val="nil"/>
              <w:left w:val="nil"/>
              <w:bottom w:val="single" w:sz="4" w:space="0" w:color="auto"/>
              <w:right w:val="single" w:sz="4" w:space="0" w:color="auto"/>
            </w:tcBorders>
            <w:vAlign w:val="center"/>
          </w:tcPr>
          <w:p w:rsidR="00150DA2" w:rsidRDefault="000D1E5F">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政府性基金拨款：415.56</w:t>
            </w:r>
          </w:p>
        </w:tc>
        <w:tc>
          <w:tcPr>
            <w:tcW w:w="2162" w:type="pct"/>
            <w:gridSpan w:val="4"/>
            <w:tcBorders>
              <w:top w:val="nil"/>
              <w:left w:val="nil"/>
              <w:bottom w:val="single" w:sz="4" w:space="0" w:color="auto"/>
              <w:right w:val="single" w:sz="4" w:space="0" w:color="auto"/>
            </w:tcBorders>
            <w:vAlign w:val="center"/>
          </w:tcPr>
          <w:p w:rsidR="00150DA2" w:rsidRDefault="000D1E5F">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项目支出：4019.55</w:t>
            </w:r>
          </w:p>
        </w:tc>
      </w:tr>
      <w:tr w:rsidR="00150DA2">
        <w:trPr>
          <w:trHeight w:val="462"/>
          <w:jc w:val="center"/>
        </w:trPr>
        <w:tc>
          <w:tcPr>
            <w:tcW w:w="472" w:type="pct"/>
            <w:vMerge/>
            <w:tcBorders>
              <w:left w:val="single" w:sz="4" w:space="0" w:color="auto"/>
              <w:right w:val="single" w:sz="4" w:space="0" w:color="auto"/>
            </w:tcBorders>
            <w:vAlign w:val="center"/>
          </w:tcPr>
          <w:p w:rsidR="00150DA2" w:rsidRDefault="00150DA2">
            <w:pPr>
              <w:widowControl/>
              <w:spacing w:line="0" w:lineRule="atLeast"/>
              <w:jc w:val="center"/>
              <w:rPr>
                <w:rFonts w:ascii="新宋体" w:eastAsia="新宋体" w:hAnsi="新宋体" w:cs="新宋体"/>
                <w:color w:val="000000"/>
                <w:szCs w:val="21"/>
              </w:rPr>
            </w:pPr>
          </w:p>
        </w:tc>
        <w:tc>
          <w:tcPr>
            <w:tcW w:w="2365" w:type="pct"/>
            <w:gridSpan w:val="4"/>
            <w:tcBorders>
              <w:top w:val="nil"/>
              <w:left w:val="nil"/>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纳入专户管理的非税收入拨款：</w:t>
            </w:r>
          </w:p>
        </w:tc>
        <w:tc>
          <w:tcPr>
            <w:tcW w:w="2162" w:type="pct"/>
            <w:gridSpan w:val="4"/>
            <w:tcBorders>
              <w:top w:val="nil"/>
              <w:left w:val="nil"/>
              <w:bottom w:val="single" w:sz="4" w:space="0" w:color="auto"/>
              <w:right w:val="single" w:sz="4" w:space="0" w:color="auto"/>
            </w:tcBorders>
            <w:vAlign w:val="center"/>
          </w:tcPr>
          <w:p w:rsidR="00150DA2" w:rsidRDefault="00150DA2">
            <w:pPr>
              <w:widowControl/>
              <w:spacing w:line="0" w:lineRule="atLeast"/>
              <w:jc w:val="left"/>
              <w:rPr>
                <w:rFonts w:ascii="新宋体" w:eastAsia="新宋体" w:hAnsi="新宋体" w:cs="新宋体"/>
                <w:color w:val="000000"/>
                <w:szCs w:val="21"/>
              </w:rPr>
            </w:pPr>
          </w:p>
        </w:tc>
      </w:tr>
      <w:tr w:rsidR="00150DA2">
        <w:trPr>
          <w:trHeight w:val="462"/>
          <w:jc w:val="center"/>
        </w:trPr>
        <w:tc>
          <w:tcPr>
            <w:tcW w:w="472" w:type="pct"/>
            <w:vMerge/>
            <w:tcBorders>
              <w:left w:val="single" w:sz="4" w:space="0" w:color="auto"/>
              <w:bottom w:val="single" w:sz="4" w:space="0" w:color="000000"/>
              <w:right w:val="single" w:sz="4" w:space="0" w:color="auto"/>
            </w:tcBorders>
            <w:vAlign w:val="center"/>
          </w:tcPr>
          <w:p w:rsidR="00150DA2" w:rsidRDefault="00150DA2">
            <w:pPr>
              <w:widowControl/>
              <w:spacing w:line="0" w:lineRule="atLeast"/>
              <w:jc w:val="center"/>
              <w:rPr>
                <w:rFonts w:ascii="新宋体" w:eastAsia="新宋体" w:hAnsi="新宋体" w:cs="新宋体"/>
                <w:color w:val="000000"/>
                <w:szCs w:val="21"/>
              </w:rPr>
            </w:pPr>
          </w:p>
        </w:tc>
        <w:tc>
          <w:tcPr>
            <w:tcW w:w="2365" w:type="pct"/>
            <w:gridSpan w:val="4"/>
            <w:tcBorders>
              <w:top w:val="nil"/>
              <w:left w:val="nil"/>
              <w:bottom w:val="single" w:sz="4" w:space="0" w:color="auto"/>
              <w:right w:val="single" w:sz="4" w:space="0" w:color="auto"/>
            </w:tcBorders>
            <w:vAlign w:val="center"/>
          </w:tcPr>
          <w:p w:rsidR="00150DA2" w:rsidRDefault="000D1E5F">
            <w:pPr>
              <w:widowControl/>
              <w:spacing w:line="0" w:lineRule="atLeast"/>
              <w:ind w:firstLineChars="600" w:firstLine="1260"/>
              <w:jc w:val="left"/>
              <w:rPr>
                <w:rFonts w:ascii="新宋体" w:eastAsia="新宋体" w:hAnsi="新宋体" w:cs="新宋体"/>
                <w:color w:val="000000"/>
                <w:szCs w:val="21"/>
              </w:rPr>
            </w:pPr>
            <w:r>
              <w:rPr>
                <w:rFonts w:ascii="新宋体" w:eastAsia="新宋体" w:hAnsi="新宋体" w:cs="新宋体" w:hint="eastAsia"/>
                <w:color w:val="000000"/>
                <w:szCs w:val="21"/>
              </w:rPr>
              <w:t>其他资金：</w:t>
            </w:r>
          </w:p>
        </w:tc>
        <w:tc>
          <w:tcPr>
            <w:tcW w:w="2162" w:type="pct"/>
            <w:gridSpan w:val="4"/>
            <w:tcBorders>
              <w:top w:val="nil"/>
              <w:left w:val="nil"/>
              <w:bottom w:val="single" w:sz="4" w:space="0" w:color="auto"/>
              <w:right w:val="single" w:sz="4" w:space="0" w:color="auto"/>
            </w:tcBorders>
            <w:vAlign w:val="center"/>
          </w:tcPr>
          <w:p w:rsidR="00150DA2" w:rsidRDefault="00150DA2">
            <w:pPr>
              <w:widowControl/>
              <w:spacing w:line="0" w:lineRule="atLeast"/>
              <w:jc w:val="left"/>
              <w:rPr>
                <w:rFonts w:ascii="新宋体" w:eastAsia="新宋体" w:hAnsi="新宋体" w:cs="新宋体"/>
                <w:color w:val="000000"/>
                <w:szCs w:val="21"/>
              </w:rPr>
            </w:pPr>
          </w:p>
        </w:tc>
      </w:tr>
      <w:tr w:rsidR="00150DA2">
        <w:trPr>
          <w:trHeight w:val="462"/>
          <w:jc w:val="center"/>
        </w:trPr>
        <w:tc>
          <w:tcPr>
            <w:tcW w:w="472" w:type="pct"/>
            <w:vMerge w:val="restart"/>
            <w:tcBorders>
              <w:top w:val="nil"/>
              <w:left w:val="single" w:sz="4" w:space="0" w:color="auto"/>
              <w:bottom w:val="single" w:sz="4" w:space="0" w:color="000000"/>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总体目标</w:t>
            </w:r>
          </w:p>
        </w:tc>
        <w:tc>
          <w:tcPr>
            <w:tcW w:w="2365" w:type="pct"/>
            <w:gridSpan w:val="4"/>
            <w:tcBorders>
              <w:top w:val="single" w:sz="4" w:space="0" w:color="auto"/>
              <w:left w:val="nil"/>
              <w:bottom w:val="single" w:sz="4" w:space="0" w:color="auto"/>
              <w:right w:val="single" w:sz="4" w:space="0" w:color="000000"/>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预期目标</w:t>
            </w:r>
          </w:p>
        </w:tc>
        <w:tc>
          <w:tcPr>
            <w:tcW w:w="2162" w:type="pct"/>
            <w:gridSpan w:val="4"/>
            <w:tcBorders>
              <w:top w:val="single" w:sz="4" w:space="0" w:color="auto"/>
              <w:left w:val="nil"/>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实际完成情况　</w:t>
            </w:r>
          </w:p>
        </w:tc>
      </w:tr>
      <w:tr w:rsidR="00150DA2">
        <w:trPr>
          <w:trHeight w:val="462"/>
          <w:jc w:val="center"/>
        </w:trPr>
        <w:tc>
          <w:tcPr>
            <w:tcW w:w="472" w:type="pct"/>
            <w:vMerge/>
            <w:tcBorders>
              <w:top w:val="nil"/>
              <w:left w:val="single" w:sz="4" w:space="0" w:color="auto"/>
              <w:bottom w:val="single" w:sz="4" w:space="0" w:color="auto"/>
              <w:right w:val="single" w:sz="4" w:space="0" w:color="auto"/>
            </w:tcBorders>
            <w:vAlign w:val="center"/>
          </w:tcPr>
          <w:p w:rsidR="00150DA2" w:rsidRDefault="00150DA2">
            <w:pPr>
              <w:widowControl/>
              <w:spacing w:line="0" w:lineRule="atLeast"/>
              <w:jc w:val="center"/>
              <w:rPr>
                <w:rFonts w:ascii="新宋体" w:eastAsia="新宋体" w:hAnsi="新宋体" w:cs="新宋体"/>
                <w:color w:val="000000"/>
                <w:szCs w:val="21"/>
              </w:rPr>
            </w:pPr>
          </w:p>
        </w:tc>
        <w:tc>
          <w:tcPr>
            <w:tcW w:w="2365" w:type="pct"/>
            <w:gridSpan w:val="4"/>
            <w:tcBorders>
              <w:top w:val="single" w:sz="4" w:space="0" w:color="auto"/>
              <w:left w:val="nil"/>
              <w:bottom w:val="single" w:sz="4" w:space="0" w:color="auto"/>
              <w:right w:val="single" w:sz="4" w:space="0" w:color="000000"/>
            </w:tcBorders>
            <w:vAlign w:val="center"/>
          </w:tcPr>
          <w:p w:rsidR="00150DA2" w:rsidRDefault="000D1E5F">
            <w:pPr>
              <w:widowControl/>
              <w:spacing w:line="0" w:lineRule="atLeast"/>
              <w:ind w:firstLineChars="100" w:firstLine="210"/>
              <w:jc w:val="left"/>
              <w:rPr>
                <w:rFonts w:ascii="新宋体" w:eastAsia="新宋体" w:hAnsi="新宋体" w:cs="新宋体"/>
                <w:color w:val="000000"/>
                <w:szCs w:val="21"/>
              </w:rPr>
            </w:pPr>
            <w:r>
              <w:rPr>
                <w:rFonts w:ascii="新宋体" w:eastAsia="新宋体" w:hAnsi="新宋体" w:cs="新宋体" w:hint="eastAsia"/>
                <w:color w:val="000000"/>
                <w:szCs w:val="21"/>
              </w:rPr>
              <w:t>2022 年是本届政府的大考之年，也是东山发展史上浓墨重彩的一年。在县委、县政府和镇党委的坚强领导下，镇人大、政协的监督支持下，以习近平新时代中国特色社会主义思想和党的二十大精神为指引，认真贯彻中央、省、市、县决策部署，有效应对“3.15”舆情危机、多轮疫情冲击、罕见高温干旱等 多重困难挑战，全力推进东山镇“一极三镇”建设进程，稳步开启了东山高质量发展新篇章。</w:t>
            </w:r>
          </w:p>
          <w:p w:rsidR="00150DA2" w:rsidRDefault="00150DA2">
            <w:pPr>
              <w:widowControl/>
              <w:spacing w:line="0" w:lineRule="atLeast"/>
              <w:jc w:val="center"/>
              <w:rPr>
                <w:rFonts w:ascii="新宋体" w:eastAsia="新宋体" w:hAnsi="新宋体" w:cs="新宋体"/>
                <w:color w:val="000000"/>
                <w:szCs w:val="21"/>
              </w:rPr>
            </w:pPr>
          </w:p>
        </w:tc>
        <w:tc>
          <w:tcPr>
            <w:tcW w:w="2162" w:type="pct"/>
            <w:gridSpan w:val="4"/>
            <w:tcBorders>
              <w:top w:val="single" w:sz="4" w:space="0" w:color="auto"/>
              <w:left w:val="nil"/>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已完成</w:t>
            </w:r>
          </w:p>
        </w:tc>
      </w:tr>
      <w:tr w:rsidR="00150DA2">
        <w:trPr>
          <w:trHeight w:val="850"/>
          <w:jc w:val="center"/>
        </w:trPr>
        <w:tc>
          <w:tcPr>
            <w:tcW w:w="472" w:type="pct"/>
            <w:vMerge w:val="restar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367"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62"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84"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51"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550"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316"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439"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855"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150DA2">
        <w:trPr>
          <w:trHeight w:val="462"/>
          <w:jc w:val="center"/>
        </w:trPr>
        <w:tc>
          <w:tcPr>
            <w:tcW w:w="472"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367" w:type="pct"/>
            <w:vMerge w:val="restar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产出</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(50分)</w:t>
            </w:r>
          </w:p>
        </w:tc>
        <w:tc>
          <w:tcPr>
            <w:tcW w:w="462" w:type="pct"/>
            <w:vMerge w:val="restar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数量</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84"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洪山头工业园完成 300 亩征地拆迁及场平工作</w:t>
            </w:r>
          </w:p>
          <w:p w:rsidR="00150DA2" w:rsidRDefault="00150DA2">
            <w:pPr>
              <w:widowControl/>
              <w:spacing w:line="0" w:lineRule="atLeast"/>
              <w:jc w:val="left"/>
              <w:rPr>
                <w:rFonts w:ascii="新宋体" w:eastAsia="新宋体" w:hAnsi="新宋体" w:cs="新宋体"/>
                <w:color w:val="000000"/>
                <w:szCs w:val="21"/>
              </w:rPr>
            </w:pPr>
          </w:p>
        </w:tc>
        <w:tc>
          <w:tcPr>
            <w:tcW w:w="551"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宋体" w:hAnsi="宋体" w:cs="宋体" w:hint="eastAsia"/>
                <w:color w:val="000000"/>
                <w:kern w:val="0"/>
                <w:sz w:val="20"/>
                <w:szCs w:val="20"/>
              </w:rPr>
              <w:t>&gt;=300亩</w:t>
            </w:r>
          </w:p>
        </w:tc>
        <w:tc>
          <w:tcPr>
            <w:tcW w:w="550"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300亩</w:t>
            </w:r>
          </w:p>
        </w:tc>
        <w:tc>
          <w:tcPr>
            <w:tcW w:w="316"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39"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855"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150DA2">
        <w:trPr>
          <w:trHeight w:val="462"/>
          <w:jc w:val="center"/>
        </w:trPr>
        <w:tc>
          <w:tcPr>
            <w:tcW w:w="472"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367"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462"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984"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全年完成 516 个新厕建设</w:t>
            </w:r>
          </w:p>
          <w:p w:rsidR="00150DA2" w:rsidRDefault="00150DA2">
            <w:pPr>
              <w:widowControl/>
              <w:spacing w:line="0" w:lineRule="atLeast"/>
              <w:jc w:val="left"/>
              <w:rPr>
                <w:rFonts w:ascii="新宋体" w:eastAsia="新宋体" w:hAnsi="新宋体" w:cs="新宋体"/>
                <w:color w:val="000000"/>
                <w:szCs w:val="21"/>
              </w:rPr>
            </w:pPr>
          </w:p>
        </w:tc>
        <w:tc>
          <w:tcPr>
            <w:tcW w:w="551"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宋体" w:hAnsi="宋体" w:cs="宋体" w:hint="eastAsia"/>
                <w:color w:val="000000"/>
                <w:kern w:val="0"/>
                <w:sz w:val="20"/>
                <w:szCs w:val="20"/>
              </w:rPr>
              <w:t>&gt;=500个</w:t>
            </w:r>
          </w:p>
        </w:tc>
        <w:tc>
          <w:tcPr>
            <w:tcW w:w="550"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516个</w:t>
            </w:r>
          </w:p>
        </w:tc>
        <w:tc>
          <w:tcPr>
            <w:tcW w:w="316"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39"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855"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150DA2">
        <w:trPr>
          <w:trHeight w:val="462"/>
          <w:jc w:val="center"/>
        </w:trPr>
        <w:tc>
          <w:tcPr>
            <w:tcW w:w="472"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367"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462" w:type="pct"/>
            <w:vMerge/>
            <w:tcBorders>
              <w:top w:val="single" w:sz="4" w:space="0" w:color="auto"/>
              <w:left w:val="single" w:sz="4" w:space="0" w:color="auto"/>
              <w:bottom w:val="single" w:sz="4" w:space="0" w:color="auto"/>
              <w:right w:val="single" w:sz="4" w:space="0" w:color="auto"/>
            </w:tcBorders>
            <w:vAlign w:val="center"/>
          </w:tcPr>
          <w:p w:rsidR="00150DA2" w:rsidRDefault="00150DA2">
            <w:pPr>
              <w:widowControl/>
              <w:spacing w:line="0" w:lineRule="atLeast"/>
              <w:jc w:val="center"/>
              <w:rPr>
                <w:rFonts w:ascii="新宋体" w:eastAsia="新宋体" w:hAnsi="新宋体" w:cs="新宋体"/>
                <w:color w:val="000000"/>
                <w:szCs w:val="21"/>
              </w:rPr>
            </w:pPr>
          </w:p>
        </w:tc>
        <w:tc>
          <w:tcPr>
            <w:tcW w:w="984"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住房普查任务</w:t>
            </w:r>
          </w:p>
        </w:tc>
        <w:tc>
          <w:tcPr>
            <w:tcW w:w="551"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宋体" w:hAnsi="宋体" w:cs="宋体" w:hint="eastAsia"/>
                <w:color w:val="000000"/>
                <w:kern w:val="0"/>
                <w:sz w:val="20"/>
                <w:szCs w:val="20"/>
              </w:rPr>
              <w:t>&gt;=18800户</w:t>
            </w:r>
          </w:p>
        </w:tc>
        <w:tc>
          <w:tcPr>
            <w:tcW w:w="550"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18821户</w:t>
            </w:r>
          </w:p>
        </w:tc>
        <w:tc>
          <w:tcPr>
            <w:tcW w:w="316"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39"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855"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150DA2">
        <w:trPr>
          <w:trHeight w:val="462"/>
          <w:jc w:val="center"/>
        </w:trPr>
        <w:tc>
          <w:tcPr>
            <w:tcW w:w="472"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367"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462" w:type="pct"/>
            <w:vMerge w:val="restar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质量</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84"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jc w:val="left"/>
              <w:textAlignment w:val="center"/>
              <w:rPr>
                <w:rFonts w:ascii="新宋体" w:eastAsia="新宋体" w:hAnsi="新宋体" w:cs="新宋体"/>
                <w:color w:val="000000"/>
                <w:szCs w:val="21"/>
              </w:rPr>
            </w:pPr>
            <w:r>
              <w:rPr>
                <w:rFonts w:ascii="宋体" w:hAnsi="宋体" w:cs="宋体" w:hint="eastAsia"/>
                <w:color w:val="000000"/>
                <w:kern w:val="0"/>
                <w:sz w:val="22"/>
                <w:szCs w:val="22"/>
              </w:rPr>
              <w:t>办公设备利用率</w:t>
            </w:r>
          </w:p>
        </w:tc>
        <w:tc>
          <w:tcPr>
            <w:tcW w:w="551"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rPr>
              <w:t>&gt;=90%</w:t>
            </w:r>
          </w:p>
        </w:tc>
        <w:tc>
          <w:tcPr>
            <w:tcW w:w="550"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0"/>
                <w:szCs w:val="20"/>
              </w:rPr>
              <w:t>100%</w:t>
            </w:r>
          </w:p>
        </w:tc>
        <w:tc>
          <w:tcPr>
            <w:tcW w:w="316" w:type="pct"/>
            <w:tcBorders>
              <w:top w:val="single" w:sz="4" w:space="0" w:color="auto"/>
              <w:left w:val="single" w:sz="4" w:space="0" w:color="auto"/>
              <w:bottom w:val="single" w:sz="4" w:space="0" w:color="auto"/>
              <w:right w:val="single" w:sz="4" w:space="0" w:color="auto"/>
            </w:tcBorders>
            <w:vAlign w:val="center"/>
          </w:tcPr>
          <w:p w:rsidR="00150DA2" w:rsidRDefault="000D1E5F">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39"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855"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150DA2">
        <w:trPr>
          <w:trHeight w:val="462"/>
          <w:jc w:val="center"/>
        </w:trPr>
        <w:tc>
          <w:tcPr>
            <w:tcW w:w="472"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367"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462"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984"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jc w:val="left"/>
              <w:textAlignment w:val="center"/>
              <w:rPr>
                <w:rFonts w:ascii="新宋体" w:eastAsia="新宋体" w:hAnsi="新宋体" w:cs="新宋体"/>
                <w:color w:val="000000"/>
                <w:szCs w:val="21"/>
              </w:rPr>
            </w:pPr>
            <w:r>
              <w:rPr>
                <w:rFonts w:ascii="宋体" w:hAnsi="宋体" w:cs="宋体" w:hint="eastAsia"/>
                <w:color w:val="000000"/>
                <w:kern w:val="0"/>
                <w:sz w:val="22"/>
                <w:szCs w:val="22"/>
              </w:rPr>
              <w:t>考核指标对标对表率</w:t>
            </w:r>
          </w:p>
        </w:tc>
        <w:tc>
          <w:tcPr>
            <w:tcW w:w="551"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rPr>
              <w:t>&gt;=90%</w:t>
            </w:r>
          </w:p>
        </w:tc>
        <w:tc>
          <w:tcPr>
            <w:tcW w:w="550"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0"/>
                <w:szCs w:val="20"/>
              </w:rPr>
              <w:t>100%</w:t>
            </w:r>
          </w:p>
        </w:tc>
        <w:tc>
          <w:tcPr>
            <w:tcW w:w="316" w:type="pct"/>
            <w:tcBorders>
              <w:top w:val="single" w:sz="4" w:space="0" w:color="auto"/>
              <w:left w:val="single" w:sz="4" w:space="0" w:color="auto"/>
              <w:bottom w:val="single" w:sz="4" w:space="0" w:color="auto"/>
              <w:right w:val="single" w:sz="4" w:space="0" w:color="auto"/>
            </w:tcBorders>
            <w:vAlign w:val="center"/>
          </w:tcPr>
          <w:p w:rsidR="00150DA2" w:rsidRDefault="000D1E5F">
            <w:pPr>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439"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855"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150DA2">
        <w:trPr>
          <w:trHeight w:val="462"/>
          <w:jc w:val="center"/>
        </w:trPr>
        <w:tc>
          <w:tcPr>
            <w:tcW w:w="472"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367"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462" w:type="pct"/>
            <w:vMerge/>
            <w:tcBorders>
              <w:top w:val="single" w:sz="4" w:space="0" w:color="auto"/>
              <w:left w:val="single" w:sz="4" w:space="0" w:color="auto"/>
              <w:bottom w:val="single" w:sz="4" w:space="0" w:color="auto"/>
              <w:right w:val="single" w:sz="4" w:space="0" w:color="auto"/>
            </w:tcBorders>
            <w:vAlign w:val="center"/>
          </w:tcPr>
          <w:p w:rsidR="00150DA2" w:rsidRDefault="00150DA2">
            <w:pPr>
              <w:widowControl/>
              <w:spacing w:line="0" w:lineRule="atLeast"/>
              <w:jc w:val="center"/>
              <w:rPr>
                <w:rFonts w:ascii="新宋体" w:eastAsia="新宋体" w:hAnsi="新宋体" w:cs="新宋体"/>
                <w:color w:val="000000"/>
                <w:szCs w:val="21"/>
              </w:rPr>
            </w:pPr>
          </w:p>
        </w:tc>
        <w:tc>
          <w:tcPr>
            <w:tcW w:w="984"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jc w:val="left"/>
              <w:textAlignment w:val="center"/>
              <w:rPr>
                <w:rFonts w:ascii="新宋体" w:eastAsia="新宋体" w:hAnsi="新宋体" w:cs="新宋体"/>
                <w:color w:val="000000"/>
                <w:szCs w:val="21"/>
              </w:rPr>
            </w:pPr>
            <w:r>
              <w:rPr>
                <w:rFonts w:ascii="宋体" w:hAnsi="宋体" w:cs="宋体" w:hint="eastAsia"/>
                <w:color w:val="000000"/>
                <w:kern w:val="0"/>
                <w:sz w:val="22"/>
                <w:szCs w:val="22"/>
              </w:rPr>
              <w:t>完成工作及时率</w:t>
            </w:r>
          </w:p>
        </w:tc>
        <w:tc>
          <w:tcPr>
            <w:tcW w:w="551"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rPr>
              <w:t>&gt;=98%</w:t>
            </w:r>
          </w:p>
        </w:tc>
        <w:tc>
          <w:tcPr>
            <w:tcW w:w="550"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0"/>
                <w:szCs w:val="20"/>
              </w:rPr>
              <w:t>100%</w:t>
            </w:r>
          </w:p>
        </w:tc>
        <w:tc>
          <w:tcPr>
            <w:tcW w:w="316" w:type="pct"/>
            <w:tcBorders>
              <w:top w:val="single" w:sz="4" w:space="0" w:color="auto"/>
              <w:left w:val="single" w:sz="4" w:space="0" w:color="auto"/>
              <w:bottom w:val="single" w:sz="4" w:space="0" w:color="auto"/>
              <w:right w:val="single" w:sz="4" w:space="0" w:color="auto"/>
            </w:tcBorders>
            <w:vAlign w:val="center"/>
          </w:tcPr>
          <w:p w:rsidR="00150DA2" w:rsidRDefault="000D1E5F">
            <w:pPr>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439"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855"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150DA2">
        <w:trPr>
          <w:trHeight w:val="462"/>
          <w:jc w:val="center"/>
        </w:trPr>
        <w:tc>
          <w:tcPr>
            <w:tcW w:w="472"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367"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462"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时效</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84"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jc w:val="left"/>
              <w:textAlignment w:val="center"/>
              <w:rPr>
                <w:rFonts w:ascii="新宋体" w:eastAsia="新宋体" w:hAnsi="新宋体" w:cs="新宋体"/>
                <w:color w:val="000000"/>
                <w:szCs w:val="21"/>
              </w:rPr>
            </w:pPr>
            <w:r>
              <w:rPr>
                <w:rFonts w:ascii="宋体" w:hAnsi="宋体" w:cs="宋体" w:hint="eastAsia"/>
                <w:color w:val="000000"/>
                <w:kern w:val="0"/>
                <w:sz w:val="22"/>
                <w:szCs w:val="22"/>
              </w:rPr>
              <w:t>12月30日前预算执行支出率</w:t>
            </w:r>
          </w:p>
        </w:tc>
        <w:tc>
          <w:tcPr>
            <w:tcW w:w="551"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rPr>
              <w:t>=100%</w:t>
            </w:r>
          </w:p>
        </w:tc>
        <w:tc>
          <w:tcPr>
            <w:tcW w:w="550"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0"/>
                <w:szCs w:val="20"/>
              </w:rPr>
              <w:t>100%</w:t>
            </w:r>
          </w:p>
        </w:tc>
        <w:tc>
          <w:tcPr>
            <w:tcW w:w="316"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439"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855"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150DA2">
        <w:trPr>
          <w:trHeight w:val="462"/>
          <w:jc w:val="center"/>
        </w:trPr>
        <w:tc>
          <w:tcPr>
            <w:tcW w:w="472"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367"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462" w:type="pct"/>
            <w:vMerge w:val="restar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成本</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84"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rPr>
                <w:rFonts w:ascii="新宋体" w:eastAsia="新宋体" w:hAnsi="新宋体" w:cs="新宋体"/>
                <w:color w:val="000000"/>
                <w:szCs w:val="21"/>
              </w:rPr>
            </w:pPr>
            <w:r>
              <w:rPr>
                <w:rFonts w:ascii="新宋体" w:eastAsia="新宋体" w:hAnsi="新宋体" w:cs="新宋体" w:hint="eastAsia"/>
                <w:color w:val="000000"/>
                <w:szCs w:val="21"/>
              </w:rPr>
              <w:t>基本支出</w:t>
            </w:r>
          </w:p>
        </w:tc>
        <w:tc>
          <w:tcPr>
            <w:tcW w:w="551"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1975.59</w:t>
            </w:r>
          </w:p>
        </w:tc>
        <w:tc>
          <w:tcPr>
            <w:tcW w:w="550"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316"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39"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855"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150DA2">
        <w:trPr>
          <w:trHeight w:val="462"/>
          <w:jc w:val="center"/>
        </w:trPr>
        <w:tc>
          <w:tcPr>
            <w:tcW w:w="472"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367"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462" w:type="pct"/>
            <w:vMerge/>
            <w:tcBorders>
              <w:top w:val="single" w:sz="4" w:space="0" w:color="auto"/>
              <w:left w:val="single" w:sz="4" w:space="0" w:color="auto"/>
              <w:bottom w:val="single" w:sz="4" w:space="0" w:color="auto"/>
              <w:right w:val="single" w:sz="4" w:space="0" w:color="auto"/>
            </w:tcBorders>
            <w:vAlign w:val="center"/>
          </w:tcPr>
          <w:p w:rsidR="00150DA2" w:rsidRDefault="00150DA2">
            <w:pPr>
              <w:spacing w:line="0" w:lineRule="atLeast"/>
              <w:jc w:val="left"/>
              <w:rPr>
                <w:rFonts w:ascii="新宋体" w:eastAsia="新宋体" w:hAnsi="新宋体" w:cs="新宋体"/>
                <w:color w:val="000000"/>
                <w:szCs w:val="21"/>
              </w:rPr>
            </w:pPr>
          </w:p>
        </w:tc>
        <w:tc>
          <w:tcPr>
            <w:tcW w:w="984"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项目支出</w:t>
            </w:r>
          </w:p>
        </w:tc>
        <w:tc>
          <w:tcPr>
            <w:tcW w:w="551"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4019.55</w:t>
            </w:r>
          </w:p>
        </w:tc>
        <w:tc>
          <w:tcPr>
            <w:tcW w:w="550"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316"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39"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855"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150DA2">
        <w:trPr>
          <w:trHeight w:val="850"/>
          <w:jc w:val="center"/>
        </w:trPr>
        <w:tc>
          <w:tcPr>
            <w:tcW w:w="472" w:type="pct"/>
            <w:vMerge w:val="restart"/>
            <w:tcBorders>
              <w:top w:val="single" w:sz="4" w:space="0" w:color="auto"/>
              <w:left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150DA2" w:rsidRDefault="000D1E5F">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367"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62"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84"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51"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550"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316"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439"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855"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150DA2">
        <w:trPr>
          <w:trHeight w:val="462"/>
          <w:jc w:val="center"/>
        </w:trPr>
        <w:tc>
          <w:tcPr>
            <w:tcW w:w="472" w:type="pct"/>
            <w:vMerge/>
            <w:tcBorders>
              <w:left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367" w:type="pct"/>
            <w:vMerge w:val="restar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效益</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（30分）</w:t>
            </w:r>
          </w:p>
        </w:tc>
        <w:tc>
          <w:tcPr>
            <w:tcW w:w="462"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经济效</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984"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jc w:val="left"/>
              <w:textAlignment w:val="center"/>
              <w:rPr>
                <w:rFonts w:ascii="宋体" w:hAnsi="宋体" w:cs="宋体"/>
                <w:color w:val="000000"/>
                <w:kern w:val="0"/>
                <w:sz w:val="22"/>
                <w:szCs w:val="22"/>
              </w:rPr>
            </w:pPr>
            <w:r>
              <w:rPr>
                <w:rFonts w:ascii="宋体" w:hAnsi="宋体" w:cs="宋体" w:hint="eastAsia"/>
                <w:color w:val="000000"/>
                <w:kern w:val="0"/>
                <w:sz w:val="22"/>
                <w:szCs w:val="22"/>
              </w:rPr>
              <w:t xml:space="preserve">华容道皱皮柑、兰家红松菌、桃花山竹笋、塔市驿蒸菜等地域特色产品在省、市、 </w:t>
            </w:r>
          </w:p>
          <w:p w:rsidR="00150DA2" w:rsidRDefault="000D1E5F">
            <w:pPr>
              <w:widowControl/>
              <w:jc w:val="left"/>
              <w:textAlignment w:val="center"/>
              <w:rPr>
                <w:rFonts w:ascii="宋体" w:hAnsi="宋体" w:cs="宋体"/>
                <w:color w:val="000000"/>
                <w:kern w:val="0"/>
                <w:sz w:val="22"/>
                <w:szCs w:val="22"/>
              </w:rPr>
            </w:pPr>
            <w:r>
              <w:rPr>
                <w:rFonts w:ascii="宋体" w:hAnsi="宋体" w:cs="宋体" w:hint="eastAsia"/>
                <w:color w:val="000000"/>
                <w:kern w:val="0"/>
                <w:sz w:val="22"/>
                <w:szCs w:val="22"/>
              </w:rPr>
              <w:t xml:space="preserve">县影响力进一步扩大，特色小镇内涵不断丰富，乡村振兴“基 </w:t>
            </w:r>
          </w:p>
          <w:p w:rsidR="00150DA2" w:rsidRDefault="000D1E5F">
            <w:pPr>
              <w:widowControl/>
              <w:jc w:val="left"/>
              <w:textAlignment w:val="center"/>
              <w:rPr>
                <w:rFonts w:ascii="宋体" w:hAnsi="宋体" w:cs="宋体"/>
                <w:color w:val="000000"/>
                <w:kern w:val="0"/>
                <w:sz w:val="22"/>
                <w:szCs w:val="22"/>
              </w:rPr>
            </w:pPr>
            <w:r>
              <w:rPr>
                <w:rFonts w:ascii="宋体" w:hAnsi="宋体" w:cs="宋体" w:hint="eastAsia"/>
                <w:color w:val="000000"/>
                <w:kern w:val="0"/>
                <w:sz w:val="22"/>
                <w:szCs w:val="22"/>
              </w:rPr>
              <w:t>座”不断夯实</w:t>
            </w:r>
          </w:p>
          <w:p w:rsidR="00150DA2" w:rsidRDefault="00150DA2">
            <w:pPr>
              <w:widowControl/>
              <w:jc w:val="left"/>
              <w:textAlignment w:val="center"/>
              <w:rPr>
                <w:rFonts w:ascii="宋体" w:hAnsi="宋体" w:cs="宋体"/>
                <w:color w:val="000000"/>
                <w:kern w:val="0"/>
                <w:sz w:val="22"/>
                <w:szCs w:val="22"/>
              </w:rPr>
            </w:pPr>
          </w:p>
        </w:tc>
        <w:tc>
          <w:tcPr>
            <w:tcW w:w="551"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=人均收入较上年提高%</w:t>
            </w:r>
          </w:p>
        </w:tc>
        <w:tc>
          <w:tcPr>
            <w:tcW w:w="550"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316"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439"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855"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150DA2">
        <w:trPr>
          <w:trHeight w:val="462"/>
          <w:jc w:val="center"/>
        </w:trPr>
        <w:tc>
          <w:tcPr>
            <w:tcW w:w="472" w:type="pct"/>
            <w:vMerge/>
            <w:tcBorders>
              <w:left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367" w:type="pct"/>
            <w:vMerge/>
            <w:tcBorders>
              <w:left w:val="nil"/>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462" w:type="pct"/>
            <w:tcBorders>
              <w:top w:val="nil"/>
              <w:left w:val="nil"/>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社会效</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984" w:type="pct"/>
            <w:tcBorders>
              <w:top w:val="nil"/>
              <w:left w:val="nil"/>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社会和谐稳定</w:t>
            </w:r>
          </w:p>
        </w:tc>
        <w:tc>
          <w:tcPr>
            <w:tcW w:w="551" w:type="pct"/>
            <w:tcBorders>
              <w:top w:val="nil"/>
              <w:left w:val="nil"/>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=信访维稳，促进和谐稳定%</w:t>
            </w:r>
          </w:p>
        </w:tc>
        <w:tc>
          <w:tcPr>
            <w:tcW w:w="550" w:type="pct"/>
            <w:tcBorders>
              <w:top w:val="nil"/>
              <w:left w:val="nil"/>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316" w:type="pct"/>
            <w:tcBorders>
              <w:top w:val="nil"/>
              <w:left w:val="nil"/>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5　</w:t>
            </w:r>
          </w:p>
        </w:tc>
        <w:tc>
          <w:tcPr>
            <w:tcW w:w="439" w:type="pct"/>
            <w:tcBorders>
              <w:top w:val="nil"/>
              <w:left w:val="nil"/>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5　</w:t>
            </w:r>
          </w:p>
        </w:tc>
        <w:tc>
          <w:tcPr>
            <w:tcW w:w="855" w:type="pct"/>
            <w:tcBorders>
              <w:top w:val="nil"/>
              <w:left w:val="nil"/>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150DA2">
        <w:trPr>
          <w:trHeight w:val="462"/>
          <w:jc w:val="center"/>
        </w:trPr>
        <w:tc>
          <w:tcPr>
            <w:tcW w:w="472" w:type="pct"/>
            <w:vMerge/>
            <w:tcBorders>
              <w:left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367" w:type="pct"/>
            <w:vMerge/>
            <w:tcBorders>
              <w:left w:val="nil"/>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462" w:type="pct"/>
            <w:tcBorders>
              <w:top w:val="nil"/>
              <w:left w:val="nil"/>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生态效</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984" w:type="pct"/>
            <w:tcBorders>
              <w:top w:val="nil"/>
              <w:left w:val="nil"/>
              <w:bottom w:val="single" w:sz="4" w:space="0" w:color="auto"/>
              <w:right w:val="single" w:sz="4" w:space="0" w:color="auto"/>
            </w:tcBorders>
            <w:vAlign w:val="center"/>
          </w:tcPr>
          <w:p w:rsidR="00150DA2" w:rsidRDefault="000D1E5F">
            <w:pPr>
              <w:widowControl/>
              <w:jc w:val="left"/>
              <w:textAlignment w:val="center"/>
              <w:rPr>
                <w:rFonts w:ascii="宋体" w:hAnsi="宋体" w:cs="宋体"/>
                <w:color w:val="000000"/>
                <w:kern w:val="0"/>
                <w:sz w:val="22"/>
                <w:szCs w:val="22"/>
              </w:rPr>
            </w:pPr>
            <w:r>
              <w:rPr>
                <w:rFonts w:ascii="宋体" w:hAnsi="宋体" w:cs="宋体" w:hint="eastAsia"/>
                <w:color w:val="000000"/>
                <w:kern w:val="0"/>
                <w:sz w:val="22"/>
                <w:szCs w:val="22"/>
              </w:rPr>
              <w:t>对 25 家养殖场逐户上门签订承诺书，完成华容道养鸡场、烟灯村养猪场整体退出及周边环境复绿工作，并顺利通过</w:t>
            </w:r>
            <w:r>
              <w:rPr>
                <w:rFonts w:ascii="宋体" w:hAnsi="宋体" w:cs="宋体" w:hint="eastAsia"/>
                <w:color w:val="000000"/>
                <w:kern w:val="0"/>
                <w:sz w:val="22"/>
                <w:szCs w:val="22"/>
              </w:rPr>
              <w:lastRenderedPageBreak/>
              <w:t>省级验收</w:t>
            </w:r>
          </w:p>
          <w:p w:rsidR="00150DA2" w:rsidRDefault="00150DA2">
            <w:pPr>
              <w:widowControl/>
              <w:spacing w:line="0" w:lineRule="atLeast"/>
              <w:jc w:val="center"/>
              <w:rPr>
                <w:rFonts w:ascii="新宋体" w:eastAsia="新宋体" w:hAnsi="新宋体" w:cs="新宋体"/>
                <w:color w:val="000000"/>
                <w:szCs w:val="21"/>
              </w:rPr>
            </w:pPr>
          </w:p>
        </w:tc>
        <w:tc>
          <w:tcPr>
            <w:tcW w:w="551" w:type="pct"/>
            <w:tcBorders>
              <w:top w:val="nil"/>
              <w:left w:val="nil"/>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lastRenderedPageBreak/>
              <w:t xml:space="preserve">=人居环境得到改善%　</w:t>
            </w:r>
          </w:p>
        </w:tc>
        <w:tc>
          <w:tcPr>
            <w:tcW w:w="550" w:type="pct"/>
            <w:tcBorders>
              <w:top w:val="nil"/>
              <w:left w:val="nil"/>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100%　</w:t>
            </w:r>
          </w:p>
        </w:tc>
        <w:tc>
          <w:tcPr>
            <w:tcW w:w="316" w:type="pct"/>
            <w:tcBorders>
              <w:top w:val="nil"/>
              <w:left w:val="nil"/>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10　</w:t>
            </w:r>
          </w:p>
        </w:tc>
        <w:tc>
          <w:tcPr>
            <w:tcW w:w="439" w:type="pct"/>
            <w:tcBorders>
              <w:top w:val="nil"/>
              <w:left w:val="nil"/>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10　</w:t>
            </w:r>
          </w:p>
        </w:tc>
        <w:tc>
          <w:tcPr>
            <w:tcW w:w="855" w:type="pct"/>
            <w:tcBorders>
              <w:top w:val="nil"/>
              <w:left w:val="nil"/>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150DA2">
        <w:trPr>
          <w:trHeight w:val="462"/>
          <w:jc w:val="center"/>
        </w:trPr>
        <w:tc>
          <w:tcPr>
            <w:tcW w:w="472" w:type="pct"/>
            <w:vMerge/>
            <w:tcBorders>
              <w:left w:val="single" w:sz="4" w:space="0" w:color="auto"/>
              <w:right w:val="single" w:sz="4" w:space="0" w:color="auto"/>
            </w:tcBorders>
            <w:vAlign w:val="center"/>
          </w:tcPr>
          <w:p w:rsidR="00150DA2" w:rsidRDefault="00150DA2">
            <w:pPr>
              <w:widowControl/>
              <w:spacing w:line="0" w:lineRule="atLeast"/>
              <w:jc w:val="center"/>
              <w:rPr>
                <w:rFonts w:ascii="新宋体" w:eastAsia="新宋体" w:hAnsi="新宋体" w:cs="新宋体"/>
                <w:color w:val="000000"/>
                <w:szCs w:val="21"/>
              </w:rPr>
            </w:pPr>
          </w:p>
        </w:tc>
        <w:tc>
          <w:tcPr>
            <w:tcW w:w="367" w:type="pct"/>
            <w:vMerge/>
            <w:tcBorders>
              <w:left w:val="nil"/>
              <w:right w:val="single" w:sz="4" w:space="0" w:color="auto"/>
            </w:tcBorders>
            <w:vAlign w:val="center"/>
          </w:tcPr>
          <w:p w:rsidR="00150DA2" w:rsidRDefault="00150DA2">
            <w:pPr>
              <w:widowControl/>
              <w:spacing w:line="0" w:lineRule="atLeast"/>
              <w:jc w:val="center"/>
              <w:rPr>
                <w:rFonts w:ascii="新宋体" w:eastAsia="新宋体" w:hAnsi="新宋体" w:cs="新宋体"/>
                <w:color w:val="000000"/>
                <w:szCs w:val="21"/>
              </w:rPr>
            </w:pPr>
          </w:p>
        </w:tc>
        <w:tc>
          <w:tcPr>
            <w:tcW w:w="462" w:type="pct"/>
            <w:tcBorders>
              <w:top w:val="single" w:sz="4" w:space="0" w:color="auto"/>
              <w:left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可持续影响指标</w:t>
            </w:r>
          </w:p>
        </w:tc>
        <w:tc>
          <w:tcPr>
            <w:tcW w:w="984"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全镇经济发展</w:t>
            </w:r>
          </w:p>
        </w:tc>
        <w:tc>
          <w:tcPr>
            <w:tcW w:w="551"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=促进全镇经济发展%</w:t>
            </w:r>
          </w:p>
        </w:tc>
        <w:tc>
          <w:tcPr>
            <w:tcW w:w="550"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全镇经济发展</w:t>
            </w:r>
          </w:p>
        </w:tc>
        <w:tc>
          <w:tcPr>
            <w:tcW w:w="316"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5　</w:t>
            </w:r>
          </w:p>
        </w:tc>
        <w:tc>
          <w:tcPr>
            <w:tcW w:w="439"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5　</w:t>
            </w:r>
          </w:p>
        </w:tc>
        <w:tc>
          <w:tcPr>
            <w:tcW w:w="855" w:type="pct"/>
            <w:tcBorders>
              <w:top w:val="single" w:sz="4" w:space="0" w:color="auto"/>
              <w:left w:val="single" w:sz="4" w:space="0" w:color="auto"/>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150DA2">
        <w:trPr>
          <w:trHeight w:val="462"/>
          <w:jc w:val="center"/>
        </w:trPr>
        <w:tc>
          <w:tcPr>
            <w:tcW w:w="472" w:type="pct"/>
            <w:vMerge/>
            <w:tcBorders>
              <w:left w:val="single" w:sz="4" w:space="0" w:color="auto"/>
              <w:right w:val="single" w:sz="4" w:space="0" w:color="auto"/>
            </w:tcBorders>
            <w:vAlign w:val="center"/>
          </w:tcPr>
          <w:p w:rsidR="00150DA2" w:rsidRDefault="00150DA2">
            <w:pPr>
              <w:spacing w:line="0" w:lineRule="atLeast"/>
              <w:jc w:val="center"/>
              <w:rPr>
                <w:rFonts w:ascii="新宋体" w:eastAsia="新宋体" w:hAnsi="新宋体" w:cs="新宋体"/>
                <w:color w:val="000000"/>
                <w:szCs w:val="21"/>
              </w:rPr>
            </w:pPr>
          </w:p>
        </w:tc>
        <w:tc>
          <w:tcPr>
            <w:tcW w:w="367" w:type="pct"/>
            <w:tcBorders>
              <w:top w:val="nil"/>
              <w:left w:val="nil"/>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满意度</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（10分）</w:t>
            </w:r>
          </w:p>
        </w:tc>
        <w:tc>
          <w:tcPr>
            <w:tcW w:w="462" w:type="pct"/>
            <w:tcBorders>
              <w:top w:val="nil"/>
              <w:left w:val="nil"/>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服务对象满意度指标</w:t>
            </w:r>
          </w:p>
        </w:tc>
        <w:tc>
          <w:tcPr>
            <w:tcW w:w="1827" w:type="dxa"/>
            <w:tcBorders>
              <w:top w:val="nil"/>
              <w:left w:val="nil"/>
              <w:bottom w:val="single" w:sz="4" w:space="0" w:color="auto"/>
              <w:right w:val="single" w:sz="4" w:space="0" w:color="auto"/>
            </w:tcBorders>
            <w:vAlign w:val="center"/>
          </w:tcPr>
          <w:p w:rsidR="00150DA2" w:rsidRDefault="000D1E5F">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rPr>
              <w:t>&gt;=95%</w:t>
            </w:r>
          </w:p>
        </w:tc>
        <w:tc>
          <w:tcPr>
            <w:tcW w:w="1023" w:type="dxa"/>
            <w:tcBorders>
              <w:top w:val="nil"/>
              <w:left w:val="nil"/>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1022" w:type="dxa"/>
            <w:tcBorders>
              <w:top w:val="nil"/>
              <w:left w:val="nil"/>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90%　</w:t>
            </w:r>
          </w:p>
        </w:tc>
        <w:tc>
          <w:tcPr>
            <w:tcW w:w="587" w:type="dxa"/>
            <w:tcBorders>
              <w:top w:val="nil"/>
              <w:left w:val="nil"/>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10　</w:t>
            </w:r>
          </w:p>
        </w:tc>
        <w:tc>
          <w:tcPr>
            <w:tcW w:w="816" w:type="dxa"/>
            <w:tcBorders>
              <w:top w:val="nil"/>
              <w:left w:val="nil"/>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8　</w:t>
            </w:r>
          </w:p>
        </w:tc>
        <w:tc>
          <w:tcPr>
            <w:tcW w:w="855" w:type="pct"/>
            <w:tcBorders>
              <w:top w:val="nil"/>
              <w:left w:val="nil"/>
              <w:bottom w:val="single" w:sz="4" w:space="0" w:color="auto"/>
              <w:right w:val="single" w:sz="4" w:space="0" w:color="auto"/>
            </w:tcBorders>
            <w:vAlign w:val="center"/>
          </w:tcPr>
          <w:p w:rsidR="00150DA2" w:rsidRDefault="00150DA2">
            <w:pPr>
              <w:widowControl/>
              <w:spacing w:line="0" w:lineRule="atLeast"/>
              <w:jc w:val="center"/>
              <w:rPr>
                <w:rFonts w:ascii="新宋体" w:eastAsia="新宋体" w:hAnsi="新宋体" w:cs="新宋体"/>
                <w:color w:val="000000"/>
                <w:szCs w:val="21"/>
              </w:rPr>
            </w:pPr>
          </w:p>
        </w:tc>
      </w:tr>
      <w:tr w:rsidR="00150DA2">
        <w:trPr>
          <w:trHeight w:val="489"/>
          <w:jc w:val="center"/>
        </w:trPr>
        <w:tc>
          <w:tcPr>
            <w:tcW w:w="3388" w:type="pct"/>
            <w:gridSpan w:val="6"/>
            <w:tcBorders>
              <w:top w:val="single" w:sz="4" w:space="0" w:color="auto"/>
              <w:left w:val="single" w:sz="4" w:space="0" w:color="auto"/>
              <w:bottom w:val="single" w:sz="4" w:space="0" w:color="auto"/>
              <w:right w:val="single" w:sz="4" w:space="0" w:color="000000"/>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总分</w:t>
            </w:r>
          </w:p>
        </w:tc>
        <w:tc>
          <w:tcPr>
            <w:tcW w:w="316" w:type="pct"/>
            <w:tcBorders>
              <w:top w:val="nil"/>
              <w:left w:val="nil"/>
              <w:bottom w:val="single" w:sz="4" w:space="0" w:color="auto"/>
              <w:right w:val="single" w:sz="4" w:space="0" w:color="auto"/>
            </w:tcBorders>
            <w:vAlign w:val="center"/>
          </w:tcPr>
          <w:p w:rsidR="00150DA2" w:rsidRDefault="000D1E5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439" w:type="pct"/>
            <w:tcBorders>
              <w:top w:val="nil"/>
              <w:left w:val="nil"/>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98</w:t>
            </w:r>
          </w:p>
        </w:tc>
        <w:tc>
          <w:tcPr>
            <w:tcW w:w="855" w:type="pct"/>
            <w:tcBorders>
              <w:top w:val="nil"/>
              <w:left w:val="nil"/>
              <w:bottom w:val="single" w:sz="4" w:space="0" w:color="auto"/>
              <w:right w:val="single" w:sz="4" w:space="0" w:color="auto"/>
            </w:tcBorders>
            <w:vAlign w:val="center"/>
          </w:tcPr>
          <w:p w:rsidR="00150DA2" w:rsidRDefault="000D1E5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bl>
    <w:p w:rsidR="00150DA2" w:rsidRDefault="000D1E5F">
      <w:pPr>
        <w:rPr>
          <w:rFonts w:eastAsia="仿宋_GB2312"/>
          <w:sz w:val="22"/>
        </w:rPr>
      </w:pPr>
      <w:r>
        <w:rPr>
          <w:rFonts w:eastAsia="仿宋_GB2312"/>
          <w:sz w:val="22"/>
        </w:rPr>
        <w:t>说明：</w:t>
      </w:r>
      <w:r>
        <w:rPr>
          <w:rFonts w:eastAsia="仿宋_GB2312" w:hint="eastAsia"/>
          <w:sz w:val="22"/>
        </w:rPr>
        <w:t>以上数据参照</w:t>
      </w:r>
      <w:r>
        <w:rPr>
          <w:rFonts w:eastAsia="仿宋_GB2312" w:hint="eastAsia"/>
          <w:sz w:val="22"/>
        </w:rPr>
        <w:t>2022</w:t>
      </w:r>
      <w:r>
        <w:rPr>
          <w:rFonts w:eastAsia="仿宋_GB2312" w:hint="eastAsia"/>
          <w:sz w:val="22"/>
        </w:rPr>
        <w:t>年部门决算报表中的“收入支出决算总表”</w:t>
      </w:r>
      <w:r>
        <w:rPr>
          <w:rFonts w:eastAsia="仿宋_GB2312" w:hint="eastAsia"/>
          <w:sz w:val="22"/>
        </w:rPr>
        <w:t>(</w:t>
      </w:r>
      <w:r>
        <w:rPr>
          <w:rFonts w:eastAsia="仿宋_GB2312" w:hint="eastAsia"/>
          <w:sz w:val="22"/>
        </w:rPr>
        <w:t>财决</w:t>
      </w:r>
      <w:r>
        <w:rPr>
          <w:rFonts w:eastAsia="仿宋_GB2312" w:hint="eastAsia"/>
          <w:sz w:val="22"/>
        </w:rPr>
        <w:t>01</w:t>
      </w:r>
      <w:r>
        <w:rPr>
          <w:rFonts w:eastAsia="仿宋_GB2312" w:hint="eastAsia"/>
          <w:sz w:val="22"/>
        </w:rPr>
        <w:t>表</w:t>
      </w:r>
      <w:r>
        <w:rPr>
          <w:rFonts w:eastAsia="仿宋_GB2312" w:hint="eastAsia"/>
          <w:sz w:val="22"/>
        </w:rPr>
        <w:t>)</w:t>
      </w:r>
      <w:r>
        <w:rPr>
          <w:rFonts w:eastAsia="仿宋_GB2312" w:hint="eastAsia"/>
          <w:sz w:val="22"/>
        </w:rPr>
        <w:t>。</w:t>
      </w:r>
    </w:p>
    <w:p w:rsidR="00150DA2" w:rsidRDefault="00150DA2">
      <w:pPr>
        <w:pStyle w:val="a6"/>
      </w:pPr>
    </w:p>
    <w:p w:rsidR="00FF191C" w:rsidRDefault="00FF191C" w:rsidP="00FF191C">
      <w:pPr>
        <w:widowControl/>
        <w:spacing w:line="400" w:lineRule="exact"/>
        <w:jc w:val="left"/>
        <w:rPr>
          <w:rFonts w:eastAsia="仿宋_GB2312"/>
          <w:sz w:val="22"/>
        </w:rPr>
      </w:pPr>
      <w:r>
        <w:rPr>
          <w:rFonts w:eastAsia="仿宋_GB2312"/>
          <w:sz w:val="22"/>
        </w:rPr>
        <w:t>填表人：</w:t>
      </w:r>
      <w:r>
        <w:rPr>
          <w:rFonts w:eastAsia="仿宋_GB2312" w:hint="eastAsia"/>
          <w:sz w:val="22"/>
        </w:rPr>
        <w:t>余佳敏</w:t>
      </w:r>
      <w:r>
        <w:rPr>
          <w:rFonts w:eastAsia="仿宋_GB2312" w:hint="eastAsia"/>
          <w:sz w:val="22"/>
        </w:rPr>
        <w:t xml:space="preserve">                                      </w:t>
      </w:r>
      <w:r>
        <w:rPr>
          <w:rFonts w:eastAsia="仿宋_GB2312"/>
          <w:sz w:val="22"/>
        </w:rPr>
        <w:t>填报日期：</w:t>
      </w:r>
      <w:r>
        <w:rPr>
          <w:rFonts w:eastAsia="仿宋_GB2312" w:hint="eastAsia"/>
          <w:sz w:val="22"/>
        </w:rPr>
        <w:t>2023</w:t>
      </w:r>
      <w:r>
        <w:rPr>
          <w:rFonts w:eastAsia="仿宋_GB2312" w:hint="eastAsia"/>
          <w:sz w:val="22"/>
        </w:rPr>
        <w:t>年</w:t>
      </w:r>
      <w:r>
        <w:rPr>
          <w:rFonts w:ascii="宋体" w:hAnsi="宋体" w:cs="宋体" w:hint="eastAsia"/>
          <w:sz w:val="22"/>
        </w:rPr>
        <w:t>7月12日</w:t>
      </w:r>
      <w:r>
        <w:rPr>
          <w:rFonts w:eastAsia="仿宋_GB2312"/>
          <w:sz w:val="22"/>
        </w:rPr>
        <w:t xml:space="preserve"> </w:t>
      </w:r>
    </w:p>
    <w:p w:rsidR="00150DA2" w:rsidRDefault="00FF191C" w:rsidP="00FF191C">
      <w:pPr>
        <w:rPr>
          <w:rFonts w:ascii="黑体" w:eastAsia="黑体" w:hAnsi="黑体" w:cs="黑体"/>
          <w:sz w:val="32"/>
          <w:szCs w:val="32"/>
        </w:rPr>
      </w:pPr>
      <w:r>
        <w:rPr>
          <w:rFonts w:eastAsia="仿宋_GB2312"/>
          <w:sz w:val="22"/>
        </w:rPr>
        <w:t>联系电话：</w:t>
      </w:r>
      <w:r>
        <w:rPr>
          <w:rFonts w:eastAsia="仿宋_GB2312" w:hint="eastAsia"/>
          <w:sz w:val="22"/>
        </w:rPr>
        <w:t xml:space="preserve">18773089332                               </w:t>
      </w:r>
      <w:r>
        <w:rPr>
          <w:rFonts w:eastAsia="仿宋_GB2312"/>
          <w:sz w:val="22"/>
        </w:rPr>
        <w:t>单位负责人签字：</w:t>
      </w:r>
      <w:r w:rsidR="000D1E5F">
        <w:rPr>
          <w:rFonts w:eastAsia="仿宋_GB2312"/>
          <w:sz w:val="22"/>
          <w:szCs w:val="22"/>
        </w:rPr>
        <w:br w:type="page"/>
      </w:r>
      <w:r w:rsidR="000D1E5F">
        <w:rPr>
          <w:rFonts w:ascii="黑体" w:eastAsia="黑体" w:hAnsi="黑体" w:cs="黑体" w:hint="eastAsia"/>
          <w:sz w:val="32"/>
          <w:szCs w:val="32"/>
        </w:rPr>
        <w:lastRenderedPageBreak/>
        <w:t>附件3</w:t>
      </w:r>
    </w:p>
    <w:p w:rsidR="00150DA2" w:rsidRDefault="00150DA2">
      <w:pPr>
        <w:jc w:val="center"/>
        <w:rPr>
          <w:rFonts w:eastAsia="方正小标宋_GBK"/>
          <w:sz w:val="52"/>
          <w:szCs w:val="52"/>
        </w:rPr>
      </w:pPr>
    </w:p>
    <w:p w:rsidR="00150DA2" w:rsidRDefault="000D1E5F">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2022年度华容县东山镇人民政府整体支出</w:t>
      </w:r>
    </w:p>
    <w:p w:rsidR="00150DA2" w:rsidRDefault="000D1E5F">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150DA2" w:rsidRDefault="00150DA2">
      <w:pPr>
        <w:jc w:val="center"/>
        <w:rPr>
          <w:rFonts w:eastAsia="方正小标宋_GBK"/>
          <w:b/>
          <w:sz w:val="52"/>
          <w:szCs w:val="52"/>
        </w:rPr>
      </w:pPr>
    </w:p>
    <w:p w:rsidR="00150DA2" w:rsidRDefault="00150DA2">
      <w:pPr>
        <w:jc w:val="center"/>
        <w:rPr>
          <w:rFonts w:eastAsia="楷体_GB2312"/>
          <w:b/>
          <w:sz w:val="32"/>
          <w:szCs w:val="32"/>
        </w:rPr>
      </w:pPr>
    </w:p>
    <w:p w:rsidR="00150DA2" w:rsidRDefault="00150DA2">
      <w:pPr>
        <w:jc w:val="center"/>
        <w:rPr>
          <w:rFonts w:eastAsia="楷体_GB2312"/>
          <w:b/>
          <w:sz w:val="32"/>
          <w:szCs w:val="32"/>
        </w:rPr>
      </w:pPr>
    </w:p>
    <w:p w:rsidR="00150DA2" w:rsidRDefault="00150DA2">
      <w:pPr>
        <w:jc w:val="center"/>
        <w:rPr>
          <w:rFonts w:eastAsia="楷体_GB2312"/>
          <w:b/>
          <w:sz w:val="32"/>
          <w:szCs w:val="32"/>
        </w:rPr>
      </w:pPr>
    </w:p>
    <w:p w:rsidR="00150DA2" w:rsidRDefault="00150DA2">
      <w:pPr>
        <w:jc w:val="center"/>
        <w:rPr>
          <w:rFonts w:eastAsia="楷体_GB2312"/>
          <w:b/>
          <w:sz w:val="32"/>
          <w:szCs w:val="32"/>
        </w:rPr>
      </w:pPr>
    </w:p>
    <w:p w:rsidR="00150DA2" w:rsidRDefault="00150DA2">
      <w:pPr>
        <w:jc w:val="center"/>
        <w:rPr>
          <w:rFonts w:eastAsia="楷体_GB2312"/>
          <w:b/>
          <w:sz w:val="32"/>
          <w:szCs w:val="32"/>
        </w:rPr>
      </w:pPr>
    </w:p>
    <w:p w:rsidR="00150DA2" w:rsidRDefault="00150DA2">
      <w:pPr>
        <w:jc w:val="center"/>
        <w:rPr>
          <w:rFonts w:eastAsia="楷体_GB2312"/>
          <w:b/>
          <w:sz w:val="32"/>
          <w:szCs w:val="32"/>
        </w:rPr>
      </w:pPr>
    </w:p>
    <w:p w:rsidR="00150DA2" w:rsidRDefault="00150DA2">
      <w:pPr>
        <w:jc w:val="center"/>
        <w:rPr>
          <w:rFonts w:eastAsia="黑体"/>
          <w:sz w:val="32"/>
          <w:szCs w:val="32"/>
        </w:rPr>
      </w:pPr>
    </w:p>
    <w:p w:rsidR="00150DA2" w:rsidRDefault="00150DA2">
      <w:pPr>
        <w:jc w:val="center"/>
        <w:rPr>
          <w:rFonts w:eastAsia="黑体"/>
          <w:sz w:val="32"/>
          <w:szCs w:val="32"/>
        </w:rPr>
      </w:pPr>
    </w:p>
    <w:p w:rsidR="00150DA2" w:rsidRDefault="00150DA2">
      <w:pPr>
        <w:jc w:val="center"/>
        <w:rPr>
          <w:rFonts w:eastAsia="黑体"/>
          <w:sz w:val="32"/>
          <w:szCs w:val="32"/>
        </w:rPr>
      </w:pPr>
    </w:p>
    <w:p w:rsidR="00150DA2" w:rsidRDefault="00150DA2">
      <w:pPr>
        <w:jc w:val="center"/>
        <w:rPr>
          <w:rFonts w:eastAsia="黑体"/>
          <w:sz w:val="32"/>
          <w:szCs w:val="32"/>
        </w:rPr>
      </w:pPr>
    </w:p>
    <w:p w:rsidR="00150DA2" w:rsidRDefault="00150DA2">
      <w:pPr>
        <w:jc w:val="center"/>
        <w:rPr>
          <w:rFonts w:eastAsia="黑体"/>
          <w:sz w:val="32"/>
          <w:szCs w:val="32"/>
        </w:rPr>
      </w:pPr>
    </w:p>
    <w:p w:rsidR="00150DA2" w:rsidRDefault="00150DA2">
      <w:pPr>
        <w:jc w:val="center"/>
        <w:rPr>
          <w:rFonts w:eastAsia="黑体"/>
          <w:sz w:val="32"/>
          <w:szCs w:val="32"/>
        </w:rPr>
      </w:pPr>
    </w:p>
    <w:p w:rsidR="00150DA2" w:rsidRDefault="00150DA2">
      <w:pPr>
        <w:rPr>
          <w:rFonts w:eastAsia="黑体"/>
          <w:sz w:val="32"/>
          <w:szCs w:val="32"/>
        </w:rPr>
      </w:pPr>
    </w:p>
    <w:p w:rsidR="00150DA2" w:rsidRDefault="000D1E5F">
      <w:pPr>
        <w:spacing w:line="600" w:lineRule="exact"/>
        <w:jc w:val="center"/>
        <w:rPr>
          <w:rFonts w:eastAsia="仿宋_GB2312"/>
          <w:sz w:val="32"/>
          <w:szCs w:val="32"/>
          <w:u w:val="single"/>
        </w:rPr>
      </w:pPr>
      <w:r>
        <w:rPr>
          <w:rFonts w:eastAsia="仿宋_GB2312"/>
          <w:sz w:val="32"/>
          <w:szCs w:val="32"/>
        </w:rPr>
        <w:t>部门（单位）名称：</w:t>
      </w:r>
      <w:r w:rsidR="00FF191C">
        <w:rPr>
          <w:rFonts w:eastAsia="仿宋_GB2312" w:hint="eastAsia"/>
          <w:sz w:val="32"/>
          <w:szCs w:val="32"/>
          <w:u w:val="single"/>
        </w:rPr>
        <w:t>东山镇人民政府</w:t>
      </w:r>
    </w:p>
    <w:p w:rsidR="00150DA2" w:rsidRDefault="000D1E5F">
      <w:pPr>
        <w:spacing w:line="600" w:lineRule="exact"/>
        <w:jc w:val="center"/>
        <w:rPr>
          <w:rFonts w:eastAsia="楷体_GB2312"/>
          <w:sz w:val="32"/>
          <w:szCs w:val="32"/>
        </w:rPr>
      </w:pPr>
      <w:r>
        <w:rPr>
          <w:rFonts w:eastAsia="楷体_GB2312" w:hint="eastAsia"/>
          <w:sz w:val="32"/>
          <w:szCs w:val="32"/>
        </w:rPr>
        <w:t>2023</w:t>
      </w:r>
      <w:r>
        <w:rPr>
          <w:rFonts w:eastAsia="楷体_GB2312"/>
          <w:sz w:val="32"/>
          <w:szCs w:val="32"/>
        </w:rPr>
        <w:t>年</w:t>
      </w:r>
      <w:r>
        <w:rPr>
          <w:rFonts w:eastAsia="楷体_GB2312"/>
          <w:sz w:val="32"/>
          <w:szCs w:val="32"/>
        </w:rPr>
        <w:t xml:space="preserve"> </w:t>
      </w:r>
      <w:r>
        <w:rPr>
          <w:rFonts w:eastAsia="楷体_GB2312" w:hint="eastAsia"/>
          <w:sz w:val="32"/>
          <w:szCs w:val="32"/>
        </w:rPr>
        <w:t>7</w:t>
      </w:r>
      <w:r>
        <w:rPr>
          <w:rFonts w:eastAsia="楷体_GB2312"/>
          <w:sz w:val="32"/>
          <w:szCs w:val="32"/>
        </w:rPr>
        <w:t xml:space="preserve"> </w:t>
      </w:r>
      <w:r>
        <w:rPr>
          <w:rFonts w:eastAsia="楷体_GB2312"/>
          <w:sz w:val="32"/>
          <w:szCs w:val="32"/>
        </w:rPr>
        <w:t>月</w:t>
      </w:r>
      <w:r w:rsidR="00FF191C">
        <w:rPr>
          <w:rFonts w:eastAsia="楷体_GB2312"/>
          <w:sz w:val="32"/>
          <w:szCs w:val="32"/>
        </w:rPr>
        <w:t xml:space="preserve"> </w:t>
      </w:r>
      <w:r>
        <w:rPr>
          <w:rFonts w:eastAsia="楷体_GB2312" w:hint="eastAsia"/>
          <w:sz w:val="32"/>
          <w:szCs w:val="32"/>
        </w:rPr>
        <w:t>1</w:t>
      </w:r>
      <w:r w:rsidR="00182462">
        <w:rPr>
          <w:rFonts w:eastAsia="楷体_GB2312" w:hint="eastAsia"/>
          <w:sz w:val="32"/>
          <w:szCs w:val="32"/>
        </w:rPr>
        <w:t>2</w:t>
      </w:r>
      <w:r>
        <w:rPr>
          <w:rFonts w:eastAsia="楷体_GB2312"/>
          <w:sz w:val="32"/>
          <w:szCs w:val="32"/>
        </w:rPr>
        <w:t>日</w:t>
      </w:r>
    </w:p>
    <w:p w:rsidR="00150DA2" w:rsidRDefault="000D1E5F">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2022年度华容县东山镇人民政府整体支出</w:t>
      </w:r>
    </w:p>
    <w:p w:rsidR="00150DA2" w:rsidRDefault="000D1E5F">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150DA2" w:rsidRDefault="000D1E5F">
      <w:pPr>
        <w:spacing w:line="540" w:lineRule="exact"/>
        <w:ind w:firstLineChars="200" w:firstLine="640"/>
        <w:rPr>
          <w:rFonts w:eastAsia="仿宋_GB2312"/>
          <w:sz w:val="32"/>
          <w:szCs w:val="32"/>
        </w:rPr>
      </w:pPr>
      <w:r>
        <w:rPr>
          <w:rFonts w:ascii="仿宋" w:eastAsia="仿宋" w:hAnsi="仿宋" w:cs="仿宋" w:hint="eastAsia"/>
          <w:sz w:val="32"/>
          <w:szCs w:val="32"/>
        </w:rPr>
        <w:t>根据《华容县财政局关于开展2022年度部门整体支出绩效自评工作的通知》（华财函〔2023〕63号）的相关规定和要求，现对我部门2022年度整体支出开展绩效自评，现将情况汇报如下：</w:t>
      </w:r>
    </w:p>
    <w:p w:rsidR="00150DA2" w:rsidRDefault="000D1E5F">
      <w:pPr>
        <w:numPr>
          <w:ilvl w:val="0"/>
          <w:numId w:val="1"/>
        </w:numPr>
        <w:spacing w:line="610" w:lineRule="exact"/>
        <w:ind w:firstLineChars="200" w:firstLine="640"/>
        <w:rPr>
          <w:rFonts w:eastAsia="黑体"/>
          <w:sz w:val="32"/>
          <w:szCs w:val="32"/>
        </w:rPr>
      </w:pPr>
      <w:r>
        <w:rPr>
          <w:rFonts w:eastAsia="黑体"/>
          <w:sz w:val="32"/>
          <w:szCs w:val="32"/>
        </w:rPr>
        <w:t>部门（单位）基本情况</w:t>
      </w:r>
    </w:p>
    <w:p w:rsidR="00150DA2" w:rsidRDefault="000D1E5F">
      <w:pPr>
        <w:spacing w:line="560" w:lineRule="exact"/>
        <w:ind w:firstLineChars="200" w:firstLine="420"/>
        <w:rPr>
          <w:rFonts w:ascii="仿宋" w:eastAsia="仿宋" w:hAnsi="仿宋" w:cs="仿宋"/>
          <w:bCs/>
          <w:sz w:val="32"/>
          <w:szCs w:val="32"/>
        </w:rPr>
      </w:pPr>
      <w:r>
        <w:rPr>
          <w:rFonts w:hint="eastAsia"/>
        </w:rPr>
        <w:t xml:space="preserve">  </w:t>
      </w:r>
      <w:r>
        <w:rPr>
          <w:rFonts w:ascii="仿宋" w:eastAsia="仿宋" w:hAnsi="仿宋" w:cs="仿宋" w:hint="eastAsia"/>
          <w:bCs/>
          <w:sz w:val="32"/>
          <w:szCs w:val="32"/>
        </w:rPr>
        <w:t>（一）部门基本情况</w:t>
      </w:r>
    </w:p>
    <w:p w:rsidR="00150DA2" w:rsidRDefault="000D1E5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华容县东山镇人民政府共有</w:t>
      </w:r>
      <w:r>
        <w:rPr>
          <w:rFonts w:ascii="仿宋" w:eastAsia="仿宋" w:hAnsi="仿宋" w:cs="仿宋" w:hint="eastAsia"/>
          <w:sz w:val="32"/>
          <w:szCs w:val="32"/>
          <w:lang w:val="zh-CN"/>
        </w:rPr>
        <w:t>镇政府机关、镇财政所、镇农业综合服务中心、镇社会事业综合服务中心、镇退役军人服务站、镇综合行政执法大队、镇水利服务站</w:t>
      </w:r>
      <w:r>
        <w:rPr>
          <w:rFonts w:ascii="仿宋" w:eastAsia="仿宋" w:hAnsi="仿宋" w:cs="仿宋" w:hint="eastAsia"/>
          <w:sz w:val="32"/>
          <w:szCs w:val="32"/>
        </w:rPr>
        <w:t>7个独立核算工作机构。现有人员编制117名（其中：行政编制44名，事业全额编制73名），实有在职干部、职工117人（其中：全额人员117人）。</w:t>
      </w:r>
    </w:p>
    <w:p w:rsidR="00150DA2" w:rsidRDefault="000D1E5F">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（二）部门整体支出规模、使用方向和主要内容、涉及范围等</w:t>
      </w:r>
    </w:p>
    <w:p w:rsidR="00150DA2" w:rsidRDefault="000D1E5F">
      <w:pPr>
        <w:widowControl/>
        <w:ind w:firstLineChars="200" w:firstLine="640"/>
        <w:jc w:val="left"/>
      </w:pPr>
      <w:r>
        <w:rPr>
          <w:rFonts w:ascii="仿宋" w:eastAsia="仿宋" w:hAnsi="仿宋" w:cs="仿宋" w:hint="eastAsia"/>
          <w:sz w:val="32"/>
          <w:szCs w:val="32"/>
        </w:rPr>
        <w:t>2022年，县财政下达我单位预算总收入5995.14万元，其中：一般公共预算财政拨款收入5579.58万元，政府性基金收入415.56万元；预算总支出5995.14万元；年末无结余，预算收支平衡。预算拨款总额比2021年增加653.31万元，增加的主要原因政府增加了项目的投入，其中工资福利支出1283.98万元，一般商品和服务支出463.44万元，对个人和</w:t>
      </w:r>
      <w:r>
        <w:rPr>
          <w:rFonts w:ascii="仿宋" w:eastAsia="仿宋" w:hAnsi="仿宋" w:cs="仿宋" w:hint="eastAsia"/>
          <w:sz w:val="32"/>
          <w:szCs w:val="32"/>
        </w:rPr>
        <w:lastRenderedPageBreak/>
        <w:t>家庭的补助201.45万元，资本性支出26.72万元，项目支出4019.55万元。资金主要用于：职工的工资福利、五险一金；国能岳阳电厂项目建设；洪山头工业园完成 300 亩征地拆迁及场平工作；塔市驿深水码头 83.6 亩征地工作；高标准农田建设项目； 516 个新厕建设、330 个问题厕所整改；9.6 公里村级公路建设、3 座危桥改造。</w:t>
      </w:r>
    </w:p>
    <w:p w:rsidR="00150DA2" w:rsidRDefault="000D1E5F">
      <w:pPr>
        <w:pStyle w:val="aa"/>
        <w:widowControl/>
        <w:numPr>
          <w:ilvl w:val="0"/>
          <w:numId w:val="1"/>
        </w:numPr>
        <w:spacing w:line="610" w:lineRule="exact"/>
        <w:ind w:firstLine="640"/>
        <w:rPr>
          <w:rFonts w:ascii="Times New Roman" w:eastAsia="黑体" w:hAnsi="Times New Roman"/>
          <w:sz w:val="32"/>
          <w:szCs w:val="32"/>
        </w:rPr>
      </w:pPr>
      <w:r>
        <w:rPr>
          <w:rFonts w:ascii="Times New Roman" w:eastAsia="黑体" w:hAnsi="Times New Roman"/>
          <w:sz w:val="32"/>
          <w:szCs w:val="32"/>
        </w:rPr>
        <w:t>基本支出情况</w:t>
      </w:r>
    </w:p>
    <w:p w:rsidR="00150DA2" w:rsidRDefault="000D1E5F">
      <w:pPr>
        <w:spacing w:line="540" w:lineRule="exact"/>
        <w:ind w:firstLineChars="200" w:firstLine="640"/>
        <w:rPr>
          <w:rFonts w:eastAsia="黑体"/>
          <w:sz w:val="32"/>
          <w:szCs w:val="32"/>
        </w:rPr>
      </w:pPr>
      <w:r>
        <w:rPr>
          <w:rFonts w:ascii="仿宋" w:eastAsia="仿宋" w:hAnsi="仿宋" w:cs="仿宋" w:hint="eastAsia"/>
          <w:sz w:val="32"/>
          <w:szCs w:val="32"/>
        </w:rPr>
        <w:t>2022年我单位基本支出共1975.59万元，主要用于职工的工资福利支出、五险一金支出及商品服务支出；其中人员经费1485.44万元，日常公用经费490.16万元。2021年基本支出中人员经费1352.82万元，本年比上年增加132.62万元，增幅9.80%；日常公用经费402.31万元，本年上年度增加87.85万元，增幅21.84%。主要原因是工资标准增加，人员经费增加。</w:t>
      </w:r>
    </w:p>
    <w:p w:rsidR="00150DA2" w:rsidRDefault="000D1E5F">
      <w:pPr>
        <w:pStyle w:val="aa"/>
        <w:widowControl/>
        <w:numPr>
          <w:ilvl w:val="0"/>
          <w:numId w:val="1"/>
        </w:numPr>
        <w:spacing w:line="610" w:lineRule="exact"/>
        <w:ind w:firstLine="640"/>
        <w:rPr>
          <w:rFonts w:ascii="Times New Roman" w:eastAsia="黑体" w:hAnsi="Times New Roman"/>
          <w:sz w:val="32"/>
          <w:szCs w:val="32"/>
        </w:rPr>
      </w:pPr>
      <w:r>
        <w:rPr>
          <w:rFonts w:ascii="Times New Roman" w:eastAsia="黑体" w:hAnsi="Times New Roman"/>
          <w:sz w:val="32"/>
          <w:szCs w:val="32"/>
        </w:rPr>
        <w:t>项目支出情况</w:t>
      </w:r>
    </w:p>
    <w:p w:rsidR="00150DA2" w:rsidRDefault="000D1E5F" w:rsidP="00FF191C">
      <w:pPr>
        <w:pStyle w:val="aa"/>
        <w:widowControl/>
        <w:spacing w:line="610" w:lineRule="exact"/>
        <w:ind w:leftChars="200" w:left="420" w:firstLineChars="0" w:firstLine="0"/>
        <w:rPr>
          <w:rFonts w:ascii="Times New Roman" w:eastAsia="黑体" w:hAnsi="Times New Roman"/>
          <w:sz w:val="32"/>
          <w:szCs w:val="32"/>
        </w:rPr>
      </w:pPr>
      <w:r>
        <w:rPr>
          <w:rFonts w:ascii="Times New Roman" w:eastAsia="黑体" w:hAnsi="Times New Roman" w:hint="eastAsia"/>
          <w:sz w:val="32"/>
          <w:szCs w:val="32"/>
        </w:rPr>
        <w:t xml:space="preserve"> </w:t>
      </w:r>
      <w:r>
        <w:rPr>
          <w:rFonts w:ascii="仿宋" w:eastAsia="仿宋" w:hAnsi="仿宋" w:cs="仿宋" w:hint="eastAsia"/>
          <w:b/>
          <w:bCs/>
          <w:sz w:val="32"/>
          <w:szCs w:val="32"/>
        </w:rPr>
        <w:t>1.专项资金安排落实、总投入等情况分析</w:t>
      </w:r>
    </w:p>
    <w:p w:rsidR="00150DA2" w:rsidRDefault="000D1E5F">
      <w:pPr>
        <w:spacing w:line="560" w:lineRule="exact"/>
        <w:ind w:firstLineChars="200" w:firstLine="640"/>
        <w:rPr>
          <w:rFonts w:ascii="仿宋" w:eastAsia="仿宋" w:hAnsi="仿宋" w:cs="仿宋"/>
          <w:color w:val="000000"/>
          <w:sz w:val="32"/>
          <w:szCs w:val="32"/>
          <w:shd w:val="clear" w:color="auto" w:fill="F5F9FD"/>
        </w:rPr>
      </w:pPr>
      <w:r>
        <w:rPr>
          <w:rFonts w:ascii="仿宋" w:eastAsia="仿宋" w:hAnsi="仿宋" w:cs="仿宋" w:hint="eastAsia"/>
          <w:bCs/>
          <w:sz w:val="32"/>
          <w:szCs w:val="32"/>
        </w:rPr>
        <w:t>2022</w:t>
      </w:r>
      <w:r>
        <w:rPr>
          <w:rFonts w:ascii="仿宋" w:eastAsia="仿宋" w:hAnsi="仿宋" w:cs="仿宋" w:hint="eastAsia"/>
          <w:color w:val="000000"/>
          <w:sz w:val="32"/>
          <w:szCs w:val="32"/>
          <w:shd w:val="clear" w:color="auto" w:fill="F5F9FD"/>
        </w:rPr>
        <w:t>年项目支出为4019.55万元，占总支出的72.04%，主要是项目建设支付的办公费、印刷费、差旅费、会议费、培训费、劳务费、对企事业单位的补贴、基础设施建设、拆迁补偿、大型修缮等商品和服务支出。其中商品和服务支出408.36万元,对个人和家庭的补助1597.69万元，资本性支出2013.50万元</w:t>
      </w:r>
      <w:bookmarkStart w:id="0" w:name="_GoBack"/>
      <w:bookmarkEnd w:id="0"/>
      <w:r>
        <w:rPr>
          <w:rFonts w:ascii="仿宋" w:eastAsia="仿宋" w:hAnsi="仿宋" w:cs="仿宋" w:hint="eastAsia"/>
          <w:color w:val="000000"/>
          <w:sz w:val="32"/>
          <w:szCs w:val="32"/>
          <w:shd w:val="clear" w:color="auto" w:fill="F5F9FD"/>
        </w:rPr>
        <w:t>。</w:t>
      </w:r>
    </w:p>
    <w:p w:rsidR="00150DA2" w:rsidRDefault="000D1E5F">
      <w:pPr>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lastRenderedPageBreak/>
        <w:t>2.专项资金实际使用情况分析</w:t>
      </w:r>
    </w:p>
    <w:p w:rsidR="00150DA2" w:rsidRDefault="000D1E5F" w:rsidP="00FF191C">
      <w:pPr>
        <w:spacing w:line="560" w:lineRule="exact"/>
        <w:ind w:firstLineChars="184" w:firstLine="589"/>
        <w:rPr>
          <w:rFonts w:ascii="仿宋" w:eastAsia="仿宋" w:hAnsi="仿宋" w:cs="仿宋"/>
          <w:bCs/>
          <w:sz w:val="32"/>
          <w:szCs w:val="32"/>
        </w:rPr>
      </w:pPr>
      <w:r>
        <w:rPr>
          <w:rFonts w:ascii="仿宋" w:eastAsia="仿宋" w:hAnsi="仿宋" w:cs="仿宋" w:hint="eastAsia"/>
          <w:bCs/>
          <w:sz w:val="32"/>
          <w:szCs w:val="32"/>
        </w:rPr>
        <w:t>2022年专项总收入4019.55万元，专项总支出4019.55万元，收支平衡，无资金结余。</w:t>
      </w:r>
    </w:p>
    <w:p w:rsidR="00150DA2" w:rsidRDefault="000D1E5F">
      <w:pPr>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3.专项资金管理情况分析</w:t>
      </w:r>
    </w:p>
    <w:p w:rsidR="00150DA2" w:rsidRDefault="000D1E5F">
      <w:pPr>
        <w:spacing w:line="560" w:lineRule="exact"/>
        <w:ind w:firstLineChars="200" w:firstLine="640"/>
        <w:rPr>
          <w:rFonts w:eastAsia="黑体"/>
          <w:sz w:val="32"/>
          <w:szCs w:val="32"/>
        </w:rPr>
      </w:pPr>
      <w:r>
        <w:rPr>
          <w:rFonts w:ascii="仿宋" w:eastAsia="仿宋" w:hAnsi="仿宋" w:cs="仿宋" w:hint="eastAsia"/>
          <w:color w:val="000000"/>
          <w:sz w:val="32"/>
          <w:szCs w:val="32"/>
          <w:shd w:val="clear" w:color="auto" w:fill="FFFFFF"/>
        </w:rPr>
        <w:t>为加强项目资金管理，规范</w:t>
      </w:r>
      <w:r>
        <w:rPr>
          <w:rFonts w:ascii="仿宋" w:eastAsia="仿宋" w:hAnsi="仿宋" w:cs="仿宋" w:hint="eastAsia"/>
          <w:color w:val="333333"/>
          <w:sz w:val="32"/>
          <w:szCs w:val="32"/>
          <w:shd w:val="clear" w:color="auto" w:fill="FFFFFF"/>
        </w:rPr>
        <w:t>项目资金管理行为，提高项目管理水平及项目资金使用效益，</w:t>
      </w:r>
      <w:r>
        <w:rPr>
          <w:rFonts w:ascii="仿宋" w:eastAsia="仿宋" w:hAnsi="仿宋" w:cs="仿宋" w:hint="eastAsia"/>
          <w:color w:val="000000"/>
          <w:sz w:val="32"/>
          <w:szCs w:val="32"/>
          <w:shd w:val="clear" w:color="auto" w:fill="FFFFFF"/>
        </w:rPr>
        <w:t>本部门制定了财务管理制度、项目资金管理制度、专项资金管理办法等，对项目管理职责、申报与组织实施、项目资金的管理、监督检查与验收等进行了规定，成立了工作领导小组、明确工作职责、确定责任单位、制定工作方案、项目实施细则、考核办法等。</w:t>
      </w:r>
      <w:r>
        <w:rPr>
          <w:rFonts w:ascii="仿宋" w:eastAsia="仿宋" w:hAnsi="仿宋" w:cs="仿宋" w:hint="eastAsia"/>
          <w:color w:val="333333"/>
          <w:sz w:val="32"/>
          <w:szCs w:val="32"/>
          <w:shd w:val="clear" w:color="auto" w:fill="FFFFFF"/>
        </w:rPr>
        <w:t>项目资金严格按指定用途专款专用，实行专项报告制度，并接受财政部门或上级部门的检查、验收。2022年本部门项目支出，基本能够严格按照相关制度规定等进行。</w:t>
      </w:r>
    </w:p>
    <w:p w:rsidR="00150DA2" w:rsidRDefault="000D1E5F">
      <w:pPr>
        <w:widowControl/>
        <w:spacing w:line="610" w:lineRule="exact"/>
        <w:ind w:firstLineChars="200" w:firstLine="640"/>
        <w:rPr>
          <w:rFonts w:eastAsia="黑体"/>
          <w:sz w:val="32"/>
          <w:szCs w:val="32"/>
        </w:rPr>
      </w:pPr>
      <w:r>
        <w:rPr>
          <w:rFonts w:eastAsia="黑体" w:hint="eastAsia"/>
          <w:sz w:val="32"/>
          <w:szCs w:val="32"/>
        </w:rPr>
        <w:t>四</w:t>
      </w:r>
      <w:r>
        <w:rPr>
          <w:rFonts w:eastAsia="黑体"/>
          <w:sz w:val="32"/>
          <w:szCs w:val="32"/>
        </w:rPr>
        <w:t>、部门整体支出绩效情况</w:t>
      </w:r>
    </w:p>
    <w:p w:rsidR="00150DA2" w:rsidRDefault="000D1E5F">
      <w:pPr>
        <w:spacing w:line="560" w:lineRule="exact"/>
        <w:ind w:firstLineChars="200" w:firstLine="640"/>
        <w:rPr>
          <w:rFonts w:ascii="仿宋" w:eastAsia="仿宋" w:hAnsi="仿宋" w:cs="仿宋"/>
          <w:color w:val="000000"/>
          <w:sz w:val="32"/>
          <w:szCs w:val="32"/>
          <w:shd w:val="clear" w:color="auto" w:fill="FFFFFF"/>
        </w:rPr>
      </w:pPr>
      <w:r>
        <w:rPr>
          <w:rFonts w:ascii="仿宋" w:eastAsia="仿宋" w:hAnsi="仿宋" w:cs="仿宋" w:hint="eastAsia"/>
          <w:color w:val="000000"/>
          <w:sz w:val="32"/>
          <w:szCs w:val="32"/>
          <w:shd w:val="clear" w:color="auto" w:fill="FFFFFF"/>
        </w:rPr>
        <w:t xml:space="preserve">2022 年是本届政府的大考之年，也是东山发展史上浓墨重彩的一年。在县委、县政府和镇党委的坚强领导下，镇人大、 </w:t>
      </w:r>
    </w:p>
    <w:p w:rsidR="00150DA2" w:rsidRDefault="000D1E5F">
      <w:pPr>
        <w:spacing w:line="560" w:lineRule="exact"/>
        <w:rPr>
          <w:rFonts w:ascii="仿宋" w:eastAsia="仿宋" w:hAnsi="仿宋" w:cs="仿宋"/>
          <w:color w:val="000000"/>
          <w:sz w:val="32"/>
          <w:szCs w:val="32"/>
          <w:shd w:val="clear" w:color="auto" w:fill="FFFFFF"/>
        </w:rPr>
      </w:pPr>
      <w:r>
        <w:rPr>
          <w:rFonts w:ascii="仿宋" w:eastAsia="仿宋" w:hAnsi="仿宋" w:cs="仿宋" w:hint="eastAsia"/>
          <w:color w:val="000000"/>
          <w:sz w:val="32"/>
          <w:szCs w:val="32"/>
          <w:shd w:val="clear" w:color="auto" w:fill="FFFFFF"/>
        </w:rPr>
        <w:t xml:space="preserve">政协的监督支持下，以习近平新时代中国特色社会主义思想和 </w:t>
      </w:r>
    </w:p>
    <w:p w:rsidR="00150DA2" w:rsidRDefault="000D1E5F">
      <w:pPr>
        <w:spacing w:line="560" w:lineRule="exact"/>
        <w:rPr>
          <w:rFonts w:ascii="仿宋" w:eastAsia="仿宋" w:hAnsi="仿宋" w:cs="仿宋"/>
          <w:color w:val="000000"/>
          <w:sz w:val="32"/>
          <w:szCs w:val="32"/>
          <w:shd w:val="clear" w:color="auto" w:fill="FFFFFF"/>
        </w:rPr>
      </w:pPr>
      <w:r>
        <w:rPr>
          <w:rFonts w:ascii="仿宋" w:eastAsia="仿宋" w:hAnsi="仿宋" w:cs="仿宋" w:hint="eastAsia"/>
          <w:color w:val="000000"/>
          <w:sz w:val="32"/>
          <w:szCs w:val="32"/>
          <w:shd w:val="clear" w:color="auto" w:fill="FFFFFF"/>
        </w:rPr>
        <w:t xml:space="preserve">党的二十大精神为指引，认真贯彻中央、省、市、县决策部署， </w:t>
      </w:r>
    </w:p>
    <w:p w:rsidR="00150DA2" w:rsidRDefault="000D1E5F">
      <w:pPr>
        <w:spacing w:line="560" w:lineRule="exact"/>
        <w:rPr>
          <w:rFonts w:ascii="仿宋" w:eastAsia="仿宋" w:hAnsi="仿宋" w:cs="仿宋"/>
          <w:color w:val="000000"/>
          <w:sz w:val="32"/>
          <w:szCs w:val="32"/>
          <w:shd w:val="clear" w:color="auto" w:fill="FFFFFF"/>
        </w:rPr>
      </w:pPr>
      <w:r>
        <w:rPr>
          <w:rFonts w:ascii="仿宋" w:eastAsia="仿宋" w:hAnsi="仿宋" w:cs="仿宋" w:hint="eastAsia"/>
          <w:color w:val="000000"/>
          <w:sz w:val="32"/>
          <w:szCs w:val="32"/>
          <w:shd w:val="clear" w:color="auto" w:fill="FFFFFF"/>
        </w:rPr>
        <w:t xml:space="preserve">有效应对“3.15”舆情危机、多轮疫情冲击、罕见高温干旱等 </w:t>
      </w:r>
    </w:p>
    <w:p w:rsidR="00150DA2" w:rsidRDefault="000D1E5F">
      <w:pPr>
        <w:spacing w:line="560" w:lineRule="exact"/>
        <w:rPr>
          <w:rFonts w:ascii="仿宋" w:eastAsia="仿宋" w:hAnsi="仿宋" w:cs="仿宋"/>
          <w:color w:val="000000"/>
          <w:sz w:val="32"/>
          <w:szCs w:val="32"/>
          <w:shd w:val="clear" w:color="auto" w:fill="FFFFFF"/>
        </w:rPr>
      </w:pPr>
      <w:r>
        <w:rPr>
          <w:rFonts w:ascii="仿宋" w:eastAsia="仿宋" w:hAnsi="仿宋" w:cs="仿宋" w:hint="eastAsia"/>
          <w:color w:val="000000"/>
          <w:sz w:val="32"/>
          <w:szCs w:val="32"/>
          <w:shd w:val="clear" w:color="auto" w:fill="FFFFFF"/>
        </w:rPr>
        <w:t xml:space="preserve">多重困难挑战，全力推进东山镇“一极三镇”建设进程，稳步 </w:t>
      </w:r>
    </w:p>
    <w:p w:rsidR="00150DA2" w:rsidRDefault="000D1E5F">
      <w:pPr>
        <w:spacing w:line="560" w:lineRule="exact"/>
        <w:rPr>
          <w:rFonts w:ascii="仿宋" w:eastAsia="仿宋" w:hAnsi="仿宋" w:cs="仿宋"/>
          <w:color w:val="000000"/>
          <w:sz w:val="32"/>
          <w:szCs w:val="32"/>
          <w:shd w:val="clear" w:color="auto" w:fill="FFFFFF"/>
        </w:rPr>
      </w:pPr>
      <w:r>
        <w:rPr>
          <w:rFonts w:ascii="仿宋" w:eastAsia="仿宋" w:hAnsi="仿宋" w:cs="仿宋" w:hint="eastAsia"/>
          <w:color w:val="000000"/>
          <w:sz w:val="32"/>
          <w:szCs w:val="32"/>
          <w:shd w:val="clear" w:color="auto" w:fill="FFFFFF"/>
        </w:rPr>
        <w:t xml:space="preserve">开启了东山高质量发展新篇章。 </w:t>
      </w:r>
    </w:p>
    <w:p w:rsidR="00150DA2" w:rsidRDefault="000D1E5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——逆势加速，项目重镇风采彰显。突出“项目为王”，</w:t>
      </w:r>
      <w:r>
        <w:rPr>
          <w:rFonts w:ascii="仿宋" w:eastAsia="仿宋" w:hAnsi="仿宋" w:cs="仿宋" w:hint="eastAsia"/>
          <w:sz w:val="32"/>
          <w:szCs w:val="32"/>
        </w:rPr>
        <w:lastRenderedPageBreak/>
        <w:t xml:space="preserve">主动抓窗口、攻切口、找接口，全方位推进两个百亿项目和 15 平方公里岳阳自贸片区华容联动创新区建设，在发展资源全面 </w:t>
      </w:r>
    </w:p>
    <w:p w:rsidR="00150DA2" w:rsidRDefault="000D1E5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 xml:space="preserve">紧缩的大环境下，项目建设逆势加速，成为全县年度开工项目 </w:t>
      </w:r>
    </w:p>
    <w:p w:rsidR="00150DA2" w:rsidRDefault="000D1E5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中块头最大、份额最重的“领头羊”。</w:t>
      </w:r>
    </w:p>
    <w:p w:rsidR="00150DA2" w:rsidRDefault="000D1E5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 xml:space="preserve">——产业聚力，特色小镇招牌重塑。大力推动能源经济、林下经济、田园经济、文旅产业，优质产品、特色产业向“合作共创、优势互补、强强联合”模式转变，华容道皱皮柑、兰家红松菌、桃花山竹笋、塔市驿蒸菜等地域特色产品在省、市、县影响力进一步扩大，特色小镇内涵不断丰富，乡村振兴“基座”不断夯实。 </w:t>
      </w:r>
    </w:p>
    <w:p w:rsidR="00150DA2" w:rsidRDefault="000D1E5F">
      <w:pPr>
        <w:widowControl/>
        <w:jc w:val="left"/>
        <w:rPr>
          <w:rFonts w:ascii="仿宋" w:eastAsia="仿宋" w:hAnsi="仿宋" w:cs="仿宋"/>
          <w:sz w:val="32"/>
          <w:szCs w:val="32"/>
        </w:rPr>
      </w:pPr>
      <w:r>
        <w:rPr>
          <w:rFonts w:ascii="仿宋" w:eastAsia="仿宋" w:hAnsi="仿宋" w:cs="仿宋" w:hint="eastAsia"/>
          <w:b/>
          <w:bCs/>
          <w:color w:val="000000"/>
          <w:kern w:val="0"/>
          <w:sz w:val="32"/>
          <w:szCs w:val="32"/>
        </w:rPr>
        <w:t>——生态优先，临江美镇魅力攀升。</w:t>
      </w:r>
      <w:r>
        <w:rPr>
          <w:rFonts w:ascii="仿宋" w:eastAsia="仿宋" w:hAnsi="仿宋" w:cs="仿宋" w:hint="eastAsia"/>
          <w:color w:val="000000"/>
          <w:kern w:val="0"/>
          <w:sz w:val="32"/>
          <w:szCs w:val="32"/>
        </w:rPr>
        <w:t xml:space="preserve">扎实担牢“守护好一江碧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 xml:space="preserve">水”的政治责任，大力推进沿江基础建设，全方位开展生态修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 xml:space="preserve">复，“河长”“林长”“田长”责任压紧压实，“净滩”“护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 xml:space="preserve">江”“禁烧”“巡山”等行动高频次开展，各部门、村（社区）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 xml:space="preserve">和社会各界力量凝聚共识、攥指成拳，取得全镇山水林田湖草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 xml:space="preserve">沙一体化保护新成效，实现从“沿江首镇”向“临江美镇”转变。 </w:t>
      </w:r>
    </w:p>
    <w:p w:rsidR="00150DA2" w:rsidRDefault="000D1E5F">
      <w:pPr>
        <w:widowControl/>
        <w:jc w:val="left"/>
        <w:rPr>
          <w:rFonts w:ascii="仿宋" w:eastAsia="仿宋" w:hAnsi="仿宋" w:cs="仿宋"/>
          <w:sz w:val="32"/>
          <w:szCs w:val="32"/>
        </w:rPr>
      </w:pPr>
      <w:r>
        <w:rPr>
          <w:rFonts w:ascii="仿宋" w:eastAsia="仿宋" w:hAnsi="仿宋" w:cs="仿宋" w:hint="eastAsia"/>
          <w:b/>
          <w:bCs/>
          <w:color w:val="000000"/>
          <w:kern w:val="0"/>
          <w:sz w:val="32"/>
          <w:szCs w:val="32"/>
        </w:rPr>
        <w:t>——众志成城，合力谱写大镇担当。</w:t>
      </w:r>
      <w:r>
        <w:rPr>
          <w:rFonts w:ascii="仿宋" w:eastAsia="仿宋" w:hAnsi="仿宋" w:cs="仿宋" w:hint="eastAsia"/>
          <w:color w:val="000000"/>
          <w:kern w:val="0"/>
          <w:sz w:val="32"/>
          <w:szCs w:val="32"/>
        </w:rPr>
        <w:t xml:space="preserve">以“大乡镇应有大担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 xml:space="preserve">当”的坚守，全面落实防风险、保安全、护稳定责任，干部群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 xml:space="preserve">众齐心协力，共克时艰，高效有序应对三郎堰社区疫情和多轮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 xml:space="preserve">涉疫区域人员输入；抗旱保收调度科学，确保了“大旱之年无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lastRenderedPageBreak/>
        <w:t xml:space="preserve">大灾”；全年无重大及以上森林火灾和安全事故；特护期信访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 xml:space="preserve">维稳实现“三个不发生、五个无”目标，全镇政治安全、社会 </w:t>
      </w:r>
    </w:p>
    <w:p w:rsidR="00150DA2" w:rsidRDefault="000D1E5F">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安全的局面持续巩固。</w:t>
      </w:r>
    </w:p>
    <w:p w:rsidR="00150DA2" w:rsidRDefault="000D1E5F">
      <w:pPr>
        <w:widowControl/>
        <w:ind w:firstLineChars="200" w:firstLine="640"/>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 xml:space="preserve">一年来，以稳中求快、难中求成的坚定决心，紧扣镇党委 </w:t>
      </w:r>
    </w:p>
    <w:p w:rsidR="00150DA2" w:rsidRDefault="000D1E5F">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 xml:space="preserve">“一三五”工作思路和 50 件民生实事，重点抓实了以下工作： </w:t>
      </w:r>
    </w:p>
    <w:p w:rsidR="00150DA2" w:rsidRDefault="000D1E5F">
      <w:pPr>
        <w:widowControl/>
        <w:jc w:val="left"/>
        <w:rPr>
          <w:rFonts w:ascii="仿宋" w:eastAsia="仿宋" w:hAnsi="仿宋" w:cs="仿宋"/>
          <w:color w:val="000000"/>
          <w:kern w:val="0"/>
          <w:sz w:val="32"/>
          <w:szCs w:val="32"/>
        </w:rPr>
      </w:pPr>
      <w:r>
        <w:rPr>
          <w:rFonts w:ascii="仿宋" w:eastAsia="仿宋" w:hAnsi="仿宋" w:cs="仿宋" w:hint="eastAsia"/>
          <w:b/>
          <w:bCs/>
          <w:color w:val="000000"/>
          <w:kern w:val="0"/>
          <w:sz w:val="32"/>
          <w:szCs w:val="32"/>
        </w:rPr>
        <w:t>一、聚焦项目建设，发展快车蓄能积势</w:t>
      </w:r>
      <w:r>
        <w:rPr>
          <w:rFonts w:ascii="仿宋" w:eastAsia="仿宋" w:hAnsi="仿宋" w:cs="仿宋" w:hint="eastAsia"/>
          <w:color w:val="000000"/>
          <w:kern w:val="0"/>
          <w:sz w:val="32"/>
          <w:szCs w:val="32"/>
        </w:rPr>
        <w:t xml:space="preserve"> </w:t>
      </w:r>
    </w:p>
    <w:p w:rsidR="00150DA2" w:rsidRDefault="000D1E5F">
      <w:pPr>
        <w:widowControl/>
        <w:ind w:firstLineChars="200" w:firstLine="640"/>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 xml:space="preserve">全力以赴推动项目建设，奋力推动县域新增长极建设。重 </w:t>
      </w:r>
    </w:p>
    <w:p w:rsidR="00150DA2" w:rsidRDefault="000D1E5F">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 xml:space="preserve">点项目“破冰突围”。国能岳阳电厂项目进入封闭式施工阶段，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 xml:space="preserve">预计明年 6 月份完成主体建设，配套产业园即将启动征拆；铁水联运煤炭储配基地项目铁路启动铺轨建设，物流园启动场平；华容电厂—洞庭 I、II 回 500kV 线路工程、电厂长江引水项目正在施工。既定项目“涅槃重生”。洪山头工业园完成 300 亩征地拆迁及场平工作，塔市驿深水码头 83.6 亩征地任务全面启动，洪山头天字一号码头预计明年 5 月份完成建设，桃花山风力发电进入有序运营阶段，利华跨江公铁两用大桥项目纳入议事日程。 </w:t>
      </w:r>
    </w:p>
    <w:p w:rsidR="00150DA2" w:rsidRDefault="000D1E5F">
      <w:pPr>
        <w:widowControl/>
        <w:jc w:val="left"/>
        <w:rPr>
          <w:rFonts w:ascii="仿宋" w:eastAsia="仿宋" w:hAnsi="仿宋" w:cs="仿宋"/>
          <w:b/>
          <w:bCs/>
          <w:sz w:val="32"/>
          <w:szCs w:val="32"/>
        </w:rPr>
      </w:pPr>
      <w:r>
        <w:rPr>
          <w:rFonts w:ascii="仿宋" w:eastAsia="仿宋" w:hAnsi="仿宋" w:cs="仿宋" w:hint="eastAsia"/>
          <w:b/>
          <w:bCs/>
          <w:color w:val="000000"/>
          <w:kern w:val="0"/>
          <w:sz w:val="32"/>
          <w:szCs w:val="32"/>
        </w:rPr>
        <w:t xml:space="preserve">二、聚焦产业培育，振兴渠道拓宽加固 </w:t>
      </w:r>
    </w:p>
    <w:p w:rsidR="00150DA2" w:rsidRDefault="000D1E5F">
      <w:pPr>
        <w:widowControl/>
        <w:ind w:firstLineChars="200" w:firstLine="640"/>
        <w:jc w:val="left"/>
        <w:rPr>
          <w:rFonts w:ascii="仿宋" w:eastAsia="仿宋" w:hAnsi="仿宋" w:cs="仿宋"/>
          <w:sz w:val="32"/>
          <w:szCs w:val="32"/>
        </w:rPr>
      </w:pPr>
      <w:r>
        <w:rPr>
          <w:rFonts w:ascii="仿宋" w:eastAsia="仿宋" w:hAnsi="仿宋" w:cs="仿宋" w:hint="eastAsia"/>
          <w:color w:val="000000"/>
          <w:kern w:val="0"/>
          <w:sz w:val="32"/>
          <w:szCs w:val="32"/>
        </w:rPr>
        <w:t>坚持挖掘新产业、升级旧产业、扶强好产业。</w:t>
      </w:r>
      <w:r>
        <w:rPr>
          <w:rFonts w:ascii="仿宋" w:eastAsia="仿宋" w:hAnsi="仿宋" w:cs="仿宋" w:hint="eastAsia"/>
          <w:b/>
          <w:bCs/>
          <w:color w:val="000000"/>
          <w:kern w:val="0"/>
          <w:sz w:val="32"/>
          <w:szCs w:val="32"/>
        </w:rPr>
        <w:t xml:space="preserve">粮食生产“底 </w:t>
      </w:r>
    </w:p>
    <w:p w:rsidR="00150DA2" w:rsidRDefault="000D1E5F">
      <w:pPr>
        <w:widowControl/>
        <w:jc w:val="left"/>
        <w:rPr>
          <w:rFonts w:ascii="仿宋" w:eastAsia="仿宋" w:hAnsi="仿宋" w:cs="仿宋"/>
          <w:sz w:val="32"/>
          <w:szCs w:val="32"/>
        </w:rPr>
      </w:pPr>
      <w:r>
        <w:rPr>
          <w:rFonts w:ascii="仿宋" w:eastAsia="仿宋" w:hAnsi="仿宋" w:cs="仿宋" w:hint="eastAsia"/>
          <w:b/>
          <w:bCs/>
          <w:color w:val="000000"/>
          <w:kern w:val="0"/>
          <w:sz w:val="32"/>
          <w:szCs w:val="32"/>
        </w:rPr>
        <w:t>板加固”。</w:t>
      </w:r>
      <w:r>
        <w:rPr>
          <w:rFonts w:ascii="仿宋" w:eastAsia="仿宋" w:hAnsi="仿宋" w:cs="仿宋" w:hint="eastAsia"/>
          <w:color w:val="000000"/>
          <w:kern w:val="0"/>
          <w:sz w:val="32"/>
          <w:szCs w:val="32"/>
        </w:rPr>
        <w:t xml:space="preserve">积极培育新型经营主体，积极推广早稻集中育秧、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 xml:space="preserve">统防统治、代耕代种、联耕联种等社会化服务。大力推动桃花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lastRenderedPageBreak/>
        <w:t xml:space="preserve">山村、白果树村耕地高质量发展；规划打造长岗庙村、关山村、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 xml:space="preserve">天井山村、牌坊村、佛寺村、东旭村、仙鹅寺村、华容道村万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亩双季稻示范板块；投资 2000 万元的高标准农田建设项目全面完成，年度粮食种植任务超额完成，粮食安全进一步巩固。</w:t>
      </w:r>
      <w:r>
        <w:rPr>
          <w:rFonts w:ascii="仿宋" w:eastAsia="仿宋" w:hAnsi="仿宋" w:cs="仿宋" w:hint="eastAsia"/>
          <w:b/>
          <w:bCs/>
          <w:color w:val="000000"/>
          <w:kern w:val="0"/>
          <w:sz w:val="32"/>
          <w:szCs w:val="32"/>
        </w:rPr>
        <w:t>芥菜产业“全面翻新”。</w:t>
      </w:r>
      <w:r>
        <w:rPr>
          <w:rFonts w:ascii="仿宋" w:eastAsia="仿宋" w:hAnsi="仿宋" w:cs="仿宋" w:hint="eastAsia"/>
          <w:color w:val="000000"/>
          <w:kern w:val="0"/>
          <w:sz w:val="32"/>
          <w:szCs w:val="32"/>
        </w:rPr>
        <w:t>完成 30 口腌制池选址工作，采取以奖代投的方式，全面调动种植户积极性。目前，全镇芥菜种植面积达 2500 亩，并与华容县新一家食品有限公司和华容县华丰食品有限公司签订收购协议。</w:t>
      </w:r>
      <w:r>
        <w:rPr>
          <w:rFonts w:ascii="仿宋" w:eastAsia="仿宋" w:hAnsi="仿宋" w:cs="仿宋" w:hint="eastAsia"/>
          <w:b/>
          <w:bCs/>
          <w:color w:val="000000"/>
          <w:kern w:val="0"/>
          <w:sz w:val="32"/>
          <w:szCs w:val="32"/>
        </w:rPr>
        <w:t>文化旅游“破茧成蝶”。</w:t>
      </w:r>
      <w:r>
        <w:rPr>
          <w:rFonts w:ascii="仿宋" w:eastAsia="仿宋" w:hAnsi="仿宋" w:cs="仿宋" w:hint="eastAsia"/>
          <w:color w:val="000000"/>
          <w:kern w:val="0"/>
          <w:sz w:val="32"/>
          <w:szCs w:val="32"/>
        </w:rPr>
        <w:t xml:space="preserve">利用融媒体平台广泛宣传雷打岩、易家岭民宿、云梦塔、塔市驿康养基地和蛋子山等景点，效果良好，周末旅游人次显著增加；为讲好东山故事，对境内千年银杏树、明碧山革命纪念地、云梦塔等较为成熟的景点进行服务升级，着重培养了一批以镇、村干部为主的解说员；精心制作了展现东山底蕴和风貌的宣传片，谱写的歌曲《东山向未来》，在省市县引起高度关注。 </w:t>
      </w:r>
    </w:p>
    <w:p w:rsidR="00150DA2" w:rsidRDefault="000D1E5F">
      <w:pPr>
        <w:widowControl/>
        <w:jc w:val="left"/>
        <w:rPr>
          <w:rFonts w:ascii="仿宋" w:eastAsia="仿宋" w:hAnsi="仿宋" w:cs="仿宋"/>
          <w:b/>
          <w:bCs/>
          <w:sz w:val="32"/>
          <w:szCs w:val="32"/>
        </w:rPr>
      </w:pPr>
      <w:r>
        <w:rPr>
          <w:rFonts w:ascii="仿宋" w:eastAsia="仿宋" w:hAnsi="仿宋" w:cs="仿宋" w:hint="eastAsia"/>
          <w:b/>
          <w:bCs/>
          <w:color w:val="000000"/>
          <w:kern w:val="0"/>
          <w:sz w:val="32"/>
          <w:szCs w:val="32"/>
        </w:rPr>
        <w:t xml:space="preserve">三、聚焦环境治理，生态优先深入人心 </w:t>
      </w:r>
    </w:p>
    <w:p w:rsidR="00150DA2" w:rsidRDefault="000D1E5F">
      <w:pPr>
        <w:widowControl/>
        <w:ind w:firstLineChars="200" w:firstLine="640"/>
        <w:jc w:val="left"/>
        <w:rPr>
          <w:rFonts w:ascii="仿宋" w:eastAsia="仿宋" w:hAnsi="仿宋" w:cs="仿宋"/>
          <w:sz w:val="32"/>
          <w:szCs w:val="32"/>
        </w:rPr>
      </w:pPr>
      <w:r>
        <w:rPr>
          <w:rFonts w:ascii="仿宋" w:eastAsia="仿宋" w:hAnsi="仿宋" w:cs="仿宋" w:hint="eastAsia"/>
          <w:color w:val="000000"/>
          <w:kern w:val="0"/>
          <w:sz w:val="32"/>
          <w:szCs w:val="32"/>
        </w:rPr>
        <w:t xml:space="preserve">坚持共抓大保护、不搞大开发，“绿水青山就是金山银山”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理念与镇域发展深度融合。</w:t>
      </w:r>
      <w:r>
        <w:rPr>
          <w:rFonts w:ascii="仿宋" w:eastAsia="仿宋" w:hAnsi="仿宋" w:cs="仿宋" w:hint="eastAsia"/>
          <w:b/>
          <w:bCs/>
          <w:color w:val="000000"/>
          <w:kern w:val="0"/>
          <w:sz w:val="32"/>
          <w:szCs w:val="32"/>
        </w:rPr>
        <w:t>沿江生态向好向优。</w:t>
      </w:r>
      <w:r>
        <w:rPr>
          <w:rFonts w:ascii="仿宋" w:eastAsia="仿宋" w:hAnsi="仿宋" w:cs="仿宋" w:hint="eastAsia"/>
          <w:color w:val="000000"/>
          <w:kern w:val="0"/>
          <w:sz w:val="32"/>
          <w:szCs w:val="32"/>
        </w:rPr>
        <w:t xml:space="preserve">完成了 7 处长江沿线排渍口整治，水质达到了三类标准；长江“十年禁捕”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 xml:space="preserve">持续推进，全年共销毁捕鱼电瓶 5 台，虾笼 260 个，鱼竿 650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lastRenderedPageBreak/>
        <w:t>根。</w:t>
      </w:r>
      <w:r>
        <w:rPr>
          <w:rFonts w:ascii="仿宋" w:eastAsia="仿宋" w:hAnsi="仿宋" w:cs="仿宋" w:hint="eastAsia"/>
          <w:b/>
          <w:bCs/>
          <w:color w:val="000000"/>
          <w:kern w:val="0"/>
          <w:sz w:val="32"/>
          <w:szCs w:val="32"/>
        </w:rPr>
        <w:t>环境卫生走深走实。</w:t>
      </w:r>
      <w:r>
        <w:rPr>
          <w:rFonts w:ascii="仿宋" w:eastAsia="仿宋" w:hAnsi="仿宋" w:cs="仿宋" w:hint="eastAsia"/>
          <w:color w:val="000000"/>
          <w:kern w:val="0"/>
          <w:sz w:val="32"/>
          <w:szCs w:val="32"/>
        </w:rPr>
        <w:t>扎实开展垃圾清零行动，实现 25 个村（社区）全覆盖，卫生死角全面销号；对照“统一采购、统一施工、统一验收”标准，全年完成 516 个新厕建设、330 个问题厕所整改，厕所革命、污水治理全面铺开；深入推进垃圾池（围）拆除工作，300 个垃圾池（围）拆除和 600 个垃圾桶添置任务全面完成。</w:t>
      </w:r>
      <w:r>
        <w:rPr>
          <w:rFonts w:ascii="仿宋" w:eastAsia="仿宋" w:hAnsi="仿宋" w:cs="仿宋" w:hint="eastAsia"/>
          <w:b/>
          <w:bCs/>
          <w:color w:val="000000"/>
          <w:kern w:val="0"/>
          <w:sz w:val="32"/>
          <w:szCs w:val="32"/>
        </w:rPr>
        <w:t>环境质量提质提标。</w:t>
      </w:r>
      <w:r>
        <w:rPr>
          <w:rFonts w:ascii="仿宋" w:eastAsia="仿宋" w:hAnsi="仿宋" w:cs="仿宋" w:hint="eastAsia"/>
          <w:color w:val="000000"/>
          <w:kern w:val="0"/>
          <w:sz w:val="32"/>
          <w:szCs w:val="32"/>
        </w:rPr>
        <w:t xml:space="preserve">在全镇范围内开展养殖场环保问题专项整治行动，对 25 家养殖场逐户上门签订承诺书，完成华容道养鸡场、烟灯村养猪场整体退出及周边环境复绿工作，并顺利通过省级验收。 </w:t>
      </w:r>
    </w:p>
    <w:p w:rsidR="00150DA2" w:rsidRDefault="000D1E5F">
      <w:pPr>
        <w:widowControl/>
        <w:jc w:val="left"/>
        <w:rPr>
          <w:rFonts w:ascii="仿宋" w:eastAsia="仿宋" w:hAnsi="仿宋" w:cs="仿宋"/>
          <w:b/>
          <w:bCs/>
          <w:sz w:val="32"/>
          <w:szCs w:val="32"/>
        </w:rPr>
      </w:pPr>
      <w:r>
        <w:rPr>
          <w:rFonts w:ascii="仿宋" w:eastAsia="仿宋" w:hAnsi="仿宋" w:cs="仿宋" w:hint="eastAsia"/>
          <w:b/>
          <w:bCs/>
          <w:color w:val="000000"/>
          <w:kern w:val="0"/>
          <w:sz w:val="32"/>
          <w:szCs w:val="32"/>
        </w:rPr>
        <w:t xml:space="preserve">四、聚焦为民服务，民生保障持续升温 </w:t>
      </w:r>
    </w:p>
    <w:p w:rsidR="00150DA2" w:rsidRDefault="000D1E5F">
      <w:pPr>
        <w:widowControl/>
        <w:ind w:firstLineChars="200" w:firstLine="643"/>
        <w:jc w:val="left"/>
        <w:rPr>
          <w:rFonts w:ascii="仿宋" w:eastAsia="仿宋" w:hAnsi="仿宋" w:cs="仿宋"/>
          <w:sz w:val="32"/>
          <w:szCs w:val="32"/>
        </w:rPr>
      </w:pPr>
      <w:r>
        <w:rPr>
          <w:rFonts w:ascii="仿宋" w:eastAsia="仿宋" w:hAnsi="仿宋" w:cs="仿宋" w:hint="eastAsia"/>
          <w:b/>
          <w:bCs/>
          <w:color w:val="000000"/>
          <w:kern w:val="0"/>
          <w:sz w:val="32"/>
          <w:szCs w:val="32"/>
        </w:rPr>
        <w:t>基础建设更加完善。</w:t>
      </w:r>
      <w:r>
        <w:rPr>
          <w:rFonts w:ascii="仿宋" w:eastAsia="仿宋" w:hAnsi="仿宋" w:cs="仿宋" w:hint="eastAsia"/>
          <w:color w:val="000000"/>
          <w:kern w:val="0"/>
          <w:sz w:val="32"/>
          <w:szCs w:val="32"/>
        </w:rPr>
        <w:t>全力推动G240和三郎堰集镇黑化工程，完成 9.6 公里村级公路建设、3 座危桥改造；塔市驿中心小学教学楼整体维修加固，三郎小学综合楼、学生食堂新建使用，洪山头中心小学办学条件改善。</w:t>
      </w:r>
      <w:r>
        <w:rPr>
          <w:rFonts w:ascii="仿宋" w:eastAsia="仿宋" w:hAnsi="仿宋" w:cs="仿宋" w:hint="eastAsia"/>
          <w:b/>
          <w:bCs/>
          <w:color w:val="000000"/>
          <w:kern w:val="0"/>
          <w:sz w:val="32"/>
          <w:szCs w:val="32"/>
        </w:rPr>
        <w:t>便民服务更加全面。</w:t>
      </w:r>
      <w:r>
        <w:rPr>
          <w:rFonts w:ascii="仿宋" w:eastAsia="仿宋" w:hAnsi="仿宋" w:cs="仿宋" w:hint="eastAsia"/>
          <w:color w:val="000000"/>
          <w:kern w:val="0"/>
          <w:sz w:val="32"/>
          <w:szCs w:val="32"/>
        </w:rPr>
        <w:t>实现农村合作医疗、最低生活保障和义务教育全覆盖；65 岁以上老人和重大慢性病患者免费体检、农村妇女“两癌”筛查受益人数达 7000 人；“一网通办”“一窗受理”全面普及，全年办件 53224件，“一门式”工作位居全县前列。</w:t>
      </w:r>
      <w:r>
        <w:rPr>
          <w:rFonts w:ascii="仿宋" w:eastAsia="仿宋" w:hAnsi="仿宋" w:cs="仿宋" w:hint="eastAsia"/>
          <w:b/>
          <w:bCs/>
          <w:color w:val="000000"/>
          <w:kern w:val="0"/>
          <w:sz w:val="32"/>
          <w:szCs w:val="32"/>
        </w:rPr>
        <w:t>社会管理更加精细。</w:t>
      </w:r>
      <w:r>
        <w:rPr>
          <w:rFonts w:ascii="仿宋" w:eastAsia="仿宋" w:hAnsi="仿宋" w:cs="仿宋" w:hint="eastAsia"/>
          <w:color w:val="000000"/>
          <w:kern w:val="0"/>
          <w:sz w:val="32"/>
          <w:szCs w:val="32"/>
        </w:rPr>
        <w:t>安全生产检查工作机制全面完善，重点行业、重点领域、重点部位的监督管理迈向精准化、规范化；信访处置机</w:t>
      </w:r>
      <w:r>
        <w:rPr>
          <w:rFonts w:ascii="仿宋" w:eastAsia="仿宋" w:hAnsi="仿宋" w:cs="仿宋" w:hint="eastAsia"/>
          <w:color w:val="000000"/>
          <w:kern w:val="0"/>
          <w:sz w:val="32"/>
          <w:szCs w:val="32"/>
        </w:rPr>
        <w:lastRenderedPageBreak/>
        <w:t xml:space="preserve">制进一步完善，干部坐班接访、带案下访、主动约访常态化、长效化，历经十年的“三跨三分离”杨军信访事件成功得到化解；社会治安综合治理能力增强，重大网络舆情化解处理水平提升，“一村一 辅警”持续实施，采购 10 台治安巡逻摩托车，有效扩大巡逻面，扫黑除恶、禁毒反诈成效显著。 </w:t>
      </w:r>
    </w:p>
    <w:p w:rsidR="00150DA2" w:rsidRDefault="000D1E5F">
      <w:pPr>
        <w:widowControl/>
        <w:jc w:val="left"/>
        <w:rPr>
          <w:rFonts w:ascii="仿宋" w:eastAsia="仿宋" w:hAnsi="仿宋" w:cs="仿宋"/>
          <w:b/>
          <w:bCs/>
          <w:sz w:val="32"/>
          <w:szCs w:val="32"/>
        </w:rPr>
      </w:pPr>
      <w:r>
        <w:rPr>
          <w:rFonts w:ascii="仿宋" w:eastAsia="仿宋" w:hAnsi="仿宋" w:cs="仿宋" w:hint="eastAsia"/>
          <w:b/>
          <w:bCs/>
          <w:color w:val="000000"/>
          <w:kern w:val="0"/>
          <w:sz w:val="32"/>
          <w:szCs w:val="32"/>
        </w:rPr>
        <w:t xml:space="preserve">五、聚焦大战大考，服务大局不遗余力 </w:t>
      </w:r>
    </w:p>
    <w:p w:rsidR="00150DA2" w:rsidRDefault="000D1E5F">
      <w:pPr>
        <w:widowControl/>
        <w:ind w:firstLineChars="200" w:firstLine="640"/>
        <w:jc w:val="left"/>
        <w:rPr>
          <w:rFonts w:ascii="仿宋" w:eastAsia="仿宋" w:hAnsi="仿宋" w:cs="仿宋"/>
          <w:sz w:val="32"/>
          <w:szCs w:val="32"/>
        </w:rPr>
      </w:pPr>
      <w:r>
        <w:rPr>
          <w:rFonts w:ascii="仿宋" w:eastAsia="仿宋" w:hAnsi="仿宋" w:cs="仿宋" w:hint="eastAsia"/>
          <w:color w:val="000000"/>
          <w:kern w:val="0"/>
          <w:sz w:val="32"/>
          <w:szCs w:val="32"/>
        </w:rPr>
        <w:t>坚持以一镇之力为大局添彩。</w:t>
      </w:r>
      <w:r>
        <w:rPr>
          <w:rFonts w:ascii="仿宋" w:eastAsia="仿宋" w:hAnsi="仿宋" w:cs="仿宋" w:hint="eastAsia"/>
          <w:b/>
          <w:bCs/>
          <w:color w:val="000000"/>
          <w:kern w:val="0"/>
          <w:sz w:val="32"/>
          <w:szCs w:val="32"/>
        </w:rPr>
        <w:t>全力阻隔疫情。</w:t>
      </w:r>
      <w:r>
        <w:rPr>
          <w:rFonts w:ascii="仿宋" w:eastAsia="仿宋" w:hAnsi="仿宋" w:cs="仿宋" w:hint="eastAsia"/>
          <w:color w:val="000000"/>
          <w:kern w:val="0"/>
          <w:sz w:val="32"/>
          <w:szCs w:val="32"/>
        </w:rPr>
        <w:t xml:space="preserve">通过压实“五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 xml:space="preserve">包一”责任制，加强涉风险地区人员摸排管控，推进疫苗接种，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全面实现“疫情要防住、经济要稳住”目标。</w:t>
      </w:r>
      <w:r>
        <w:rPr>
          <w:rFonts w:ascii="仿宋" w:eastAsia="仿宋" w:hAnsi="仿宋" w:cs="仿宋" w:hint="eastAsia"/>
          <w:b/>
          <w:bCs/>
          <w:color w:val="000000"/>
          <w:kern w:val="0"/>
          <w:sz w:val="32"/>
          <w:szCs w:val="32"/>
        </w:rPr>
        <w:t xml:space="preserve">全力抗旱保收。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 xml:space="preserve">采取“八大举措”，科学引水提水管水，实现“居民饮水有保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障，农业灌溉能满足”的目标。</w:t>
      </w:r>
      <w:r>
        <w:rPr>
          <w:rFonts w:ascii="仿宋" w:eastAsia="仿宋" w:hAnsi="仿宋" w:cs="仿宋" w:hint="eastAsia"/>
          <w:b/>
          <w:bCs/>
          <w:color w:val="000000"/>
          <w:kern w:val="0"/>
          <w:sz w:val="32"/>
          <w:szCs w:val="32"/>
        </w:rPr>
        <w:t>全力排查清底。</w:t>
      </w:r>
      <w:r>
        <w:rPr>
          <w:rFonts w:ascii="仿宋" w:eastAsia="仿宋" w:hAnsi="仿宋" w:cs="仿宋" w:hint="eastAsia"/>
          <w:color w:val="000000"/>
          <w:kern w:val="0"/>
          <w:sz w:val="32"/>
          <w:szCs w:val="32"/>
        </w:rPr>
        <w:t xml:space="preserve">深入推进自建 </w:t>
      </w:r>
    </w:p>
    <w:p w:rsidR="00150DA2" w:rsidRDefault="000D1E5F">
      <w:pPr>
        <w:widowControl/>
        <w:jc w:val="left"/>
        <w:rPr>
          <w:rFonts w:ascii="仿宋" w:eastAsia="仿宋" w:hAnsi="仿宋" w:cs="仿宋"/>
          <w:sz w:val="32"/>
          <w:szCs w:val="32"/>
        </w:rPr>
      </w:pPr>
      <w:r>
        <w:rPr>
          <w:rFonts w:ascii="仿宋" w:eastAsia="仿宋" w:hAnsi="仿宋" w:cs="仿宋" w:hint="eastAsia"/>
          <w:color w:val="000000"/>
          <w:kern w:val="0"/>
          <w:sz w:val="32"/>
          <w:szCs w:val="32"/>
        </w:rPr>
        <w:t xml:space="preserve">房摸排工作，完成 18821 户住房普查任务，完成 55 户安全隐患房屋的改造和整修，住房安全得到进一步保障。 </w:t>
      </w:r>
    </w:p>
    <w:p w:rsidR="00150DA2" w:rsidRDefault="000D1E5F">
      <w:pPr>
        <w:pStyle w:val="aa"/>
        <w:widowControl/>
        <w:spacing w:line="610" w:lineRule="exact"/>
        <w:ind w:firstLine="640"/>
        <w:rPr>
          <w:rFonts w:ascii="Times New Roman" w:eastAsia="黑体" w:hAnsi="Times New Roman"/>
          <w:sz w:val="32"/>
          <w:szCs w:val="32"/>
        </w:rPr>
      </w:pPr>
      <w:r>
        <w:rPr>
          <w:rFonts w:ascii="Times New Roman" w:eastAsia="黑体" w:hAnsi="Times New Roman" w:hint="eastAsia"/>
          <w:sz w:val="32"/>
          <w:szCs w:val="32"/>
        </w:rPr>
        <w:t>五</w:t>
      </w:r>
      <w:r>
        <w:rPr>
          <w:rFonts w:ascii="Times New Roman" w:eastAsia="黑体" w:hAnsi="Times New Roman"/>
          <w:sz w:val="32"/>
          <w:szCs w:val="32"/>
        </w:rPr>
        <w:t>、存在的问题及原因分析</w:t>
      </w:r>
    </w:p>
    <w:p w:rsidR="00150DA2" w:rsidRDefault="000D1E5F">
      <w:pPr>
        <w:pStyle w:val="a7"/>
        <w:widowControl/>
        <w:shd w:val="clear" w:color="auto" w:fill="FFFFFF"/>
        <w:spacing w:beforeAutospacing="0" w:afterAutospacing="0" w:line="33" w:lineRule="atLeast"/>
        <w:ind w:firstLineChars="200" w:firstLine="640"/>
        <w:jc w:val="both"/>
        <w:rPr>
          <w:rFonts w:ascii="仿宋" w:eastAsia="仿宋" w:hAnsi="仿宋" w:cs="仿宋"/>
          <w:color w:val="000000"/>
          <w:kern w:val="2"/>
          <w:sz w:val="32"/>
          <w:szCs w:val="32"/>
          <w:shd w:val="clear" w:color="auto" w:fill="FFFFFF"/>
        </w:rPr>
      </w:pPr>
      <w:r>
        <w:rPr>
          <w:rFonts w:ascii="仿宋" w:eastAsia="仿宋" w:hAnsi="仿宋" w:cs="仿宋" w:hint="eastAsia"/>
          <w:color w:val="000000"/>
          <w:kern w:val="2"/>
          <w:sz w:val="32"/>
          <w:szCs w:val="32"/>
          <w:shd w:val="clear" w:color="auto" w:fill="FFFFFF"/>
        </w:rPr>
        <w:t>1.预算绩效指标体系存在进一步完善的空间，我单位现建立的各项预算绩效目标指标仍有不科学、不细致的地方，影响了预算绩效评价的结果。</w:t>
      </w:r>
    </w:p>
    <w:p w:rsidR="00150DA2" w:rsidRDefault="000D1E5F">
      <w:pPr>
        <w:pStyle w:val="a7"/>
        <w:widowControl/>
        <w:shd w:val="clear" w:color="auto" w:fill="FFFFFF"/>
        <w:spacing w:beforeAutospacing="0" w:afterAutospacing="0" w:line="33" w:lineRule="atLeast"/>
        <w:ind w:firstLineChars="200" w:firstLine="640"/>
        <w:jc w:val="both"/>
        <w:rPr>
          <w:rFonts w:ascii="仿宋" w:eastAsia="仿宋" w:hAnsi="仿宋" w:cs="仿宋"/>
          <w:color w:val="000000"/>
          <w:kern w:val="2"/>
          <w:sz w:val="32"/>
          <w:szCs w:val="32"/>
          <w:shd w:val="clear" w:color="auto" w:fill="FFFFFF"/>
        </w:rPr>
      </w:pPr>
      <w:r>
        <w:rPr>
          <w:rFonts w:ascii="仿宋" w:eastAsia="仿宋" w:hAnsi="仿宋" w:cs="仿宋" w:hint="eastAsia"/>
          <w:color w:val="000000"/>
          <w:kern w:val="2"/>
          <w:sz w:val="32"/>
          <w:szCs w:val="32"/>
          <w:shd w:val="clear" w:color="auto" w:fill="FFFFFF"/>
        </w:rPr>
        <w:t>2.预算绩效管理经验需要进一步积累。因为预算绩效管理工作具有政策性强、专业性强、涉及面广、操作难度大等特点，经验不足，导致工作多走许多弯路，影响工作效果</w:t>
      </w:r>
    </w:p>
    <w:p w:rsidR="00150DA2" w:rsidRDefault="000D1E5F">
      <w:pPr>
        <w:widowControl/>
        <w:spacing w:line="610" w:lineRule="exact"/>
        <w:ind w:firstLineChars="200" w:firstLine="640"/>
        <w:rPr>
          <w:rFonts w:eastAsia="黑体"/>
          <w:sz w:val="32"/>
          <w:szCs w:val="32"/>
        </w:rPr>
      </w:pPr>
      <w:r>
        <w:rPr>
          <w:rFonts w:eastAsia="黑体" w:hint="eastAsia"/>
          <w:sz w:val="32"/>
          <w:szCs w:val="32"/>
        </w:rPr>
        <w:lastRenderedPageBreak/>
        <w:t>六</w:t>
      </w:r>
      <w:r>
        <w:rPr>
          <w:rFonts w:eastAsia="黑体"/>
          <w:sz w:val="32"/>
          <w:szCs w:val="32"/>
        </w:rPr>
        <w:t>、下一步改进措施</w:t>
      </w:r>
    </w:p>
    <w:p w:rsidR="00150DA2" w:rsidRDefault="000D1E5F">
      <w:pPr>
        <w:pStyle w:val="2"/>
        <w:ind w:leftChars="0" w:firstLine="640"/>
        <w:rPr>
          <w:rFonts w:ascii="仿宋" w:eastAsia="仿宋" w:hAnsi="仿宋" w:cs="仿宋"/>
          <w:color w:val="000000"/>
          <w:sz w:val="32"/>
          <w:szCs w:val="32"/>
          <w:shd w:val="clear" w:color="auto" w:fill="FFFFFF"/>
        </w:rPr>
      </w:pPr>
      <w:r>
        <w:rPr>
          <w:rFonts w:ascii="仿宋" w:eastAsia="仿宋" w:hAnsi="仿宋" w:cs="仿宋" w:hint="eastAsia"/>
          <w:color w:val="000000"/>
          <w:sz w:val="32"/>
          <w:szCs w:val="32"/>
          <w:shd w:val="clear" w:color="auto" w:fill="FFFFFF"/>
        </w:rPr>
        <w:t>我单位应立足实际，坚持推行精细化管理，强化预算绩效目标管理、细化绩效目标，并将绩效目标细化分解为具体工作计划，同时，计划应明确规定在一定时间内完成的目标、任务和和应达到的要求，任务和要求应具体明确任务数量、质量。建立健全财政各项资金管理制度，严格执行财务管理制度，做到了财务处理及时，会计核算规范，严格按照计划进度支付。各项目资金严格实行专款专用，保证更规范严要求使用资金。在下年度的预算编制工作中，我们会时刻跟踪项目的进度，更好地完成预算资金，做好绩效评价工作。</w:t>
      </w:r>
    </w:p>
    <w:p w:rsidR="00150DA2" w:rsidRDefault="00150DA2" w:rsidP="00FF191C">
      <w:pPr>
        <w:pStyle w:val="2"/>
        <w:ind w:left="420"/>
      </w:pPr>
    </w:p>
    <w:p w:rsidR="00150DA2" w:rsidRDefault="00150DA2">
      <w:pPr>
        <w:widowControl/>
        <w:spacing w:line="560" w:lineRule="exact"/>
        <w:ind w:firstLineChars="200" w:firstLine="640"/>
        <w:rPr>
          <w:rFonts w:eastAsia="仿宋_GB2312"/>
          <w:sz w:val="32"/>
          <w:szCs w:val="32"/>
        </w:rPr>
      </w:pPr>
    </w:p>
    <w:p w:rsidR="00150DA2" w:rsidRDefault="00150DA2">
      <w:pPr>
        <w:spacing w:line="560" w:lineRule="exact"/>
        <w:jc w:val="left"/>
        <w:outlineLvl w:val="0"/>
        <w:rPr>
          <w:rFonts w:ascii="仿宋_GB2312" w:eastAsia="仿宋_GB2312"/>
          <w:sz w:val="32"/>
          <w:szCs w:val="32"/>
        </w:rPr>
        <w:sectPr w:rsidR="00150DA2">
          <w:footerReference w:type="default" r:id="rId8"/>
          <w:pgSz w:w="11906" w:h="16838"/>
          <w:pgMar w:top="1984" w:right="1701" w:bottom="1984" w:left="1701" w:header="851" w:footer="992" w:gutter="0"/>
          <w:cols w:space="0"/>
          <w:docGrid w:type="lines" w:linePitch="312"/>
        </w:sectPr>
      </w:pPr>
    </w:p>
    <w:p w:rsidR="00150DA2" w:rsidRDefault="00150DA2">
      <w:pPr>
        <w:widowControl/>
        <w:spacing w:line="610" w:lineRule="exact"/>
        <w:ind w:firstLineChars="200" w:firstLine="640"/>
        <w:rPr>
          <w:rFonts w:ascii="仿宋_GB2312" w:eastAsia="仿宋_GB2312"/>
          <w:sz w:val="32"/>
          <w:szCs w:val="32"/>
        </w:rPr>
      </w:pPr>
    </w:p>
    <w:sectPr w:rsidR="00150DA2" w:rsidSect="00150DA2">
      <w:pgSz w:w="11906" w:h="16838"/>
      <w:pgMar w:top="1984" w:right="1701" w:bottom="1984" w:left="1701"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CDE" w:rsidRDefault="00103CDE" w:rsidP="00150DA2">
      <w:r>
        <w:separator/>
      </w:r>
    </w:p>
  </w:endnote>
  <w:endnote w:type="continuationSeparator" w:id="0">
    <w:p w:rsidR="00103CDE" w:rsidRDefault="00103CDE" w:rsidP="00150D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F49AF144-5779-4F09-AFE6-3C07398AECE7}"/>
  </w:font>
  <w:font w:name="Calibri">
    <w:panose1 w:val="020F0502020204030204"/>
    <w:charset w:val="00"/>
    <w:family w:val="swiss"/>
    <w:pitch w:val="variable"/>
    <w:sig w:usb0="E00002FF" w:usb1="4000ACFF" w:usb2="00000001" w:usb3="00000000" w:csb0="0000019F" w:csb1="00000000"/>
    <w:embedRegular r:id="rId2" w:fontKey="{5E92C17D-98A7-4D68-A3E5-0D7B718BFC25}"/>
  </w:font>
  <w:font w:name="方正小标宋简体">
    <w:altName w:val="仿宋_GB2312"/>
    <w:charset w:val="86"/>
    <w:family w:val="auto"/>
    <w:pitch w:val="default"/>
    <w:sig w:usb0="00000000" w:usb1="00000000" w:usb2="00000000" w:usb3="00000000" w:csb0="00040000" w:csb1="00000000"/>
    <w:embedRegular r:id="rId3" w:subsetted="1" w:fontKey="{694212C0-8EBF-4AE5-A2BA-90E066BF1306}"/>
  </w:font>
  <w:font w:name="新宋体">
    <w:panose1 w:val="02010609030101010101"/>
    <w:charset w:val="86"/>
    <w:family w:val="modern"/>
    <w:pitch w:val="fixed"/>
    <w:sig w:usb0="00000003" w:usb1="288F0000" w:usb2="00000016" w:usb3="00000000" w:csb0="00040001" w:csb1="00000000"/>
    <w:embedRegular r:id="rId4" w:subsetted="1" w:fontKey="{CBB38A3D-054B-4BB8-A866-6883992939F8}"/>
    <w:embedBold r:id="rId5" w:subsetted="1" w:fontKey="{A43FD8D2-1607-4820-8FD7-2D26973344AA}"/>
  </w:font>
  <w:font w:name="仿宋_GB2312">
    <w:charset w:val="86"/>
    <w:family w:val="auto"/>
    <w:pitch w:val="default"/>
    <w:sig w:usb0="00000001" w:usb1="080E0000" w:usb2="00000000" w:usb3="00000000" w:csb0="00040000" w:csb1="00000000"/>
    <w:embedRegular r:id="rId6" w:subsetted="1" w:fontKey="{4B23B8B9-C863-4B7E-894F-23A5D11748D6}"/>
  </w:font>
  <w:font w:name="方正小标宋_GBK">
    <w:altName w:val="hakuyoxingshu7000"/>
    <w:charset w:val="86"/>
    <w:family w:val="script"/>
    <w:pitch w:val="default"/>
    <w:sig w:usb0="00000001" w:usb1="080E0000" w:usb2="00000000" w:usb3="00000000" w:csb0="00040000" w:csb1="00000000"/>
  </w:font>
  <w:font w:name="楷体_GB2312">
    <w:charset w:val="86"/>
    <w:family w:val="auto"/>
    <w:pitch w:val="default"/>
    <w:sig w:usb0="00000001" w:usb1="080E0000" w:usb2="00000000" w:usb3="00000000" w:csb0="00040000" w:csb1="00000000"/>
    <w:embedRegular r:id="rId7" w:subsetted="1" w:fontKey="{F28540AE-C230-4F4C-B5E6-5E54938DFEDF}"/>
  </w:font>
  <w:font w:name="仿宋">
    <w:panose1 w:val="02010609060101010101"/>
    <w:charset w:val="86"/>
    <w:family w:val="modern"/>
    <w:pitch w:val="fixed"/>
    <w:sig w:usb0="800002BF" w:usb1="38CF7CFA" w:usb2="00000016" w:usb3="00000000" w:csb0="00040001" w:csb1="00000000"/>
    <w:embedRegular r:id="rId8" w:subsetted="1" w:fontKey="{F032750B-11AA-407D-827B-CD9648F6462C}"/>
    <w:embedBold r:id="rId9" w:subsetted="1" w:fontKey="{AF008A9F-0071-43B2-B853-1552F7350504}"/>
  </w:font>
  <w:font w:name="Cambria">
    <w:panose1 w:val="02040503050406030204"/>
    <w:charset w:val="00"/>
    <w:family w:val="roman"/>
    <w:pitch w:val="variable"/>
    <w:sig w:usb0="E00002FF" w:usb1="400004FF" w:usb2="00000000" w:usb3="00000000" w:csb0="0000019F" w:csb1="00000000"/>
    <w:embedRegular r:id="rId10" w:fontKey="{FF3862D7-089B-4A82-9E14-6D312D1EF9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A2" w:rsidRDefault="00150DA2">
    <w:pPr>
      <w:pStyle w:val="a4"/>
      <w:jc w:val="right"/>
      <w:rPr>
        <w:rFonts w:ascii="仿宋_GB2312" w:eastAsia="仿宋_GB2312"/>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CDE" w:rsidRDefault="00103CDE" w:rsidP="00150DA2">
      <w:r>
        <w:separator/>
      </w:r>
    </w:p>
  </w:footnote>
  <w:footnote w:type="continuationSeparator" w:id="0">
    <w:p w:rsidR="00103CDE" w:rsidRDefault="00103CDE" w:rsidP="00150D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685A951"/>
    <w:multiLevelType w:val="singleLevel"/>
    <w:tmpl w:val="E685A951"/>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bordersDoNotSurroundHeader/>
  <w:bordersDoNotSurroundFooter/>
  <w:proofState w:spelling="clean"/>
  <w:defaultTabStop w:val="420"/>
  <w:drawingGridVerticalSpacing w:val="156"/>
  <w:noPunctuationKerning/>
  <w:characterSpacingControl w:val="compressPunctuation"/>
  <w:noLineBreaksAfter w:lang="zh-CN" w:val="$([{£¥·‘“〈《「『【〔〖〝﹙﹛﹝＄（．［｛￡￥"/>
  <w:noLineBreaksBefore w:lang="zh-CN" w:val="!%),.:;&gt;?]}¢¨°·ˇˉ―‖’”…‰′″›℃∶、。〃〉》」』】〕〗〞︶︺︾﹀﹄﹚﹜﹞！＂％＇），．：；？］｀｜｝～￠"/>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
  <w:docVars>
    <w:docVar w:name="commondata" w:val="eyJoZGlkIjoiM2EzMTc3YjllNTI5Y2UyNTk5ZWVjZGQyYjJmYTkwZjcifQ=="/>
  </w:docVars>
  <w:rsids>
    <w:rsidRoot w:val="0CCB7736"/>
    <w:rsid w:val="00047FEF"/>
    <w:rsid w:val="000A3906"/>
    <w:rsid w:val="000D1E5F"/>
    <w:rsid w:val="00103CDE"/>
    <w:rsid w:val="00150DA2"/>
    <w:rsid w:val="001776F1"/>
    <w:rsid w:val="00182462"/>
    <w:rsid w:val="00400A01"/>
    <w:rsid w:val="006F0A16"/>
    <w:rsid w:val="00773328"/>
    <w:rsid w:val="00821883"/>
    <w:rsid w:val="00917857"/>
    <w:rsid w:val="00A755C2"/>
    <w:rsid w:val="00C74B6A"/>
    <w:rsid w:val="00FF191C"/>
    <w:rsid w:val="016A347B"/>
    <w:rsid w:val="02B50488"/>
    <w:rsid w:val="0338470A"/>
    <w:rsid w:val="034822A9"/>
    <w:rsid w:val="03D86621"/>
    <w:rsid w:val="04EE6171"/>
    <w:rsid w:val="05395EA9"/>
    <w:rsid w:val="06C07969"/>
    <w:rsid w:val="0ABD557B"/>
    <w:rsid w:val="0BBB5A8D"/>
    <w:rsid w:val="0BC159E2"/>
    <w:rsid w:val="0C104906"/>
    <w:rsid w:val="0CCB7736"/>
    <w:rsid w:val="0D9E0E8D"/>
    <w:rsid w:val="0EAB7397"/>
    <w:rsid w:val="0EF755B3"/>
    <w:rsid w:val="0F17035E"/>
    <w:rsid w:val="0F4E168D"/>
    <w:rsid w:val="11404466"/>
    <w:rsid w:val="11963ADD"/>
    <w:rsid w:val="11EB0F5C"/>
    <w:rsid w:val="11F20483"/>
    <w:rsid w:val="131756F5"/>
    <w:rsid w:val="136F31F8"/>
    <w:rsid w:val="138750E0"/>
    <w:rsid w:val="15A620D3"/>
    <w:rsid w:val="16A3369E"/>
    <w:rsid w:val="178536BD"/>
    <w:rsid w:val="19516372"/>
    <w:rsid w:val="19575CC2"/>
    <w:rsid w:val="19A80228"/>
    <w:rsid w:val="1A101464"/>
    <w:rsid w:val="1AB74849"/>
    <w:rsid w:val="1AC52FF2"/>
    <w:rsid w:val="1AE6175D"/>
    <w:rsid w:val="1B742AA7"/>
    <w:rsid w:val="1CA34935"/>
    <w:rsid w:val="1D5A640E"/>
    <w:rsid w:val="1F7640EC"/>
    <w:rsid w:val="20D76C5F"/>
    <w:rsid w:val="21057490"/>
    <w:rsid w:val="214A230E"/>
    <w:rsid w:val="21B052C4"/>
    <w:rsid w:val="22FF5445"/>
    <w:rsid w:val="238D0E57"/>
    <w:rsid w:val="24256710"/>
    <w:rsid w:val="251E7983"/>
    <w:rsid w:val="260D5D83"/>
    <w:rsid w:val="274C6D50"/>
    <w:rsid w:val="27543200"/>
    <w:rsid w:val="284A2254"/>
    <w:rsid w:val="292F1467"/>
    <w:rsid w:val="29786927"/>
    <w:rsid w:val="297B51B4"/>
    <w:rsid w:val="29E40467"/>
    <w:rsid w:val="29F527E2"/>
    <w:rsid w:val="2B054C74"/>
    <w:rsid w:val="2BF35971"/>
    <w:rsid w:val="2C487650"/>
    <w:rsid w:val="2E387AD1"/>
    <w:rsid w:val="2E4F43C0"/>
    <w:rsid w:val="2EC7368E"/>
    <w:rsid w:val="30FB4B41"/>
    <w:rsid w:val="31621165"/>
    <w:rsid w:val="323C5548"/>
    <w:rsid w:val="32597306"/>
    <w:rsid w:val="329F4483"/>
    <w:rsid w:val="33D93B09"/>
    <w:rsid w:val="37450F88"/>
    <w:rsid w:val="37D6106F"/>
    <w:rsid w:val="38F862EB"/>
    <w:rsid w:val="39343807"/>
    <w:rsid w:val="39887BBC"/>
    <w:rsid w:val="3A53023B"/>
    <w:rsid w:val="3AF42D2D"/>
    <w:rsid w:val="3B3A041F"/>
    <w:rsid w:val="3B59279F"/>
    <w:rsid w:val="3BAE6BF9"/>
    <w:rsid w:val="3C8B67A1"/>
    <w:rsid w:val="3CA4104C"/>
    <w:rsid w:val="3CCA47F2"/>
    <w:rsid w:val="3CDE0708"/>
    <w:rsid w:val="3D5877DF"/>
    <w:rsid w:val="3DC55CAA"/>
    <w:rsid w:val="3DD556CA"/>
    <w:rsid w:val="3F450429"/>
    <w:rsid w:val="40226C80"/>
    <w:rsid w:val="40C451A5"/>
    <w:rsid w:val="4156470B"/>
    <w:rsid w:val="41630D72"/>
    <w:rsid w:val="41943ACE"/>
    <w:rsid w:val="425D4066"/>
    <w:rsid w:val="43173FD4"/>
    <w:rsid w:val="44143822"/>
    <w:rsid w:val="44654A12"/>
    <w:rsid w:val="457C5F26"/>
    <w:rsid w:val="49CF255F"/>
    <w:rsid w:val="4B2C5DCD"/>
    <w:rsid w:val="4B7D1173"/>
    <w:rsid w:val="4C150E22"/>
    <w:rsid w:val="4C6A38FC"/>
    <w:rsid w:val="4C773D77"/>
    <w:rsid w:val="4CE74BC3"/>
    <w:rsid w:val="4CF5000E"/>
    <w:rsid w:val="4DB17672"/>
    <w:rsid w:val="50AC44C4"/>
    <w:rsid w:val="50EA6DB9"/>
    <w:rsid w:val="51CA7471"/>
    <w:rsid w:val="521C2FA3"/>
    <w:rsid w:val="522529B2"/>
    <w:rsid w:val="53910AF4"/>
    <w:rsid w:val="555952B3"/>
    <w:rsid w:val="556B5A36"/>
    <w:rsid w:val="55AF40BB"/>
    <w:rsid w:val="56B94FF6"/>
    <w:rsid w:val="56F72F7C"/>
    <w:rsid w:val="57D83DFC"/>
    <w:rsid w:val="586243BF"/>
    <w:rsid w:val="58FD3402"/>
    <w:rsid w:val="59F60B1C"/>
    <w:rsid w:val="5AAF7799"/>
    <w:rsid w:val="5B5C1753"/>
    <w:rsid w:val="5E134100"/>
    <w:rsid w:val="5F7A1C50"/>
    <w:rsid w:val="601C4AB5"/>
    <w:rsid w:val="60BE691E"/>
    <w:rsid w:val="61444403"/>
    <w:rsid w:val="62123D64"/>
    <w:rsid w:val="62265BDF"/>
    <w:rsid w:val="62E1699A"/>
    <w:rsid w:val="63CD5B11"/>
    <w:rsid w:val="64147F0D"/>
    <w:rsid w:val="64342361"/>
    <w:rsid w:val="64D66362"/>
    <w:rsid w:val="65860217"/>
    <w:rsid w:val="667E0AA1"/>
    <w:rsid w:val="66FA4F74"/>
    <w:rsid w:val="68FB17C3"/>
    <w:rsid w:val="695F12F9"/>
    <w:rsid w:val="69636C3A"/>
    <w:rsid w:val="69CF7B2C"/>
    <w:rsid w:val="6A0B0004"/>
    <w:rsid w:val="6BA1010E"/>
    <w:rsid w:val="6CE47E41"/>
    <w:rsid w:val="6CED5810"/>
    <w:rsid w:val="6CF92413"/>
    <w:rsid w:val="6DFE5E04"/>
    <w:rsid w:val="6E87203D"/>
    <w:rsid w:val="6F9278BB"/>
    <w:rsid w:val="71572F19"/>
    <w:rsid w:val="719B7427"/>
    <w:rsid w:val="724A6793"/>
    <w:rsid w:val="741F26FA"/>
    <w:rsid w:val="74470DF8"/>
    <w:rsid w:val="75FD1676"/>
    <w:rsid w:val="799536BA"/>
    <w:rsid w:val="7B170752"/>
    <w:rsid w:val="7B2C1554"/>
    <w:rsid w:val="7B8F681B"/>
    <w:rsid w:val="7DD96C0E"/>
    <w:rsid w:val="7E474F7B"/>
    <w:rsid w:val="7E522459"/>
    <w:rsid w:val="7E8F7AC1"/>
    <w:rsid w:val="7E951A7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semiHidden="0" w:uiPriority="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nhideWhenUsed="0" w:qFormat="1"/>
    <w:lsdException w:name="Body Text Indent" w:semiHidden="0" w:uiPriority="0" w:unhideWhenUsed="0" w:qFormat="1"/>
    <w:lsdException w:name="Subtitle" w:locked="1" w:semiHidden="0" w:uiPriority="0" w:unhideWhenUsed="0" w:qFormat="1"/>
    <w:lsdException w:name="Body Text First Indent 2" w:semiHidden="0" w:uiPriority="0" w:unhideWhenUsed="0" w:qFormat="1"/>
    <w:lsdException w:name="Strong" w:locked="1" w:semiHidden="0" w:uiPriority="0" w:unhideWhenUsed="0" w:qFormat="1"/>
    <w:lsdException w:name="Emphasis" w:locked="1" w:semiHidden="0" w:uiPriority="0" w:unhideWhenUsed="0" w:qFormat="1"/>
    <w:lsdException w:name="Normal (Web)"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150DA2"/>
    <w:pPr>
      <w:widowControl w:val="0"/>
      <w:jc w:val="both"/>
    </w:pPr>
    <w:rPr>
      <w:kern w:val="2"/>
      <w:sz w:val="21"/>
      <w:szCs w:val="24"/>
    </w:rPr>
  </w:style>
  <w:style w:type="paragraph" w:styleId="1">
    <w:name w:val="heading 1"/>
    <w:basedOn w:val="a"/>
    <w:next w:val="a"/>
    <w:qFormat/>
    <w:locked/>
    <w:rsid w:val="00150DA2"/>
    <w:pPr>
      <w:keepNext/>
      <w:keepLines/>
      <w:outlineLvl w:val="0"/>
    </w:pPr>
    <w:rPr>
      <w:rFonts w:eastAsia="黑体"/>
      <w:bCs/>
      <w:kern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rsid w:val="00150DA2"/>
    <w:pPr>
      <w:spacing w:before="100" w:beforeAutospacing="1" w:after="0"/>
      <w:ind w:left="0" w:firstLineChars="200" w:firstLine="420"/>
    </w:pPr>
    <w:rPr>
      <w:rFonts w:ascii="Calibri" w:hAnsi="Calibri"/>
    </w:rPr>
  </w:style>
  <w:style w:type="paragraph" w:styleId="a3">
    <w:name w:val="Body Text Indent"/>
    <w:basedOn w:val="a"/>
    <w:qFormat/>
    <w:rsid w:val="00150DA2"/>
    <w:pPr>
      <w:spacing w:after="120"/>
      <w:ind w:leftChars="200" w:left="420"/>
    </w:pPr>
  </w:style>
  <w:style w:type="paragraph" w:styleId="a4">
    <w:name w:val="footer"/>
    <w:basedOn w:val="a"/>
    <w:link w:val="Char"/>
    <w:uiPriority w:val="99"/>
    <w:qFormat/>
    <w:rsid w:val="00150DA2"/>
    <w:pPr>
      <w:tabs>
        <w:tab w:val="center" w:pos="4153"/>
        <w:tab w:val="right" w:pos="8306"/>
      </w:tabs>
      <w:snapToGrid w:val="0"/>
      <w:jc w:val="left"/>
    </w:pPr>
    <w:rPr>
      <w:sz w:val="18"/>
      <w:szCs w:val="18"/>
    </w:rPr>
  </w:style>
  <w:style w:type="paragraph" w:styleId="a5">
    <w:name w:val="header"/>
    <w:basedOn w:val="a"/>
    <w:link w:val="Char0"/>
    <w:uiPriority w:val="99"/>
    <w:qFormat/>
    <w:rsid w:val="00150DA2"/>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150DA2"/>
  </w:style>
  <w:style w:type="paragraph" w:styleId="a6">
    <w:name w:val="footnote text"/>
    <w:basedOn w:val="a"/>
    <w:next w:val="a"/>
    <w:qFormat/>
    <w:rsid w:val="00150DA2"/>
    <w:pPr>
      <w:snapToGrid w:val="0"/>
      <w:jc w:val="left"/>
    </w:pPr>
    <w:rPr>
      <w:sz w:val="18"/>
      <w:szCs w:val="18"/>
    </w:rPr>
  </w:style>
  <w:style w:type="paragraph" w:styleId="a7">
    <w:name w:val="Normal (Web)"/>
    <w:basedOn w:val="a"/>
    <w:uiPriority w:val="99"/>
    <w:semiHidden/>
    <w:unhideWhenUsed/>
    <w:qFormat/>
    <w:rsid w:val="00150DA2"/>
    <w:pPr>
      <w:spacing w:beforeAutospacing="1" w:afterAutospacing="1"/>
      <w:jc w:val="left"/>
    </w:pPr>
    <w:rPr>
      <w:kern w:val="0"/>
      <w:sz w:val="24"/>
    </w:rPr>
  </w:style>
  <w:style w:type="table" w:styleId="a8">
    <w:name w:val="Table Grid"/>
    <w:basedOn w:val="a1"/>
    <w:uiPriority w:val="99"/>
    <w:qFormat/>
    <w:rsid w:val="00150D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uiPriority w:val="99"/>
    <w:qFormat/>
    <w:rsid w:val="00150DA2"/>
    <w:rPr>
      <w:rFonts w:cs="Times New Roman"/>
    </w:rPr>
  </w:style>
  <w:style w:type="character" w:customStyle="1" w:styleId="Char">
    <w:name w:val="页脚 Char"/>
    <w:basedOn w:val="a0"/>
    <w:link w:val="a4"/>
    <w:uiPriority w:val="99"/>
    <w:semiHidden/>
    <w:qFormat/>
    <w:rsid w:val="00150DA2"/>
    <w:rPr>
      <w:sz w:val="18"/>
      <w:szCs w:val="18"/>
    </w:rPr>
  </w:style>
  <w:style w:type="character" w:customStyle="1" w:styleId="Char0">
    <w:name w:val="页眉 Char"/>
    <w:basedOn w:val="a0"/>
    <w:link w:val="a5"/>
    <w:uiPriority w:val="99"/>
    <w:semiHidden/>
    <w:qFormat/>
    <w:rsid w:val="00150DA2"/>
    <w:rPr>
      <w:sz w:val="18"/>
      <w:szCs w:val="18"/>
    </w:rPr>
  </w:style>
  <w:style w:type="paragraph" w:styleId="aa">
    <w:name w:val="List Paragraph"/>
    <w:basedOn w:val="a"/>
    <w:uiPriority w:val="99"/>
    <w:qFormat/>
    <w:rsid w:val="00150DA2"/>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1001</Words>
  <Characters>5706</Characters>
  <Application>Microsoft Office Word</Application>
  <DocSecurity>0</DocSecurity>
  <Lines>47</Lines>
  <Paragraphs>13</Paragraphs>
  <ScaleCrop>false</ScaleCrop>
  <Company/>
  <LinksUpToDate>false</LinksUpToDate>
  <CharactersWithSpaces>6694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cp:revision>
  <cp:lastPrinted>2023-07-12T02:06:00Z</cp:lastPrinted>
  <dcterms:created xsi:type="dcterms:W3CDTF">2020-06-04T01:07:00Z</dcterms:created>
  <dcterms:modified xsi:type="dcterms:W3CDTF">2023-07-12T02:07:00Z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22F6C65267154955AD5E17359874E52A_13</vt:lpwstr>
  </property>
</Properties>
</file>