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8"/>
        <w:tblW w:w="5016" w:type="pct"/>
        <w:jc w:val="center"/>
        <w:tblLayout w:type="autofit"/>
        <w:tblCellMar>
          <w:top w:w="0" w:type="dxa"/>
          <w:left w:w="108" w:type="dxa"/>
          <w:bottom w:w="0" w:type="dxa"/>
          <w:right w:w="108" w:type="dxa"/>
        </w:tblCellMar>
      </w:tblPr>
      <w:tblGrid>
        <w:gridCol w:w="3223"/>
        <w:gridCol w:w="2"/>
        <w:gridCol w:w="1955"/>
        <w:gridCol w:w="2"/>
        <w:gridCol w:w="2438"/>
        <w:gridCol w:w="2"/>
        <w:gridCol w:w="1696"/>
      </w:tblGrid>
      <w:tr>
        <w:tblPrEx>
          <w:tblCellMar>
            <w:top w:w="0" w:type="dxa"/>
            <w:left w:w="108" w:type="dxa"/>
            <w:bottom w:w="0" w:type="dxa"/>
            <w:right w:w="108" w:type="dxa"/>
          </w:tblCellMar>
        </w:tblPrEx>
        <w:trPr>
          <w:trHeight w:val="418" w:hRule="atLeast"/>
          <w:jc w:val="center"/>
        </w:trPr>
        <w:tc>
          <w:tcPr>
            <w:tcW w:w="173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0"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09"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418" w:hRule="atLeast"/>
          <w:jc w:val="center"/>
        </w:trPr>
        <w:tc>
          <w:tcPr>
            <w:tcW w:w="17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p>
        </w:tc>
        <w:tc>
          <w:tcPr>
            <w:tcW w:w="1050"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72</w:t>
            </w:r>
          </w:p>
        </w:tc>
        <w:tc>
          <w:tcPr>
            <w:tcW w:w="1309"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72</w:t>
            </w:r>
          </w:p>
        </w:tc>
        <w:tc>
          <w:tcPr>
            <w:tcW w:w="91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418" w:hRule="atLeast"/>
          <w:jc w:val="center"/>
        </w:trPr>
        <w:tc>
          <w:tcPr>
            <w:tcW w:w="1730" w:type="pct"/>
            <w:gridSpan w:val="2"/>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10" w:type="pct"/>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802.6</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832.00</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859.63</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4</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93</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lang w:val="en-US" w:eastAsia="zh-CN"/>
              </w:rPr>
            </w:pPr>
            <w:r>
              <w:rPr>
                <w:rFonts w:hint="eastAsia"/>
                <w:lang w:val="en-US" w:eastAsia="zh-CN"/>
              </w:rPr>
              <w:t>7</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6</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9</w:t>
            </w:r>
            <w:r>
              <w:rPr>
                <w:rFonts w:hint="eastAsia" w:ascii="新宋体" w:hAnsi="新宋体" w:eastAsia="新宋体" w:cs="新宋体"/>
                <w:sz w:val="21"/>
                <w:szCs w:val="21"/>
                <w:lang w:val="en-US" w:eastAsia="zh-CN"/>
              </w:rPr>
              <w:t>8</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07</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5</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2</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.07</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5</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rPr>
              <w:t>5</w:t>
            </w:r>
            <w:r>
              <w:rPr>
                <w:rFonts w:hint="eastAsia" w:ascii="新宋体" w:hAnsi="新宋体" w:eastAsia="新宋体" w:cs="新宋体"/>
                <w:sz w:val="21"/>
                <w:szCs w:val="21"/>
                <w:lang w:val="en-US" w:eastAsia="zh-CN"/>
              </w:rPr>
              <w:t>.12</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0</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0</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.86</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.86</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517.18</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503.16</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503.16</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入学新生结核筛查项目</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2.中小学结核病筛查项目</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kern w:val="2"/>
                <w:sz w:val="21"/>
                <w:szCs w:val="21"/>
                <w:lang w:val="en-US" w:eastAsia="zh-CN" w:bidi="ar-SA"/>
              </w:rPr>
            </w:pP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48</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48</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pStyle w:val="2"/>
              <w:keepNext w:val="0"/>
              <w:keepLines w:val="0"/>
              <w:pageBreakBefore w:val="0"/>
              <w:suppressLineNumbers w:val="0"/>
              <w:kinsoku/>
              <w:wordWrap/>
              <w:overflowPunct/>
              <w:topLinePunct w:val="0"/>
              <w:autoSpaceDE/>
              <w:autoSpaceDN/>
              <w:bidi w:val="0"/>
              <w:adjustRightInd/>
              <w:spacing w:before="0" w:beforeAutospacing="0" w:after="0" w:afterAutospacing="0" w:line="240" w:lineRule="exact"/>
              <w:ind w:left="0" w:right="0"/>
              <w:textAlignment w:val="auto"/>
              <w:rPr>
                <w:rFonts w:hint="default"/>
                <w:lang w:val="en-US" w:eastAsia="zh-CN"/>
              </w:rPr>
            </w:pPr>
            <w:r>
              <w:rPr>
                <w:rFonts w:hint="eastAsia" w:ascii="新宋体" w:hAnsi="新宋体" w:eastAsia="新宋体" w:cs="新宋体"/>
                <w:kern w:val="2"/>
                <w:sz w:val="21"/>
                <w:szCs w:val="21"/>
                <w:lang w:val="en-US" w:eastAsia="zh-CN" w:bidi="ar-SA"/>
              </w:rPr>
              <w:t>3.从业人员预防性体检项目</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kern w:val="2"/>
                <w:sz w:val="21"/>
                <w:szCs w:val="21"/>
                <w:lang w:val="en-US" w:eastAsia="zh-CN" w:bidi="ar-SA"/>
              </w:rPr>
            </w:pP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28</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28</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pStyle w:val="2"/>
              <w:keepNext w:val="0"/>
              <w:keepLines w:val="0"/>
              <w:pageBreakBefore w:val="0"/>
              <w:suppressLineNumbers w:val="0"/>
              <w:kinsoku/>
              <w:wordWrap/>
              <w:overflowPunct/>
              <w:topLinePunct w:val="0"/>
              <w:autoSpaceDE/>
              <w:autoSpaceDN/>
              <w:bidi w:val="0"/>
              <w:adjustRightInd/>
              <w:spacing w:before="0" w:beforeAutospacing="0" w:after="0" w:afterAutospacing="0" w:line="240" w:lineRule="exact"/>
              <w:ind w:left="0" w:right="0"/>
              <w:textAlignment w:val="auto"/>
              <w:rPr>
                <w:rFonts w:hint="default"/>
                <w:lang w:val="en-US" w:eastAsia="zh-CN"/>
              </w:rPr>
            </w:pPr>
            <w:r>
              <w:rPr>
                <w:rFonts w:hint="eastAsia" w:ascii="新宋体" w:hAnsi="新宋体" w:eastAsia="新宋体" w:cs="新宋体"/>
                <w:kern w:val="2"/>
                <w:sz w:val="21"/>
                <w:szCs w:val="21"/>
                <w:lang w:val="en-US" w:eastAsia="zh-CN" w:bidi="ar-SA"/>
              </w:rPr>
              <w:t>4.新冠肺炎工作经费</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kern w:val="2"/>
                <w:sz w:val="21"/>
                <w:szCs w:val="21"/>
                <w:lang w:val="en-US" w:eastAsia="zh-CN" w:bidi="ar-SA"/>
              </w:rPr>
            </w:pP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12.8</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12.8</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5.医疗卫生机构能力建设项目</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78.46</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121.54</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121.54</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6.基本公卫服务项目</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116.71</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65.5</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65.5</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7.重大传染病防治项目</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191.89</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184.59</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184.59</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8.尘肺病救治项目</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2.73</w:t>
            </w: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2.73</w:t>
            </w: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9.其他公共卫生项目</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24.06</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lang w:val="en-US" w:eastAsia="zh-CN"/>
              </w:rPr>
            </w:pP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10.其他公共卫生健康支出</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lang w:val="en-US" w:eastAsia="zh-CN"/>
              </w:rPr>
            </w:pP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418" w:hRule="atLeast"/>
          <w:jc w:val="center"/>
        </w:trPr>
        <w:tc>
          <w:tcPr>
            <w:tcW w:w="1729"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11.防疫应急物资储备</w:t>
            </w:r>
          </w:p>
        </w:tc>
        <w:tc>
          <w:tcPr>
            <w:tcW w:w="1050"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104.06</w:t>
            </w:r>
          </w:p>
        </w:tc>
        <w:tc>
          <w:tcPr>
            <w:tcW w:w="1309"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lang w:val="en-US" w:eastAsia="zh-CN"/>
              </w:rPr>
            </w:pPr>
          </w:p>
        </w:tc>
        <w:tc>
          <w:tcPr>
            <w:tcW w:w="911" w:type="pct"/>
            <w:gridSpan w:val="2"/>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436" w:hRule="atLeast"/>
          <w:jc w:val="center"/>
        </w:trPr>
        <w:tc>
          <w:tcPr>
            <w:tcW w:w="1730" w:type="pct"/>
            <w:gridSpan w:val="2"/>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both"/>
              <w:textAlignment w:val="auto"/>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9" w:type="pct"/>
            <w:gridSpan w:val="5"/>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苏玲</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2023.7.6</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15074031568</w:t>
      </w:r>
      <w:r>
        <w:rPr>
          <w:rFonts w:hint="default" w:ascii="Times New Roman" w:hAnsi="Times New Roman" w:eastAsia="仿宋_GB2312" w:cs="Times New Roman"/>
          <w:sz w:val="22"/>
        </w:rPr>
        <w:t xml:space="preserve">   单位负责人签字：</w:t>
      </w:r>
      <w:r>
        <w:rPr>
          <w:rFonts w:hint="eastAsia" w:eastAsia="仿宋_GB2312" w:cs="Times New Roman"/>
          <w:sz w:val="22"/>
          <w:lang w:eastAsia="zh-CN"/>
        </w:rPr>
        <w:t>施恩</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8"/>
        <w:tblW w:w="5016" w:type="pct"/>
        <w:jc w:val="center"/>
        <w:tblLayout w:type="autofit"/>
        <w:tblCellMar>
          <w:top w:w="0" w:type="dxa"/>
          <w:left w:w="108" w:type="dxa"/>
          <w:bottom w:w="0" w:type="dxa"/>
          <w:right w:w="108" w:type="dxa"/>
        </w:tblCellMar>
      </w:tblPr>
      <w:tblGrid>
        <w:gridCol w:w="1085"/>
        <w:gridCol w:w="863"/>
        <w:gridCol w:w="880"/>
        <w:gridCol w:w="1046"/>
        <w:gridCol w:w="1120"/>
        <w:gridCol w:w="1133"/>
        <w:gridCol w:w="580"/>
        <w:gridCol w:w="1008"/>
        <w:gridCol w:w="1603"/>
      </w:tblGrid>
      <w:tr>
        <w:tblPrEx>
          <w:tblCellMar>
            <w:top w:w="0" w:type="dxa"/>
            <w:left w:w="108" w:type="dxa"/>
            <w:bottom w:w="0" w:type="dxa"/>
            <w:right w:w="108" w:type="dxa"/>
          </w:tblCellMar>
        </w:tblPrEx>
        <w:trPr>
          <w:trHeight w:val="804" w:hRule="atLeast"/>
          <w:jc w:val="center"/>
        </w:trPr>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7"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华容县疾病预防控制中心</w:t>
            </w:r>
          </w:p>
        </w:tc>
      </w:tr>
      <w:tr>
        <w:tblPrEx>
          <w:tblCellMar>
            <w:top w:w="0" w:type="dxa"/>
            <w:left w:w="108" w:type="dxa"/>
            <w:bottom w:w="0" w:type="dxa"/>
            <w:right w:w="108" w:type="dxa"/>
          </w:tblCellMar>
        </w:tblPrEx>
        <w:trPr>
          <w:trHeight w:val="700" w:hRule="atLeast"/>
          <w:jc w:val="center"/>
        </w:trPr>
        <w:tc>
          <w:tcPr>
            <w:tcW w:w="582"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5"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i w:val="0"/>
                <w:iCs w:val="0"/>
                <w:sz w:val="21"/>
                <w:szCs w:val="21"/>
              </w:rPr>
            </w:pP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396" w:hRule="atLeast"/>
          <w:jc w:val="center"/>
        </w:trPr>
        <w:tc>
          <w:tcPr>
            <w:tcW w:w="582"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5"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832</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1362.79</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1362.79</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7"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320"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7"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1362.79</w:t>
            </w:r>
          </w:p>
        </w:tc>
        <w:tc>
          <w:tcPr>
            <w:tcW w:w="2320"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其中：基本支出：</w:t>
            </w:r>
            <w:r>
              <w:rPr>
                <w:rFonts w:hint="eastAsia" w:ascii="新宋体" w:hAnsi="新宋体" w:eastAsia="新宋体" w:cs="新宋体"/>
                <w:sz w:val="21"/>
                <w:szCs w:val="21"/>
                <w:lang w:val="en-US" w:eastAsia="zh-CN"/>
              </w:rPr>
              <w:t>859.63</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7"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2320"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503.16</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7"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2320"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1470" w:firstLineChars="7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28</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7"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2320"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396" w:hRule="atLeast"/>
          <w:jc w:val="center"/>
        </w:trPr>
        <w:tc>
          <w:tcPr>
            <w:tcW w:w="58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097"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20"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2536" w:hRule="atLeast"/>
          <w:jc w:val="center"/>
        </w:trPr>
        <w:tc>
          <w:tcPr>
            <w:tcW w:w="58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097"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切实抓好免疫规划、结核病、艾滋病防治工作卫生监测、职业病防治、食品安全风险监测等工作职能履行到位，</w:t>
            </w:r>
            <w:r>
              <w:rPr>
                <w:rFonts w:hint="default" w:ascii="新宋体" w:hAnsi="新宋体" w:eastAsia="新宋体" w:cs="新宋体"/>
                <w:i w:val="0"/>
                <w:iCs w:val="0"/>
                <w:sz w:val="21"/>
                <w:szCs w:val="21"/>
                <w:lang w:val="en-US" w:eastAsia="zh-CN"/>
              </w:rPr>
              <w:t>有效控制各种疾病的发生，确保儿童身心健康。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i w:val="0"/>
                <w:iCs w:val="0"/>
                <w:sz w:val="21"/>
                <w:szCs w:val="21"/>
                <w:lang w:val="en-US" w:eastAsia="zh-CN"/>
              </w:rPr>
            </w:pPr>
          </w:p>
        </w:tc>
        <w:tc>
          <w:tcPr>
            <w:tcW w:w="2320"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全县22家儿童预防接种门诊承担全县0-7岁儿童预防接种，适龄儿童免疫规划疫苗接种率达95%以上。</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全县共登记接诊疑似肺结核患者1364人，免费摄片1713人，痰检2014人次，发现活动性肺结核病人301人，病原学阳性166人。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全县共开展HIV抗体检测170544人次，检测比例23%。</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严重精神障碍患者管理率年度指标4.0‰，全年完成值5.94%。</w:t>
            </w:r>
          </w:p>
        </w:tc>
      </w:tr>
      <w:tr>
        <w:tblPrEx>
          <w:tblCellMar>
            <w:top w:w="0" w:type="dxa"/>
            <w:left w:w="108" w:type="dxa"/>
            <w:bottom w:w="0" w:type="dxa"/>
            <w:right w:w="108" w:type="dxa"/>
          </w:tblCellMar>
        </w:tblPrEx>
        <w:trPr>
          <w:trHeight w:val="690" w:hRule="atLeast"/>
          <w:jc w:val="center"/>
        </w:trPr>
        <w:tc>
          <w:tcPr>
            <w:tcW w:w="58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530"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7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三公经费控制</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完成</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8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8</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530"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政府采购</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执行率100%</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完成</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8</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8</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530"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三公经费比例</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比上年度小于10%</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完成</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8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8</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128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传染病、突发公共卫生事件报告率</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95%</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100%</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8</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8</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103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传染病防控上报及时率</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100%</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100%</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8</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8</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78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成本控制在50%以内</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成本控制在50%以内</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完成</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10</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10</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690" w:hRule="atLeast"/>
          <w:jc w:val="center"/>
        </w:trPr>
        <w:tc>
          <w:tcPr>
            <w:tcW w:w="58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三级</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指标</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年度</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指标值</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实际</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完成值</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分值</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得分</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103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7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有效降低传染病发病率</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中长期</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有效降低传染病发病率</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8</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7</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p>
        </w:tc>
        <w:tc>
          <w:tcPr>
            <w:tcW w:w="561"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w:t>
            </w:r>
          </w:p>
        </w:tc>
        <w:tc>
          <w:tcPr>
            <w:tcW w:w="599"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103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传播防控知识，提高预防意识</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中长期</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传播防控知识，提高预防意识</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8</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7</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78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提高全民健康意识</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逐步提高</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逐步提高</w:t>
            </w:r>
          </w:p>
        </w:tc>
        <w:tc>
          <w:tcPr>
            <w:tcW w:w="3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8</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6</w:t>
            </w:r>
          </w:p>
        </w:tc>
        <w:tc>
          <w:tcPr>
            <w:tcW w:w="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78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p>
        </w:tc>
        <w:tc>
          <w:tcPr>
            <w:tcW w:w="561"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传染病防控上报率</w:t>
            </w:r>
          </w:p>
        </w:tc>
        <w:tc>
          <w:tcPr>
            <w:tcW w:w="599"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100%</w:t>
            </w:r>
          </w:p>
        </w:tc>
        <w:tc>
          <w:tcPr>
            <w:tcW w:w="606"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100%</w:t>
            </w:r>
          </w:p>
        </w:tc>
        <w:tc>
          <w:tcPr>
            <w:tcW w:w="311"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6</w:t>
            </w:r>
          </w:p>
        </w:tc>
        <w:tc>
          <w:tcPr>
            <w:tcW w:w="541" w:type="pct"/>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6</w:t>
            </w:r>
          </w:p>
        </w:tc>
        <w:tc>
          <w:tcPr>
            <w:tcW w:w="8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103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72"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社会公众或服务对象满意度</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满意度90%以上</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满意度90%以上</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10</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10</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96"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p>
        </w:tc>
        <w:tc>
          <w:tcPr>
            <w:tcW w:w="472"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651" w:hRule="atLeast"/>
          <w:jc w:val="center"/>
        </w:trPr>
        <w:tc>
          <w:tcPr>
            <w:tcW w:w="58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3"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p>
        </w:tc>
        <w:tc>
          <w:tcPr>
            <w:tcW w:w="472"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p>
        </w:tc>
        <w:tc>
          <w:tcPr>
            <w:tcW w:w="5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　</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1" w:hRule="atLeast"/>
          <w:jc w:val="center"/>
        </w:trPr>
        <w:tc>
          <w:tcPr>
            <w:tcW w:w="3285"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96</w:t>
            </w:r>
          </w:p>
        </w:tc>
        <w:tc>
          <w:tcPr>
            <w:tcW w:w="86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苏玲</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2023.7.6</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15074031568</w:t>
      </w:r>
      <w:r>
        <w:rPr>
          <w:rFonts w:hint="default" w:ascii="Times New Roman" w:hAnsi="Times New Roman" w:eastAsia="仿宋_GB2312" w:cs="Times New Roman"/>
          <w:sz w:val="22"/>
        </w:rPr>
        <w:t xml:space="preserve">   单位负责人签字：</w:t>
      </w:r>
      <w:r>
        <w:rPr>
          <w:rFonts w:hint="eastAsia" w:eastAsia="仿宋_GB2312" w:cs="Times New Roman"/>
          <w:sz w:val="22"/>
          <w:lang w:eastAsia="zh-CN"/>
        </w:rPr>
        <w:t>施恩</w:t>
      </w:r>
      <w:r>
        <w:rPr>
          <w:rFonts w:hint="default" w:ascii="Times New Roman" w:hAnsi="Times New Roman" w:eastAsia="仿宋_GB2312" w:cs="Times New Roman"/>
          <w:sz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华容县疾病预防控制中心</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月 </w:t>
      </w:r>
      <w:r>
        <w:rPr>
          <w:rFonts w:hint="eastAsia" w:eastAsia="楷体_GB2312" w:cs="Times New Roman"/>
          <w:sz w:val="32"/>
          <w:szCs w:val="32"/>
          <w:lang w:val="en-US" w:eastAsia="zh-CN"/>
        </w:rPr>
        <w:t>6</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sectPr>
          <w:footerReference r:id="rId3" w:type="default"/>
          <w:pgSz w:w="11906" w:h="16838"/>
          <w:pgMar w:top="1304" w:right="1417" w:bottom="1191"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华容县疾病预防控制中心</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贯彻落实《中共中央国务院关于全面实施预算绩效管理的意见》精神和省财政厅“绩效管理提升年”行动方案，根据华容县财政局《关于开展2022年度财政支出绩效自评工作的通知》（华财函〔2023〕63号），华容县疾病预防控制中心2022年度部门整体支出开展绩效自评，现将情况汇报如下：</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一、部门（单位）基本情况</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eastAsia" w:ascii="楷体" w:hAnsi="楷体" w:eastAsia="楷体" w:cs="楷体"/>
          <w:b/>
          <w:bCs/>
          <w:sz w:val="32"/>
          <w:szCs w:val="32"/>
        </w:rPr>
      </w:pPr>
      <w:r>
        <w:rPr>
          <w:rFonts w:hint="eastAsia" w:ascii="楷体" w:hAnsi="楷体" w:eastAsia="楷体" w:cs="楷体"/>
          <w:b/>
          <w:bCs/>
          <w:sz w:val="32"/>
          <w:szCs w:val="32"/>
        </w:rPr>
        <w:t>（一）部门基本概况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中心是由政府举办的实施疾病预防控制与公共卫生技术管理和指导的全额拨款事业单位，成立于2004年2月，其前身为华容县卫生防疫站。我们承担着全县疾病预防与控制、突发公共卫生事件应急处置、健康危害因素监测与干预、健康教育与健康促进、实验室检测检验与评价等职责，负责国家基本公共卫生服务中的居民健康档案管理等8类服务项目的技术指导、培训、督导及考核等工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心占地面积1482㎡，建筑面积4960㎡，其中检验用房1189㎡。我中心设有17个科室：传染病预防与控制科、突发公共卫生事件应急处置办公室、免疫规划科、慢性非传染性疾病预防控制科、结核病预防控制科、艾滋病与性病预防控制科、公共卫生监测科、健康教育与健康促进科、检验科、劳动卫生与职业病预防控制科、质量管理科、财务科；办公室、后勤保障管理科、党建办、疫苗临床研究项目管理办公室、基本公共卫生服务管理办公室。单位现有在岗职工79人（其中在编73人，临聘6人），退休职工37人。现有专业技术人员63人，高级职称8人，中级职称21人，初级职称34人。</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楷体" w:hAnsi="楷体" w:eastAsia="楷体" w:cs="楷体"/>
          <w:b/>
          <w:bCs/>
          <w:sz w:val="32"/>
          <w:szCs w:val="32"/>
        </w:rPr>
      </w:pPr>
      <w:r>
        <w:rPr>
          <w:rFonts w:hint="default" w:ascii="楷体" w:hAnsi="楷体" w:eastAsia="楷体" w:cs="楷体"/>
          <w:b/>
          <w:bCs/>
          <w:sz w:val="32"/>
          <w:szCs w:val="32"/>
        </w:rPr>
        <w:t>（二）部门主要职能及支出使用方向和内容</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承担基本公共卫生服务项目中传染病及突发公共卫生事件报告和处理服务工作。开展全县传染病疫情的调查处置，重点传染病的监测，负责全县医疗单位传染病疫情报告的审核与管理、开展医疗单位传染病漏报调查、疾病预防控制信息系统的运转及维护、救灾防病技术指导、培训。寄生虫病防控、麻风病防治、土源线虫病监测工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承担基本公共卫生服务项目中传染病及突发公共卫生事件报告和处理服务工作。组织开展应急演练及突发公共卫生事件调查处置，应急物资储备和规范管理。负责收集、审核、分析、上报突发公共卫生事件信息，撰写日常风险评估及专题风险评估报告。组织突发公共卫生事件应急处置业务培。</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承担基本公共卫生服务项目中预防接种工作，全县免疫规划和非免疫规划疫苗的计划、采购、接收、分发和使用管理。负责辖区疫苗冷链监测管理和温度监测工作。开展常规免疫接种监测，开展AFP、麻疹、流脑、乙脑等免疫规划针对性疾病的监测，开展疫苗可预防疾病监测、流行病学调查、疫情控制，开展预防接种异常反应监测，对疑似预防接种异常反应进行调查诊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承担基本公共卫生服务项目中高血压患者健康管理、2型糖尿病患者健康管理、严重精神障碍患者健康管理工作，制定我县慢性非传染性疾病防控规划和技术规范，并协助组织实施。开展慢性非传染性疾病相关业务培训、技术指导、组织管理及督导评估工作。全县死因监测、恶性肿瘤、农村癫痫患者防治管理、心脑血管事件报告、监测数据的收集、录入、上报、总结。负责全民健康生活方式行动工作，开展健康咨询、健康相关行为干预和矫正，指导开展全民控烟活动，并及时将信息收集、上报。</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承担结核病患者健康管理工作。负责制定我县结核病防控规划和技术规范，并协助组织实施，开展相关业务培训、技术指导、组织管理及督导评估工作。负责监测辖区内肺结核疫情，及时准确报告、收集、分析和通报疫情及相关信息；组织开展网报肺结核或疑似肺结核患者及密切接触者的追踪工作、新生入学结核病筛查和学校结核病密切接触者筛查处置等工作。负责组织落实肺结核患者出院后的规范管理，组织开展结核病防治健康促进工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负责全县艾滋病防治知识宣传教育、培训，开展高危人群行为干预，自愿咨询检测。指导全县基层医疗卫生机构设置艾滋病检测点，逐步实现艾滋病快检全覆盖，对艾滋病病人及感染者提供免费检测。做好艾滋病疫情统计分析及病人随访管理工作，督导医疗机构做好梅毒规范化诊疗服务。负责美沙酮替代海洛因维持治疗工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负责碘缺乏病监测、农村饮用水监测、农村环境卫生监测、食品安全风险监测和食源性疾病报告等工作，对各类检测报告进行卫生学评价。负责开展食源性疾病（食物中毒）事件调查处理。协助相关部门和科室开展食品、公共场所、饮用水（含二次供水）、学校卫生等监测工作。负责开展从业人员预防性体检工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8、承担基本公共卫生服务项目中健康教育工作。负责全县中小学生的健康体检、全县儿童青少年近视筛查，掌握和评价本地区学生生长发育水平和健康状况。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按照《检验检测机构资质认定管理方法》（总局令163号）及《检验检测机构资质认定评审准则》（国认字[2016]33号）要求，承担食物中毒、职业中毒、环境污染等突发公共卫生事件的检验检测工作并及时发放检验报告。配合各职能科室开展相关检验检测工作、卫生计生综合监督执法局和市场监督管理局所管辖的公共场所及食品生产加工从业人员预防性体检检验检测工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负责开展全县厂矿企业的职业病危害因素检测及从业人员上岗前、在岗期间及离岗时的健康监管，开展职业病危害因素接触人员（包括放射人员）的防护知识培训，组织实施全县职业病防治法律法规和职业病防治知识的宣传，指导企业搞好从业人员的个人防护，参与职业病危害评价。负责职业病网络直报、开展病媒生物监测、全县消毒卫生的技术指导和消毒监测（含重点行业：医疗机构、托幼机构、敬老院等）工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11、负责综合质量管理，组织实施质量控制计划。负责牵头完成中心实验室计量认证、质量体系运行中的检查、监督、记录和相关人员的培训考核。负责检测工作对外许可的审核，、审核检验检测报告结果发放。</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12、负责对接县卫健局基层卫生股，协调相关项目负责人完成基本公共卫生服务9个项目工作。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rPr>
      </w:pPr>
      <w:r>
        <w:rPr>
          <w:rFonts w:hint="default" w:ascii="黑体" w:hAnsi="黑体" w:eastAsia="黑体" w:cs="黑体"/>
          <w:sz w:val="32"/>
          <w:szCs w:val="32"/>
        </w:rPr>
        <w:t>二、基本支出情况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2022年华容县疾病预防控制中心整体基本支出合计859.63万元，主要是用于人员工资、社会保障缴费、临时工工资以及为中心正常运转、完成日常工作任务而发生的商品和服务支出。其中：工资福利支出753.22万元；商品和服务支出103.6万元，对个人和家庭的补助支出2.81万元，资本性支出0万元。</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rPr>
      </w:pPr>
      <w:r>
        <w:rPr>
          <w:rFonts w:hint="default" w:ascii="黑体" w:hAnsi="黑体" w:eastAsia="黑体" w:cs="黑体"/>
          <w:sz w:val="32"/>
          <w:szCs w:val="32"/>
        </w:rPr>
        <w:t>三、项目支出情况</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楷体" w:hAnsi="楷体" w:eastAsia="楷体" w:cs="楷体"/>
          <w:b/>
          <w:bCs/>
          <w:sz w:val="32"/>
          <w:szCs w:val="32"/>
        </w:rPr>
      </w:pPr>
      <w:r>
        <w:rPr>
          <w:rFonts w:hint="default" w:ascii="楷体" w:hAnsi="楷体" w:eastAsia="楷体" w:cs="楷体"/>
          <w:b/>
          <w:bCs/>
          <w:sz w:val="32"/>
          <w:szCs w:val="32"/>
        </w:rPr>
        <w:t>1、项目资金安排落实、总投入等情况分析</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我中心项目资金按照年初预算503.16万元的安排，按照月度资金落实，重大公共卫生服务、基本公共卫生服务、医疗卫生机构能力建设等方面的支出。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专项资金实际使用情况分析</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2022年我中心整体项目支出合计503.16万元，其中：商品和服务支出352.35万元，资本性支出150.81万元。</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3、专项资金管理情况分析</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严格按项目资金进行管理，执行相关财务支出管理制度，资金管理制度。实行项目绩效考核，加强项目资金专款专用管理，设立专账核算，单位财务加强项目资金日常使用监督。</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rPr>
      </w:pPr>
      <w:r>
        <w:rPr>
          <w:rFonts w:hint="default" w:ascii="黑体" w:hAnsi="黑体" w:eastAsia="黑体" w:cs="黑体"/>
          <w:sz w:val="32"/>
          <w:szCs w:val="32"/>
        </w:rPr>
        <w:t>四、部门整体支出绩效情况</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楷体" w:hAnsi="楷体" w:eastAsia="楷体" w:cs="楷体"/>
          <w:b/>
          <w:bCs/>
          <w:sz w:val="32"/>
          <w:szCs w:val="32"/>
        </w:rPr>
      </w:pPr>
      <w:r>
        <w:rPr>
          <w:rFonts w:hint="default" w:ascii="楷体" w:hAnsi="楷体" w:eastAsia="楷体" w:cs="楷体"/>
          <w:b/>
          <w:bCs/>
          <w:sz w:val="32"/>
          <w:szCs w:val="32"/>
        </w:rPr>
        <w:t>1.部门整体收支情况：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（1）收入情况：全年收入合计1362.79万元，：财政补助收入0万元，非税收入0万元。</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支出情况:一般公共预算支出1362.79万元。基本支出859.63万元，其中：工资福利支出753.22万元，商品和服务支出103.6万元，对个人和家庭的补助支出2.81万元，资本性支出0万元；项目支出503.16万元，其中：商品和服务支出352.35万元，资本性支出150.81万元。</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rPr>
      </w:pPr>
      <w:r>
        <w:rPr>
          <w:rFonts w:hint="default" w:ascii="楷体" w:hAnsi="楷体" w:eastAsia="楷体" w:cs="楷体"/>
          <w:b/>
          <w:bCs/>
          <w:sz w:val="32"/>
          <w:szCs w:val="32"/>
        </w:rPr>
        <w:t>2.三公经费支出情况：</w:t>
      </w:r>
      <w:r>
        <w:rPr>
          <w:rFonts w:hint="default" w:ascii="Times New Roman" w:hAnsi="Times New Roman" w:eastAsia="仿宋_GB2312" w:cs="Times New Roman"/>
          <w:sz w:val="32"/>
          <w:szCs w:val="32"/>
        </w:rPr>
        <w:t>2022年“三公”经费”支出6.98万元。其中：公务用车运行维护费5.12万元，公务接待费1.86万元。</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rPr>
      </w:pPr>
      <w:r>
        <w:rPr>
          <w:rFonts w:hint="default" w:ascii="楷体" w:hAnsi="楷体" w:eastAsia="楷体" w:cs="楷体"/>
          <w:b/>
          <w:bCs/>
          <w:sz w:val="32"/>
          <w:szCs w:val="32"/>
        </w:rPr>
        <w:t>3.政府性基金预算财政拨款项目支出情况：</w:t>
      </w:r>
      <w:r>
        <w:rPr>
          <w:rFonts w:hint="default" w:ascii="Times New Roman" w:hAnsi="Times New Roman" w:eastAsia="仿宋_GB2312" w:cs="Times New Roman"/>
          <w:sz w:val="32"/>
          <w:szCs w:val="32"/>
        </w:rPr>
        <w:t>2022年我中心没有政府性基金预算财政拨款项目收入和支出。</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楷体" w:hAnsi="楷体" w:eastAsia="楷体" w:cs="楷体"/>
          <w:b/>
          <w:bCs/>
          <w:sz w:val="32"/>
          <w:szCs w:val="32"/>
        </w:rPr>
      </w:pPr>
      <w:r>
        <w:rPr>
          <w:rFonts w:hint="default" w:ascii="楷体" w:hAnsi="楷体" w:eastAsia="楷体" w:cs="楷体"/>
          <w:b/>
          <w:bCs/>
          <w:sz w:val="32"/>
          <w:szCs w:val="32"/>
        </w:rPr>
        <w:t>4、部门整体绩效目标完成情况：</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免疫规划项目</w:t>
      </w:r>
      <w:r>
        <w:rPr>
          <w:rFonts w:hint="eastAsia" w:eastAsia="仿宋_GB2312" w:cs="Times New Roman"/>
          <w:b/>
          <w:bCs/>
          <w:sz w:val="32"/>
          <w:szCs w:val="32"/>
          <w:lang w:eastAsia="zh-CN"/>
        </w:rPr>
        <w:t>：</w:t>
      </w:r>
      <w:r>
        <w:rPr>
          <w:rFonts w:hint="default" w:ascii="Times New Roman" w:hAnsi="Times New Roman" w:eastAsia="仿宋_GB2312" w:cs="Times New Roman"/>
          <w:sz w:val="32"/>
          <w:szCs w:val="32"/>
        </w:rPr>
        <w:t>全县22家儿童预防接种门诊承担全县0-7岁儿童预防接种，适龄儿童免疫规划疫苗接种率达95%以上，建立了有效的免疫屏障，杜绝了免疫规划疫苗针对性传染病的发生。为进一步规范我县医疗机构免疫规划疫苗针对性传染病监测和管理工作，全县累计报告疑似麻疹16例，AFP4例。每月对全县各哨点医院开展了麻疹、风疹、AFP、流脑、乙脑及其他免疫规划疫苗针对传染病的主动监测。发现疑似病例及时上报，调查处置。全年共上报AEFI36例，均开展了调查、诊断，做到了报告及时、处置规范。</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艾滋病防治项目</w:t>
      </w:r>
      <w:r>
        <w:rPr>
          <w:rFonts w:hint="eastAsia" w:eastAsia="仿宋_GB2312" w:cs="Times New Roman"/>
          <w:b/>
          <w:bCs/>
          <w:sz w:val="32"/>
          <w:szCs w:val="32"/>
          <w:lang w:eastAsia="zh-CN"/>
        </w:rPr>
        <w:t>：</w:t>
      </w:r>
      <w:r>
        <w:rPr>
          <w:rFonts w:hint="default" w:ascii="Times New Roman" w:hAnsi="Times New Roman" w:eastAsia="仿宋_GB2312" w:cs="Times New Roman"/>
          <w:sz w:val="32"/>
          <w:szCs w:val="32"/>
        </w:rPr>
        <w:t>根据湖南省2022年度艾滋病防治项目工作要求，我科室利用“6.26世界禁毒日”、“12.1世界艾滋病日”等宣传日，开展了形式多样的艾滋病防治宣传活动，既突出艾滋病危害，又倡导社会关爱艾滋病感染者；积极开展高危人群干预，加大对辖区内各娱乐场所从业人员、戒毒所吸毒人员、监管场所羁押人员等特殊人群的艾滋病防治宣传和HIV初筛检测工作力度；做好病人随访管理和抗病毒治疗工作，对有意愿且无治疗禁忌症的感染者和病人提供服药依从性教育，积极实施免费抗病毒治疗，提高病人生活质量；全面落实关怀救助，按照有关社会救助政策对经济困难的艾滋病患者及其家属给予了必要的生活和医疗救助。</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结核病防治项目：</w:t>
      </w:r>
      <w:r>
        <w:rPr>
          <w:rFonts w:hint="default" w:ascii="Times New Roman" w:hAnsi="Times New Roman" w:eastAsia="仿宋_GB2312" w:cs="Times New Roman"/>
          <w:sz w:val="32"/>
          <w:szCs w:val="32"/>
        </w:rPr>
        <w:t>全县共登记接诊疑似肺结核患者1364人，免费摄片1713人，痰检2014人次，发现活动性肺结核病人301人，病原学阳性166人。网报肺结核患者556人，重报151人，到位394人,死亡3人，到位率98.02%。共收到中国预警33条，重复报告9条，核实本地学生结核患者5人，教师1人，外地学生5人。</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精神卫生和慢性病防治项目：</w:t>
      </w:r>
      <w:r>
        <w:rPr>
          <w:rFonts w:hint="default" w:ascii="Times New Roman" w:hAnsi="Times New Roman" w:eastAsia="仿宋_GB2312" w:cs="Times New Roman"/>
          <w:sz w:val="32"/>
          <w:szCs w:val="32"/>
        </w:rPr>
        <w:t>1、完成严重精神障碍患者管理培训、督导、网络巡查、危险性评估等；2、完成农村癫痫筛排查、入组、随访、信息填报等工作；3、完成死因监测、恶性肿瘤报告、高血压、糖尿病患者监测等工作。</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新冠防控：</w:t>
      </w:r>
      <w:r>
        <w:rPr>
          <w:rFonts w:hint="default" w:ascii="Times New Roman" w:hAnsi="Times New Roman" w:eastAsia="仿宋_GB2312" w:cs="Times New Roman"/>
          <w:sz w:val="32"/>
          <w:szCs w:val="32"/>
        </w:rPr>
        <w:t>我中心从2022年1月开始，按上级要求每周对辖区内农集贸市场、超市、冷库以及海鲜加工经营门店、餐饮店进行了新冠外环境采样监测9164份，其中水产品、肉类3586份，外环境4036份，从业人员1542份，监测场所共1498家，结果均为阴性。涉疫快递、水果等疫情调查处置，共计排查86人，外环境以及人员核酸检测均为阴性。全年及时处理新冠疫情12起，新冠密接、次密接调查2483人次。并及时进行流行病调查，密接及次密接管控，风险地区划分，有效的阻止了疫情扩散。</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rPr>
      </w:pPr>
      <w:r>
        <w:rPr>
          <w:rFonts w:hint="default" w:ascii="黑体" w:hAnsi="黑体" w:eastAsia="黑体" w:cs="黑体"/>
          <w:sz w:val="32"/>
          <w:szCs w:val="32"/>
        </w:rPr>
        <w:t>五、存在的问题及原因分析</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rPr>
      </w:pPr>
      <w:r>
        <w:rPr>
          <w:rFonts w:hint="default" w:ascii="楷体" w:hAnsi="楷体" w:eastAsia="楷体" w:cs="楷体"/>
          <w:b/>
          <w:bCs/>
          <w:sz w:val="32"/>
          <w:szCs w:val="32"/>
        </w:rPr>
        <w:t>1.临聘人员经费不足。</w:t>
      </w:r>
      <w:r>
        <w:rPr>
          <w:rFonts w:hint="default" w:ascii="Times New Roman" w:hAnsi="Times New Roman" w:eastAsia="仿宋_GB2312" w:cs="Times New Roman"/>
          <w:sz w:val="32"/>
          <w:szCs w:val="32"/>
        </w:rPr>
        <w:t>近年来我单位想尽办法从各大高校招聘引进专业技术人员，给他们免费解决食宿问题，但由于薪酬待遇低、激励机制不健全、发展空间小，很难留住人才，我单位先后有多名年轻专业技术人员辞职或调出。目前中心人才断层、专业技术人员缺乏等问题日益严重，现有的专业技术队伍远远不能满足新形势下疾控工作需要。</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default" w:ascii="楷体" w:hAnsi="楷体" w:eastAsia="楷体" w:cs="楷体"/>
          <w:b/>
          <w:bCs/>
          <w:sz w:val="32"/>
          <w:szCs w:val="32"/>
        </w:rPr>
      </w:pPr>
      <w:r>
        <w:rPr>
          <w:rFonts w:hint="default" w:ascii="楷体" w:hAnsi="楷体" w:eastAsia="楷体" w:cs="楷体"/>
          <w:b/>
          <w:bCs/>
          <w:sz w:val="32"/>
          <w:szCs w:val="32"/>
        </w:rPr>
        <w:t>2、项目经费拨付不及时，导致工作开展滞后。</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rPr>
      </w:pPr>
      <w:r>
        <w:rPr>
          <w:rFonts w:hint="default" w:ascii="黑体" w:hAnsi="黑体" w:eastAsia="黑体" w:cs="黑体"/>
          <w:sz w:val="32"/>
          <w:szCs w:val="32"/>
        </w:rPr>
        <w:t>六、下一步改进措施</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对绩效评价工作“谁使用、谁评价”的原则执行不够到位。今后我中心将更加细致地制定绩效目标，进一步严肃财经纪律，让项目资金按计划落实到实处。</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1、保障职工待遇，提高职工工作积极性；加强疾控人员队伍建设，增加人员编制。</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2、加强项目经费拨付的及时性；</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rPr>
      </w:pPr>
      <w:r>
        <w:rPr>
          <w:rFonts w:hint="default" w:ascii="黑体" w:hAnsi="黑体" w:eastAsia="黑体" w:cs="黑体"/>
          <w:sz w:val="32"/>
          <w:szCs w:val="32"/>
        </w:rPr>
        <w:t>七、其他需要说明的情况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8"/>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7</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95</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footerReference r:id="rId4" w:type="default"/>
          <w:pgSz w:w="11906" w:h="16838"/>
          <w:pgMar w:top="1701" w:right="1417" w:bottom="1417" w:left="1417" w:header="851" w:footer="992" w:gutter="0"/>
          <w:pgBorders>
            <w:top w:val="none" w:sz="0" w:space="0"/>
            <w:left w:val="none" w:sz="0" w:space="0"/>
            <w:bottom w:val="none" w:sz="0" w:space="0"/>
            <w:right w:val="none" w:sz="0" w:space="0"/>
          </w:pgBorders>
          <w:pgNumType w:start="1"/>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8"/>
        <w:tblW w:w="9939" w:type="dxa"/>
        <w:jc w:val="center"/>
        <w:tblLayout w:type="autofit"/>
        <w:tblCellMar>
          <w:top w:w="0" w:type="dxa"/>
          <w:left w:w="108" w:type="dxa"/>
          <w:bottom w:w="0" w:type="dxa"/>
          <w:right w:w="108" w:type="dxa"/>
        </w:tblCellMar>
      </w:tblPr>
      <w:tblGrid>
        <w:gridCol w:w="1087"/>
        <w:gridCol w:w="1087"/>
        <w:gridCol w:w="1090"/>
        <w:gridCol w:w="1528"/>
        <w:gridCol w:w="852"/>
        <w:gridCol w:w="1142"/>
        <w:gridCol w:w="834"/>
        <w:gridCol w:w="879"/>
        <w:gridCol w:w="1440"/>
      </w:tblGrid>
      <w:tr>
        <w:tblPrEx>
          <w:tblCellMar>
            <w:top w:w="0" w:type="dxa"/>
            <w:left w:w="108" w:type="dxa"/>
            <w:bottom w:w="0" w:type="dxa"/>
            <w:right w:w="108" w:type="dxa"/>
          </w:tblCellMar>
        </w:tblPrEx>
        <w:trPr>
          <w:trHeight w:val="412" w:hRule="atLeast"/>
          <w:jc w:val="center"/>
        </w:trPr>
        <w:tc>
          <w:tcPr>
            <w:tcW w:w="10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852"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eastAsia" w:ascii="原版宋体" w:hAnsi="原版宋体" w:cs="Times New Roman"/>
                <w:color w:val="000000"/>
                <w:kern w:val="0"/>
                <w:sz w:val="18"/>
                <w:szCs w:val="18"/>
                <w:lang w:eastAsia="zh-CN"/>
              </w:rPr>
              <w:t>重大传染病防控中央补助防控经费</w:t>
            </w:r>
          </w:p>
        </w:tc>
      </w:tr>
      <w:tr>
        <w:tblPrEx>
          <w:tblCellMar>
            <w:top w:w="0" w:type="dxa"/>
            <w:left w:w="108" w:type="dxa"/>
            <w:bottom w:w="0" w:type="dxa"/>
            <w:right w:w="108" w:type="dxa"/>
          </w:tblCellMar>
        </w:tblPrEx>
        <w:trPr>
          <w:trHeight w:val="222" w:hRule="atLeast"/>
          <w:jc w:val="center"/>
        </w:trPr>
        <w:tc>
          <w:tcPr>
            <w:tcW w:w="108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57"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华容县卫生健康局</w:t>
            </w:r>
          </w:p>
        </w:tc>
        <w:tc>
          <w:tcPr>
            <w:tcW w:w="1142"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53"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177"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trHeight w:val="222" w:hRule="atLeast"/>
          <w:jc w:val="center"/>
        </w:trPr>
        <w:tc>
          <w:tcPr>
            <w:tcW w:w="10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2177"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184.59</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184.59</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184.59</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222" w:hRule="atLeast"/>
          <w:jc w:val="center"/>
        </w:trPr>
        <w:tc>
          <w:tcPr>
            <w:tcW w:w="10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2177"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184.59</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184.59</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184.59</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222" w:hRule="atLeast"/>
          <w:jc w:val="center"/>
        </w:trPr>
        <w:tc>
          <w:tcPr>
            <w:tcW w:w="10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2177"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222" w:hRule="atLeast"/>
          <w:jc w:val="center"/>
        </w:trPr>
        <w:tc>
          <w:tcPr>
            <w:tcW w:w="10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2177"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222" w:hRule="atLeast"/>
          <w:jc w:val="center"/>
        </w:trPr>
        <w:tc>
          <w:tcPr>
            <w:tcW w:w="108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57"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95"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trHeight w:val="412" w:hRule="atLeast"/>
          <w:jc w:val="center"/>
        </w:trPr>
        <w:tc>
          <w:tcPr>
            <w:tcW w:w="10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4557" w:type="dxa"/>
            <w:gridSpan w:val="4"/>
            <w:tcBorders>
              <w:top w:val="single" w:color="auto" w:sz="4" w:space="0"/>
              <w:left w:val="nil"/>
              <w:bottom w:val="single" w:color="auto" w:sz="4" w:space="0"/>
              <w:right w:val="single" w:color="000000"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开展艾滋病防治、结核病防治、精神卫生和慢性病防治、新冠防控等重点传染病防治工作</w:t>
            </w:r>
          </w:p>
        </w:tc>
        <w:tc>
          <w:tcPr>
            <w:tcW w:w="4295" w:type="dxa"/>
            <w:gridSpan w:val="4"/>
            <w:tcBorders>
              <w:top w:val="single" w:color="auto" w:sz="4" w:space="0"/>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按照各项指标任务均已完成</w:t>
            </w:r>
          </w:p>
        </w:tc>
      </w:tr>
      <w:tr>
        <w:tblPrEx>
          <w:tblCellMar>
            <w:top w:w="0" w:type="dxa"/>
            <w:left w:w="108" w:type="dxa"/>
            <w:bottom w:w="0" w:type="dxa"/>
            <w:right w:w="108" w:type="dxa"/>
          </w:tblCellMar>
        </w:tblPrEx>
        <w:trPr>
          <w:trHeight w:val="412" w:hRule="atLeast"/>
          <w:jc w:val="center"/>
        </w:trPr>
        <w:tc>
          <w:tcPr>
            <w:tcW w:w="1087"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9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9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0-7岁儿童预防接种</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42000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41338</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ascii="原版宋体" w:hAnsi="原版宋体" w:eastAsia="仿宋_GB2312" w:cs="Times New Roman"/>
                <w:sz w:val="18"/>
                <w:szCs w:val="18"/>
                <w:lang w:eastAsia="zh-CN"/>
              </w:rPr>
              <w:t>禁忌症未种</w:t>
            </w: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zh-CN" w:eastAsia="zh-CN" w:bidi="ar-SA"/>
              </w:rPr>
            </w:pPr>
            <w:r>
              <w:rPr>
                <w:rFonts w:hint="eastAsia" w:ascii="原版宋体" w:hAnsi="原版宋体" w:eastAsia="仿宋_GB2312" w:cs="Times New Roman"/>
                <w:sz w:val="18"/>
                <w:szCs w:val="18"/>
                <w:lang w:eastAsia="zh-CN"/>
              </w:rPr>
              <w:t>严重精神障碍患者管理率</w:t>
            </w:r>
          </w:p>
        </w:tc>
        <w:tc>
          <w:tcPr>
            <w:tcW w:w="85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4.0‰</w:t>
            </w:r>
          </w:p>
        </w:tc>
        <w:tc>
          <w:tcPr>
            <w:tcW w:w="114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5.94‰</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zh-CN" w:eastAsia="zh-CN" w:bidi="ar-SA"/>
              </w:rPr>
            </w:pPr>
            <w:r>
              <w:rPr>
                <w:rFonts w:hint="eastAsia" w:ascii="原版宋体" w:hAnsi="原版宋体" w:eastAsia="仿宋_GB2312" w:cs="Times New Roman"/>
                <w:sz w:val="18"/>
                <w:szCs w:val="18"/>
                <w:lang w:eastAsia="zh-CN"/>
              </w:rPr>
              <w:t>死亡人口信息收集</w:t>
            </w:r>
          </w:p>
        </w:tc>
        <w:tc>
          <w:tcPr>
            <w:tcW w:w="85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zh-CN" w:eastAsia="zh-CN" w:bidi="ar-SA"/>
              </w:rPr>
            </w:pPr>
            <w:r>
              <w:rPr>
                <w:rFonts w:hint="eastAsia" w:ascii="原版宋体" w:hAnsi="原版宋体" w:eastAsia="仿宋_GB2312" w:cs="Times New Roman"/>
                <w:sz w:val="18"/>
                <w:szCs w:val="18"/>
                <w:lang w:val="en-US" w:eastAsia="zh-CN"/>
              </w:rPr>
              <w:t>6.0‰</w:t>
            </w:r>
          </w:p>
        </w:tc>
        <w:tc>
          <w:tcPr>
            <w:tcW w:w="114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zh-CN" w:eastAsia="zh-CN" w:bidi="ar-SA"/>
              </w:rPr>
            </w:pPr>
            <w:r>
              <w:rPr>
                <w:rFonts w:hint="eastAsia" w:ascii="原版宋体" w:hAnsi="原版宋体" w:eastAsia="仿宋_GB2312" w:cs="Times New Roman"/>
                <w:sz w:val="18"/>
                <w:szCs w:val="18"/>
                <w:lang w:val="en-US" w:eastAsia="zh-CN"/>
              </w:rPr>
              <w:t>8.81‰</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kern w:val="2"/>
                <w:sz w:val="18"/>
                <w:szCs w:val="18"/>
                <w:lang w:val="en-US" w:eastAsia="zh-CN" w:bidi="ar-SA"/>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艾滋病抗病毒治疗率</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92%</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96%</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kern w:val="2"/>
                <w:sz w:val="18"/>
                <w:szCs w:val="18"/>
                <w:lang w:val="en-US" w:eastAsia="zh-CN" w:bidi="ar-SA"/>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随访及CD4检测率</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95%</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100%</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kern w:val="2"/>
                <w:sz w:val="18"/>
                <w:szCs w:val="18"/>
                <w:lang w:val="en-US" w:eastAsia="zh-CN" w:bidi="ar-SA"/>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default" w:ascii="原版宋体" w:hAnsi="原版宋体" w:cs="Times New Roman"/>
                <w:color w:val="000000"/>
                <w:kern w:val="0"/>
                <w:sz w:val="18"/>
                <w:szCs w:val="18"/>
              </w:rPr>
              <w:t>肺结核患者成功治疗率</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eastAsia" w:ascii="原版宋体" w:hAnsi="原版宋体" w:cs="Times New Roman"/>
                <w:color w:val="000000"/>
                <w:kern w:val="0"/>
                <w:sz w:val="18"/>
                <w:szCs w:val="18"/>
                <w:lang w:val="en-US" w:eastAsia="zh-CN"/>
              </w:rPr>
              <w:t>90%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eastAsia" w:ascii="原版宋体" w:hAnsi="原版宋体" w:cs="Times New Roman"/>
                <w:color w:val="000000"/>
                <w:kern w:val="0"/>
                <w:sz w:val="18"/>
                <w:szCs w:val="18"/>
                <w:lang w:val="en-US" w:eastAsia="zh-CN"/>
              </w:rPr>
              <w:t>97.2%</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kern w:val="2"/>
                <w:sz w:val="18"/>
                <w:szCs w:val="18"/>
                <w:lang w:val="en-US" w:eastAsia="zh-CN" w:bidi="ar-SA"/>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default" w:ascii="原版宋体" w:hAnsi="原版宋体" w:cs="Times New Roman"/>
                <w:color w:val="000000"/>
                <w:kern w:val="0"/>
                <w:sz w:val="18"/>
                <w:szCs w:val="18"/>
              </w:rPr>
              <w:t>肺结核患者病原学阳性率</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eastAsia" w:ascii="原版宋体" w:hAnsi="原版宋体" w:cs="Times New Roman"/>
                <w:color w:val="000000"/>
                <w:kern w:val="0"/>
                <w:sz w:val="18"/>
                <w:szCs w:val="18"/>
                <w:lang w:val="en-US" w:eastAsia="zh-CN"/>
              </w:rPr>
              <w:t>50%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eastAsia" w:ascii="原版宋体" w:hAnsi="原版宋体" w:cs="Times New Roman"/>
                <w:color w:val="000000"/>
                <w:kern w:val="0"/>
                <w:sz w:val="18"/>
                <w:szCs w:val="18"/>
                <w:lang w:val="en-US" w:eastAsia="zh-CN"/>
              </w:rPr>
              <w:t>55.1%</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kern w:val="2"/>
                <w:sz w:val="18"/>
                <w:szCs w:val="18"/>
                <w:lang w:val="en-US" w:eastAsia="zh-CN" w:bidi="ar-SA"/>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793"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新冠外环境采样</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新冠外环境监测采样共9164份，结果均为阴性</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预防接种服务</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val="en-US" w:eastAsia="zh-CN"/>
              </w:rPr>
              <w:t>　</w:t>
            </w:r>
            <w:r>
              <w:rPr>
                <w:rFonts w:hint="eastAsia" w:ascii="原版宋体" w:hAnsi="原版宋体" w:eastAsia="仿宋_GB2312" w:cs="Times New Roman"/>
                <w:sz w:val="18"/>
                <w:szCs w:val="18"/>
                <w:lang w:val="en-US" w:eastAsia="zh-CN"/>
              </w:rPr>
              <w:t>95%</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98.4%</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严重精神障碍患者规范管理率</w:t>
            </w:r>
          </w:p>
        </w:tc>
        <w:tc>
          <w:tcPr>
            <w:tcW w:w="85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90%</w:t>
            </w:r>
          </w:p>
        </w:tc>
        <w:tc>
          <w:tcPr>
            <w:tcW w:w="114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99.19%</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zh-CN" w:eastAsia="zh-CN" w:bidi="ar-SA"/>
              </w:rPr>
            </w:pPr>
            <w:r>
              <w:rPr>
                <w:rFonts w:hint="eastAsia" w:ascii="原版宋体" w:hAnsi="原版宋体" w:eastAsia="仿宋_GB2312" w:cs="Times New Roman"/>
                <w:sz w:val="18"/>
                <w:szCs w:val="18"/>
                <w:lang w:eastAsia="zh-CN"/>
              </w:rPr>
              <w:t>严重精神障碍患者面访率</w:t>
            </w:r>
          </w:p>
        </w:tc>
        <w:tc>
          <w:tcPr>
            <w:tcW w:w="85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zh-CN" w:eastAsia="zh-CN" w:bidi="ar-SA"/>
              </w:rPr>
            </w:pPr>
            <w:r>
              <w:rPr>
                <w:rFonts w:hint="eastAsia" w:ascii="原版宋体" w:hAnsi="原版宋体" w:eastAsia="仿宋_GB2312" w:cs="Times New Roman"/>
                <w:sz w:val="18"/>
                <w:szCs w:val="18"/>
                <w:lang w:val="en-US" w:eastAsia="zh-CN"/>
              </w:rPr>
              <w:t>95%</w:t>
            </w:r>
          </w:p>
        </w:tc>
        <w:tc>
          <w:tcPr>
            <w:tcW w:w="114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zh-CN" w:eastAsia="zh-CN" w:bidi="ar-SA"/>
              </w:rPr>
            </w:pPr>
            <w:r>
              <w:rPr>
                <w:rFonts w:hint="eastAsia" w:ascii="原版宋体" w:hAnsi="原版宋体" w:eastAsia="仿宋_GB2312" w:cs="Times New Roman"/>
                <w:sz w:val="18"/>
                <w:szCs w:val="18"/>
                <w:lang w:val="en-US" w:eastAsia="zh-CN"/>
              </w:rPr>
              <w:t>97.57%</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新发病人首次流调时间</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病人上报10内</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按时完成</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793"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艾滋病防治各项工作任务完成时间</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2022年12月31日前完成</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按时完成</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eastAsia" w:ascii="原版宋体" w:hAnsi="原版宋体" w:cs="Times New Roman"/>
                <w:color w:val="000000"/>
                <w:kern w:val="0"/>
                <w:sz w:val="18"/>
                <w:szCs w:val="18"/>
                <w:lang w:eastAsia="zh-CN"/>
              </w:rPr>
              <w:t>糖尿病患者肺结核筛查率</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eastAsia" w:ascii="原版宋体" w:hAnsi="原版宋体" w:cs="Times New Roman"/>
                <w:color w:val="000000"/>
                <w:kern w:val="0"/>
                <w:sz w:val="18"/>
                <w:szCs w:val="18"/>
                <w:lang w:val="en-US" w:eastAsia="zh-CN"/>
              </w:rPr>
              <w:t>90%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eastAsia" w:ascii="原版宋体" w:hAnsi="原版宋体" w:cs="Times New Roman"/>
                <w:color w:val="000000"/>
                <w:kern w:val="0"/>
                <w:sz w:val="18"/>
                <w:szCs w:val="18"/>
                <w:lang w:val="en-US" w:eastAsia="zh-CN"/>
              </w:rPr>
              <w:t>94.6%</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60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default" w:ascii="原版宋体" w:hAnsi="原版宋体" w:cs="Times New Roman"/>
                <w:color w:val="000000"/>
                <w:kern w:val="0"/>
                <w:sz w:val="18"/>
                <w:szCs w:val="18"/>
              </w:rPr>
              <w:t>65岁及以上老年人群肺结核筛查率</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eastAsia" w:ascii="原版宋体" w:hAnsi="原版宋体" w:cs="Times New Roman"/>
                <w:color w:val="000000"/>
                <w:kern w:val="0"/>
                <w:sz w:val="18"/>
                <w:szCs w:val="18"/>
                <w:lang w:val="en-US" w:eastAsia="zh-CN"/>
              </w:rPr>
              <w:t>90%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eastAsia" w:ascii="原版宋体" w:hAnsi="原版宋体" w:cs="Times New Roman"/>
                <w:color w:val="000000"/>
                <w:kern w:val="0"/>
                <w:sz w:val="18"/>
                <w:szCs w:val="18"/>
                <w:lang w:val="en-US" w:eastAsia="zh-CN"/>
              </w:rPr>
              <w:t>93.4%</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956"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农集贸市场、超市、冷库以及海鲜加工经营</w:t>
            </w:r>
            <w:r>
              <w:rPr>
                <w:rFonts w:hint="eastAsia" w:ascii="原版宋体" w:hAnsi="原版宋体" w:eastAsia="仿宋_GB2312" w:cs="Times New Roman"/>
                <w:sz w:val="18"/>
                <w:szCs w:val="18"/>
                <w:lang w:val="en-US" w:eastAsia="zh-CN"/>
              </w:rPr>
              <w:t>门</w:t>
            </w:r>
            <w:r>
              <w:rPr>
                <w:rFonts w:hint="eastAsia" w:ascii="原版宋体" w:hAnsi="原版宋体" w:eastAsia="仿宋_GB2312" w:cs="Times New Roman"/>
                <w:sz w:val="18"/>
                <w:szCs w:val="18"/>
                <w:lang w:eastAsia="zh-CN"/>
              </w:rPr>
              <w:t>店、餐饮店等监测</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外环境监测</w:t>
            </w:r>
            <w:r>
              <w:rPr>
                <w:rFonts w:hint="eastAsia" w:ascii="原版宋体" w:hAnsi="原版宋体" w:eastAsia="仿宋_GB2312" w:cs="Times New Roman"/>
                <w:sz w:val="18"/>
                <w:szCs w:val="18"/>
                <w:lang w:val="en-US" w:eastAsia="zh-CN"/>
              </w:rPr>
              <w:t>100%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外环境监测</w:t>
            </w:r>
            <w:r>
              <w:rPr>
                <w:rFonts w:hint="eastAsia" w:ascii="原版宋体" w:hAnsi="原版宋体" w:eastAsia="仿宋_GB2312" w:cs="Times New Roman"/>
                <w:sz w:val="18"/>
                <w:szCs w:val="18"/>
                <w:lang w:val="en-US" w:eastAsia="zh-CN"/>
              </w:rPr>
              <w:t>100%</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2022年完成</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val="en-US" w:eastAsia="zh-CN"/>
              </w:rPr>
              <w:t>　</w:t>
            </w:r>
            <w:r>
              <w:rPr>
                <w:rFonts w:hint="eastAsia" w:ascii="原版宋体" w:hAnsi="原版宋体" w:eastAsia="仿宋_GB2312" w:cs="Times New Roman"/>
                <w:sz w:val="18"/>
                <w:szCs w:val="18"/>
                <w:lang w:val="en-US" w:eastAsia="zh-CN"/>
              </w:rPr>
              <w:t>100%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val="en-US" w:eastAsia="zh-CN"/>
              </w:rPr>
              <w:t>　</w:t>
            </w:r>
            <w:r>
              <w:rPr>
                <w:rFonts w:hint="eastAsia" w:ascii="原版宋体" w:hAnsi="原版宋体" w:eastAsia="仿宋_GB2312" w:cs="Times New Roman"/>
                <w:sz w:val="18"/>
                <w:szCs w:val="18"/>
                <w:lang w:val="en-US" w:eastAsia="zh-CN"/>
              </w:rPr>
              <w:t>100%</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外环境完成每周一次抽检</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完成率</w:t>
            </w:r>
            <w:r>
              <w:rPr>
                <w:rFonts w:hint="eastAsia" w:ascii="原版宋体" w:hAnsi="原版宋体" w:eastAsia="仿宋_GB2312" w:cs="Times New Roman"/>
                <w:sz w:val="18"/>
                <w:szCs w:val="18"/>
                <w:lang w:val="en-US" w:eastAsia="zh-CN"/>
              </w:rPr>
              <w:t>100%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完成率</w:t>
            </w:r>
            <w:r>
              <w:rPr>
                <w:rFonts w:hint="eastAsia" w:ascii="原版宋体" w:hAnsi="原版宋体" w:eastAsia="仿宋_GB2312" w:cs="Times New Roman"/>
                <w:sz w:val="18"/>
                <w:szCs w:val="18"/>
                <w:lang w:val="en-US" w:eastAsia="zh-CN"/>
              </w:rPr>
              <w:t>100%</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免疫规划</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60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60</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艾滋病防治</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65.07</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65.07</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结核病防治</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28.29</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28.29</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精神卫生</w:t>
            </w:r>
            <w:r>
              <w:rPr>
                <w:rFonts w:hint="eastAsia" w:ascii="原版宋体" w:hAnsi="原版宋体" w:eastAsia="仿宋_GB2312" w:cs="Times New Roman"/>
                <w:sz w:val="18"/>
                <w:szCs w:val="18"/>
                <w:lang w:eastAsia="zh-CN"/>
              </w:rPr>
              <w:t>、</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28.23</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28.23</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新冠防控</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3</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3</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9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疾控覆盖率</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100%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100%</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60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指标</w:t>
            </w:r>
            <w:r>
              <w:rPr>
                <w:rFonts w:hint="eastAsia" w:ascii="原版宋体" w:hAnsi="原版宋体" w:eastAsia="仿宋_GB2312" w:cs="Times New Roman"/>
                <w:sz w:val="18"/>
                <w:szCs w:val="18"/>
                <w:lang w:val="en-US" w:eastAsia="zh-CN"/>
              </w:rPr>
              <w:t>1：</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减少疫情发生</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已减少疫情发生</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疫苗针对性疾病控制</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100%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100%</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60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防治严重精神障碍患者出现肇事肇祸行为</w:t>
            </w:r>
          </w:p>
        </w:tc>
        <w:tc>
          <w:tcPr>
            <w:tcW w:w="85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p>
        </w:tc>
        <w:tc>
          <w:tcPr>
            <w:tcW w:w="114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未发生</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艾滋病防治知晓率</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提高</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提高</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指标</w:t>
            </w:r>
            <w:r>
              <w:rPr>
                <w:rFonts w:hint="eastAsia" w:ascii="原版宋体" w:hAnsi="原版宋体" w:eastAsia="仿宋_GB2312" w:cs="Times New Roman"/>
                <w:sz w:val="18"/>
                <w:szCs w:val="18"/>
                <w:lang w:val="en-US" w:eastAsia="zh-CN"/>
              </w:rPr>
              <w:t>1：</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加强知识宣传</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提高了老百姓知晓率</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满意度</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100%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100%</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793"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528"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防治严重精神障碍患者肇事肇祸，维护社会稳定</w:t>
            </w:r>
          </w:p>
        </w:tc>
        <w:tc>
          <w:tcPr>
            <w:tcW w:w="85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p>
        </w:tc>
        <w:tc>
          <w:tcPr>
            <w:tcW w:w="1142" w:type="dxa"/>
            <w:tcBorders>
              <w:top w:val="nil"/>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未发生</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指标</w:t>
            </w:r>
            <w:r>
              <w:rPr>
                <w:rFonts w:hint="eastAsia" w:ascii="原版宋体" w:hAnsi="原版宋体" w:eastAsia="仿宋_GB2312" w:cs="Times New Roman"/>
                <w:sz w:val="18"/>
                <w:szCs w:val="18"/>
                <w:lang w:val="en-US" w:eastAsia="zh-CN"/>
              </w:rPr>
              <w:t>1：</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满意度高</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满意度高</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5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疫苗针对性疾病预防</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100%</w:t>
            </w:r>
          </w:p>
        </w:tc>
        <w:tc>
          <w:tcPr>
            <w:tcW w:w="11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100%</w:t>
            </w:r>
          </w:p>
        </w:tc>
        <w:tc>
          <w:tcPr>
            <w:tcW w:w="8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60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指标</w:t>
            </w:r>
            <w:r>
              <w:rPr>
                <w:rFonts w:hint="eastAsia" w:ascii="原版宋体" w:hAnsi="原版宋体" w:eastAsia="仿宋_GB2312" w:cs="Times New Roman"/>
                <w:sz w:val="18"/>
                <w:szCs w:val="18"/>
                <w:lang w:val="en-US" w:eastAsia="zh-CN"/>
              </w:rPr>
              <w:t>1：</w:t>
            </w:r>
          </w:p>
        </w:tc>
        <w:tc>
          <w:tcPr>
            <w:tcW w:w="85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减少新冠的发生</w:t>
            </w:r>
          </w:p>
        </w:tc>
        <w:tc>
          <w:tcPr>
            <w:tcW w:w="114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val="en-US" w:eastAsia="zh-CN"/>
              </w:rPr>
              <w:t>已减少疫情发生</w:t>
            </w:r>
          </w:p>
        </w:tc>
        <w:tc>
          <w:tcPr>
            <w:tcW w:w="8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9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满意度</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100%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val="en-US" w:eastAsia="zh-CN"/>
              </w:rPr>
              <w:t>100%</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2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病人服药依从性</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提高</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提高</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2" w:hRule="atLeast"/>
          <w:jc w:val="center"/>
        </w:trPr>
        <w:tc>
          <w:tcPr>
            <w:tcW w:w="1087"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default" w:ascii="原版宋体" w:hAnsi="原版宋体" w:eastAsia="仿宋_GB2312" w:cs="Times New Roman"/>
                <w:sz w:val="18"/>
                <w:szCs w:val="18"/>
                <w:lang w:eastAsia="zh-CN"/>
              </w:rPr>
              <w:t>　</w:t>
            </w:r>
            <w:r>
              <w:rPr>
                <w:rFonts w:hint="eastAsia" w:ascii="原版宋体" w:hAnsi="原版宋体" w:eastAsia="仿宋_GB2312" w:cs="Times New Roman"/>
                <w:sz w:val="18"/>
                <w:szCs w:val="18"/>
                <w:lang w:eastAsia="zh-CN"/>
              </w:rPr>
              <w:t>指标</w:t>
            </w:r>
            <w:r>
              <w:rPr>
                <w:rFonts w:hint="eastAsia" w:ascii="原版宋体" w:hAnsi="原版宋体" w:eastAsia="仿宋_GB2312" w:cs="Times New Roman"/>
                <w:sz w:val="18"/>
                <w:szCs w:val="18"/>
                <w:lang w:val="en-US" w:eastAsia="zh-CN"/>
              </w:rPr>
              <w:t>1：</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　满意度</w:t>
            </w:r>
            <w:r>
              <w:rPr>
                <w:rFonts w:hint="eastAsia" w:ascii="原版宋体" w:hAnsi="原版宋体" w:eastAsia="仿宋_GB2312" w:cs="Times New Roman"/>
                <w:sz w:val="18"/>
                <w:szCs w:val="18"/>
                <w:lang w:val="en-US" w:eastAsia="zh-CN"/>
              </w:rPr>
              <w:t>100%</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原版宋体" w:hAnsi="原版宋体" w:eastAsia="仿宋_GB2312" w:cs="Times New Roman"/>
                <w:kern w:val="2"/>
                <w:sz w:val="18"/>
                <w:szCs w:val="18"/>
                <w:lang w:val="en-US" w:eastAsia="zh-CN" w:bidi="ar-SA"/>
              </w:rPr>
            </w:pPr>
            <w:r>
              <w:rPr>
                <w:rFonts w:hint="eastAsia" w:ascii="原版宋体" w:hAnsi="原版宋体" w:eastAsia="仿宋_GB2312" w:cs="Times New Roman"/>
                <w:sz w:val="18"/>
                <w:szCs w:val="18"/>
                <w:lang w:eastAsia="zh-CN"/>
              </w:rPr>
              <w:t>　满意度</w:t>
            </w:r>
            <w:r>
              <w:rPr>
                <w:rFonts w:hint="eastAsia" w:ascii="原版宋体" w:hAnsi="原版宋体" w:eastAsia="仿宋_GB2312" w:cs="Times New Roman"/>
                <w:sz w:val="18"/>
                <w:szCs w:val="18"/>
                <w:lang w:val="en-US" w:eastAsia="zh-CN"/>
              </w:rPr>
              <w:t>100%</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602" w:hRule="atLeast"/>
          <w:jc w:val="center"/>
        </w:trPr>
        <w:tc>
          <w:tcPr>
            <w:tcW w:w="108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8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09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p>
        </w:tc>
        <w:tc>
          <w:tcPr>
            <w:tcW w:w="15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default" w:ascii="原版宋体" w:hAnsi="原版宋体" w:cs="Times New Roman"/>
                <w:color w:val="000000"/>
                <w:kern w:val="0"/>
                <w:sz w:val="18"/>
                <w:szCs w:val="18"/>
              </w:rPr>
              <w:t>公众结核病防治核心知识知晓率</w:t>
            </w:r>
          </w:p>
        </w:tc>
        <w:tc>
          <w:tcPr>
            <w:tcW w:w="85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eastAsia" w:ascii="原版宋体" w:hAnsi="原版宋体" w:cs="Times New Roman"/>
                <w:color w:val="000000"/>
                <w:kern w:val="0"/>
                <w:sz w:val="18"/>
                <w:szCs w:val="18"/>
                <w:lang w:val="en-US" w:eastAsia="zh-CN"/>
              </w:rPr>
              <w:t>85%</w:t>
            </w:r>
          </w:p>
        </w:tc>
        <w:tc>
          <w:tcPr>
            <w:tcW w:w="114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原版宋体" w:hAnsi="原版宋体" w:eastAsia="仿宋_GB2312" w:cs="Times New Roman"/>
                <w:color w:val="000000"/>
                <w:spacing w:val="-6"/>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eastAsia" w:ascii="原版宋体" w:hAnsi="原版宋体" w:cs="Times New Roman"/>
                <w:color w:val="000000"/>
                <w:kern w:val="0"/>
                <w:sz w:val="18"/>
                <w:szCs w:val="18"/>
                <w:lang w:val="en-US" w:eastAsia="zh-CN"/>
              </w:rPr>
              <w:t>85%</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53" w:hRule="atLeast"/>
          <w:jc w:val="center"/>
        </w:trPr>
        <w:tc>
          <w:tcPr>
            <w:tcW w:w="6786"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96</w:t>
            </w:r>
          </w:p>
        </w:tc>
        <w:tc>
          <w:tcPr>
            <w:tcW w:w="144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ascii="新宋体" w:hAnsi="新宋体" w:eastAsia="新宋体" w:cs="新宋体"/>
          <w:sz w:val="21"/>
          <w:szCs w:val="21"/>
          <w:lang w:eastAsia="zh-CN"/>
        </w:rPr>
      </w:pPr>
    </w:p>
    <w:p>
      <w:pPr>
        <w:rPr>
          <w:rFonts w:hint="eastAsia"/>
          <w:lang w:eastAsia="zh-CN"/>
        </w:rPr>
      </w:pPr>
    </w:p>
    <w:p>
      <w:pPr>
        <w:pStyle w:val="2"/>
        <w:rPr>
          <w:rFonts w:hint="eastAsia"/>
        </w:rPr>
      </w:pPr>
      <w:r>
        <w:rPr>
          <w:rFonts w:hint="default" w:ascii="Times New Roman" w:hAnsi="Times New Roman" w:eastAsia="仿宋_GB2312" w:cs="Times New Roman"/>
          <w:sz w:val="22"/>
        </w:rPr>
        <w:t>填表人：</w:t>
      </w:r>
      <w:r>
        <w:rPr>
          <w:rFonts w:hint="eastAsia" w:eastAsia="仿宋_GB2312" w:cs="Times New Roman"/>
          <w:sz w:val="22"/>
          <w:lang w:eastAsia="zh-CN"/>
        </w:rPr>
        <w:t>苏玲</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2023.7.6</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15074031568</w:t>
      </w:r>
      <w:r>
        <w:rPr>
          <w:rFonts w:hint="default" w:ascii="Times New Roman" w:hAnsi="Times New Roman" w:eastAsia="仿宋_GB2312" w:cs="Times New Roman"/>
          <w:sz w:val="22"/>
        </w:rPr>
        <w:t xml:space="preserve">   单位负责人签字：</w:t>
      </w:r>
      <w:r>
        <w:rPr>
          <w:rFonts w:hint="eastAsia" w:eastAsia="仿宋_GB2312" w:cs="Times New Roman"/>
          <w:sz w:val="22"/>
          <w:lang w:eastAsia="zh-CN"/>
        </w:rPr>
        <w:t>施恩</w:t>
      </w:r>
      <w:r>
        <w:rPr>
          <w:rFonts w:hint="default" w:ascii="Times New Roman" w:hAnsi="Times New Roman" w:eastAsia="仿宋_GB2312" w:cs="Times New Roman"/>
          <w:sz w:val="22"/>
        </w:rPr>
        <w:br w:type="page"/>
      </w:r>
    </w:p>
    <w:p>
      <w:pPr>
        <w:spacing w:line="240" w:lineRule="auto"/>
        <w:ind w:firstLine="0" w:firstLineChars="0"/>
        <w:jc w:val="left"/>
        <w:outlineLvl w:val="0"/>
        <w:rPr>
          <w:rFonts w:hint="eastAsia" w:ascii="新宋体" w:hAnsi="新宋体" w:eastAsia="新宋体" w:cs="新宋体"/>
          <w:sz w:val="21"/>
          <w:szCs w:val="21"/>
          <w:lang w:val="en-US" w:eastAsia="zh-CN"/>
        </w:rPr>
        <w:sectPr>
          <w:footerReference r:id="rId5" w:type="default"/>
          <w:pgSz w:w="11906" w:h="16838"/>
          <w:pgMar w:top="1701" w:right="1417" w:bottom="1417" w:left="1417" w:header="851" w:footer="992" w:gutter="0"/>
          <w:pgBorders>
            <w:top w:val="none" w:sz="0" w:space="0"/>
            <w:left w:val="none" w:sz="0" w:space="0"/>
            <w:bottom w:val="none" w:sz="0" w:space="0"/>
            <w:right w:val="none" w:sz="0" w:space="0"/>
          </w:pgBorders>
          <w:pgNumType w:start="1"/>
          <w:cols w:space="0" w:num="1"/>
          <w:rtlGutter w:val="0"/>
          <w:docGrid w:type="lines" w:linePitch="312" w:charSpace="0"/>
        </w:sectPr>
      </w:pPr>
    </w:p>
    <w:p>
      <w:pPr>
        <w:spacing w:line="240" w:lineRule="auto"/>
        <w:jc w:val="both"/>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年度华容县疾病预防控制中心</w:t>
      </w:r>
      <w:r>
        <w:rPr>
          <w:rFonts w:hint="eastAsia" w:ascii="方正小标宋简体" w:hAnsi="方正小标宋简体" w:eastAsia="方正小标宋简体" w:cs="方正小标宋简体"/>
          <w:sz w:val="44"/>
          <w:szCs w:val="44"/>
          <w:lang w:eastAsia="zh-CN"/>
        </w:rPr>
        <w:t>中央补助重大传染病项目</w:t>
      </w:r>
      <w:r>
        <w:rPr>
          <w:rFonts w:hint="eastAsia" w:ascii="方正小标宋简体" w:hAnsi="方正小标宋简体" w:eastAsia="方正小标宋简体" w:cs="方正小标宋简体"/>
          <w:sz w:val="44"/>
          <w:szCs w:val="44"/>
        </w:rPr>
        <w:t>支出</w:t>
      </w:r>
    </w:p>
    <w:p>
      <w:pPr>
        <w:spacing w:line="240"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hint="eastAsia" w:ascii="方正小标宋简体" w:hAnsi="方正小标宋简体" w:eastAsia="方正小标宋简体" w:cs="方正小标宋简体"/>
          <w:sz w:val="44"/>
          <w:szCs w:val="44"/>
        </w:rPr>
        <w:t>绩效自评报告</w:t>
      </w:r>
      <w:r>
        <w:rPr>
          <w:rFonts w:hint="eastAsia" w:ascii="方正小标宋简体" w:hAnsi="方正小标宋简体" w:eastAsia="方正小标宋简体" w:cs="方正小标宋简体"/>
          <w:sz w:val="44"/>
          <w:szCs w:val="44"/>
          <w:lang w:eastAsia="zh-CN"/>
        </w:rPr>
        <w:tab/>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6</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b w:val="0"/>
          <w:bCs w:val="0"/>
          <w:sz w:val="44"/>
          <w:szCs w:val="44"/>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b w:val="0"/>
          <w:bCs w:val="0"/>
          <w:sz w:val="44"/>
          <w:szCs w:val="44"/>
        </w:rPr>
        <w:t>华容县疾病预防控制中心</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val="en-US" w:eastAsia="zh-CN"/>
        </w:rPr>
        <w:t>2022</w:t>
      </w:r>
      <w:r>
        <w:rPr>
          <w:rFonts w:hint="eastAsia" w:ascii="方正小标宋简体" w:hAnsi="方正小标宋简体" w:eastAsia="方正小标宋简体" w:cs="方正小标宋简体"/>
          <w:b w:val="0"/>
          <w:bCs w:val="0"/>
          <w:sz w:val="44"/>
          <w:szCs w:val="44"/>
        </w:rPr>
        <w:t>年度</w:t>
      </w:r>
      <w:r>
        <w:rPr>
          <w:rFonts w:hint="eastAsia" w:ascii="方正小标宋简体" w:hAnsi="方正小标宋简体" w:eastAsia="方正小标宋简体" w:cs="方正小标宋简体"/>
          <w:b w:val="0"/>
          <w:bCs w:val="0"/>
          <w:sz w:val="44"/>
          <w:szCs w:val="44"/>
          <w:lang w:eastAsia="zh-CN"/>
        </w:rPr>
        <w:t>中央补助重大传染病项目</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绩效自评报告</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40" w:lineRule="auto"/>
        <w:ind w:left="0" w:right="0" w:firstLine="640" w:firstLineChars="200"/>
        <w:jc w:val="both"/>
        <w:textAlignment w:val="auto"/>
        <w:rPr>
          <w:rFonts w:hint="eastAsia" w:ascii="Times New Roman" w:hAnsi="Times New Roman" w:eastAsia="仿宋_GB2312" w:cs="Times New Roman"/>
          <w:color w:val="auto"/>
          <w:sz w:val="32"/>
          <w:szCs w:val="32"/>
          <w:shd w:val="clear" w:color="auto" w:fill="FFFFFF"/>
          <w:lang w:val="en-US" w:eastAsia="zh-CN"/>
        </w:rPr>
      </w:pPr>
      <w:r>
        <w:rPr>
          <w:rFonts w:hint="eastAsia" w:ascii="Times New Roman" w:hAnsi="Times New Roman" w:eastAsia="仿宋_GB2312" w:cs="Times New Roman"/>
          <w:color w:val="auto"/>
          <w:sz w:val="32"/>
          <w:szCs w:val="32"/>
          <w:shd w:val="clear" w:color="auto" w:fill="FFFFFF"/>
          <w:lang w:val="en-US" w:eastAsia="zh-CN"/>
        </w:rPr>
        <w:t xml:space="preserve">                                                                                                                                                                                                                                                                                                                                                                                                                                                      </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湖南省财政厅关于</w:t>
      </w: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lang w:val="en-US" w:eastAsia="zh-CN"/>
        </w:rPr>
        <w:t>2022年度部门整体支出绩效自评和省级专项资金部门评价工作</w:t>
      </w:r>
      <w:r>
        <w:rPr>
          <w:rFonts w:hint="eastAsia" w:ascii="仿宋_GB2312" w:hAnsi="仿宋_GB2312" w:eastAsia="仿宋_GB2312" w:cs="仿宋_GB2312"/>
          <w:sz w:val="32"/>
          <w:szCs w:val="32"/>
        </w:rPr>
        <w:t>的通知》（湘财绩〔202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〕1号）</w:t>
      </w:r>
      <w:r>
        <w:rPr>
          <w:rFonts w:hint="eastAsia" w:ascii="仿宋_GB2312" w:hAnsi="仿宋_GB2312" w:eastAsia="仿宋_GB2312" w:cs="仿宋_GB2312"/>
          <w:sz w:val="32"/>
          <w:szCs w:val="32"/>
          <w:lang w:eastAsia="zh-CN"/>
        </w:rPr>
        <w:t>的有关</w:t>
      </w:r>
      <w:r>
        <w:rPr>
          <w:rFonts w:hint="eastAsia" w:ascii="仿宋_GB2312" w:hAnsi="仿宋_GB2312" w:eastAsia="仿宋_GB2312" w:cs="仿宋_GB2312"/>
          <w:sz w:val="32"/>
          <w:szCs w:val="32"/>
        </w:rPr>
        <w:t>要求，</w:t>
      </w:r>
      <w:r>
        <w:rPr>
          <w:rFonts w:hint="eastAsia" w:ascii="仿宋_GB2312" w:hAnsi="仿宋_GB2312" w:eastAsia="仿宋_GB2312" w:cs="仿宋_GB2312"/>
          <w:color w:val="auto"/>
          <w:sz w:val="32"/>
          <w:szCs w:val="32"/>
          <w:lang w:eastAsia="zh-CN"/>
        </w:rPr>
        <w:t>我中心对</w:t>
      </w:r>
      <w:r>
        <w:rPr>
          <w:rFonts w:hint="eastAsia" w:ascii="仿宋_GB2312" w:hAnsi="仿宋_GB2312" w:eastAsia="仿宋_GB2312" w:cs="仿宋_GB2312"/>
          <w:color w:val="auto"/>
          <w:sz w:val="32"/>
          <w:szCs w:val="32"/>
          <w:lang w:val="en-US" w:eastAsia="zh-CN"/>
        </w:rPr>
        <w:t>2022年中央补助重大传染病项目</w:t>
      </w:r>
      <w:r>
        <w:rPr>
          <w:rFonts w:hint="eastAsia" w:ascii="仿宋_GB2312" w:hAnsi="仿宋_GB2312" w:eastAsia="仿宋_GB2312" w:cs="仿宋_GB2312"/>
          <w:color w:val="auto"/>
          <w:sz w:val="32"/>
          <w:szCs w:val="32"/>
        </w:rPr>
        <w:t>专项资金开展绩效评价，进行了自评现将自评情况报告如下</w:t>
      </w:r>
      <w:r>
        <w:rPr>
          <w:rFonts w:hint="eastAsia" w:ascii="仿宋_GB2312" w:hAnsi="仿宋_GB2312" w:eastAsia="仿宋_GB2312" w:cs="仿宋_GB2312"/>
          <w:color w:val="auto"/>
          <w:sz w:val="32"/>
          <w:szCs w:val="32"/>
          <w:lang w:eastAsia="zh-CN"/>
        </w:rPr>
        <w:t>：</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一、绩效目标分解下达情况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湘财社指[2021]98号文中央补助重大传染病项目经费184.59万元（免疫规划60；艾滋病防治65.07；结核病防治28.29；精神卫生和慢性病防治28.23；新冠防控3万元）；2022年县财政均已下达到我中心。</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二、绩效目标完成情况分析</w:t>
      </w:r>
    </w:p>
    <w:p>
      <w:pPr>
        <w:keepNext w:val="0"/>
        <w:keepLines w:val="0"/>
        <w:pageBreakBefore w:val="0"/>
        <w:widowControl w:val="0"/>
        <w:kinsoku/>
        <w:wordWrap/>
        <w:overflowPunct/>
        <w:topLinePunct w:val="0"/>
        <w:autoSpaceDE/>
        <w:autoSpaceDN/>
        <w:bidi w:val="0"/>
        <w:spacing w:line="560" w:lineRule="exact"/>
        <w:ind w:left="0" w:firstLine="643" w:firstLineChars="200"/>
        <w:textAlignment w:val="auto"/>
        <w:rPr>
          <w:rFonts w:hint="eastAsia" w:ascii="楷体" w:hAnsi="楷体" w:eastAsia="楷体" w:cs="楷体"/>
          <w:b/>
          <w:bCs/>
          <w:spacing w:val="-6"/>
          <w:kern w:val="0"/>
          <w:sz w:val="32"/>
          <w:szCs w:val="32"/>
          <w:lang w:val="en-US" w:eastAsia="zh-CN" w:bidi="ar"/>
        </w:rPr>
      </w:pPr>
      <w:r>
        <w:rPr>
          <w:rFonts w:hint="eastAsia" w:ascii="楷体" w:hAnsi="楷体" w:eastAsia="楷体" w:cs="楷体"/>
          <w:b/>
          <w:bCs/>
          <w:sz w:val="32"/>
          <w:szCs w:val="32"/>
          <w:lang w:eastAsia="zh-CN"/>
        </w:rPr>
        <w:t>（一）</w:t>
      </w:r>
      <w:r>
        <w:rPr>
          <w:rFonts w:hint="eastAsia" w:ascii="楷体" w:hAnsi="楷体" w:eastAsia="楷体" w:cs="楷体"/>
          <w:b/>
          <w:bCs/>
          <w:spacing w:val="-6"/>
          <w:kern w:val="0"/>
          <w:sz w:val="32"/>
          <w:szCs w:val="32"/>
          <w:lang w:val="en-US" w:eastAsia="zh-CN" w:bidi="ar"/>
        </w:rPr>
        <w:t>资金投入情况分析</w:t>
      </w:r>
    </w:p>
    <w:p>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截至目前，拨付我中心的</w:t>
      </w:r>
      <w:r>
        <w:rPr>
          <w:rFonts w:hint="eastAsia" w:ascii="仿宋_GB2312" w:hAnsi="仿宋_GB2312" w:eastAsia="仿宋_GB2312" w:cs="仿宋_GB2312"/>
          <w:color w:val="auto"/>
          <w:sz w:val="32"/>
          <w:szCs w:val="32"/>
          <w:lang w:val="en-US" w:eastAsia="zh-CN"/>
        </w:rPr>
        <w:t>中央补助重大传染病项目经费184.59万元</w:t>
      </w:r>
      <w:r>
        <w:rPr>
          <w:rFonts w:hint="eastAsia" w:ascii="仿宋_GB2312" w:hAnsi="仿宋_GB2312" w:eastAsia="仿宋_GB2312" w:cs="仿宋_GB2312"/>
          <w:sz w:val="32"/>
          <w:szCs w:val="32"/>
        </w:rPr>
        <w:t>已经全部用于项目实施工作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按照上级要求，</w:t>
      </w:r>
      <w:r>
        <w:rPr>
          <w:rFonts w:hint="eastAsia" w:ascii="仿宋_GB2312" w:hAnsi="仿宋_GB2312" w:eastAsia="仿宋_GB2312" w:cs="仿宋_GB2312"/>
          <w:sz w:val="32"/>
          <w:szCs w:val="32"/>
          <w:lang w:eastAsia="zh-CN"/>
        </w:rPr>
        <w:t>我中心</w:t>
      </w:r>
      <w:r>
        <w:rPr>
          <w:rFonts w:hint="eastAsia" w:ascii="仿宋_GB2312" w:hAnsi="仿宋_GB2312" w:eastAsia="仿宋_GB2312" w:cs="仿宋_GB2312"/>
          <w:sz w:val="32"/>
          <w:szCs w:val="32"/>
        </w:rPr>
        <w:t>成立了项目实施工作</w:t>
      </w:r>
      <w:r>
        <w:rPr>
          <w:rFonts w:hint="eastAsia" w:ascii="仿宋_GB2312" w:hAnsi="仿宋_GB2312" w:eastAsia="仿宋_GB2312" w:cs="仿宋_GB2312"/>
          <w:sz w:val="32"/>
          <w:szCs w:val="32"/>
          <w:lang w:eastAsia="zh-CN"/>
        </w:rPr>
        <w:t>小组</w:t>
      </w:r>
      <w:r>
        <w:rPr>
          <w:rFonts w:hint="eastAsia" w:ascii="仿宋_GB2312" w:hAnsi="仿宋_GB2312" w:eastAsia="仿宋_GB2312" w:cs="仿宋_GB2312"/>
          <w:sz w:val="32"/>
          <w:szCs w:val="32"/>
        </w:rPr>
        <w:t>，加强了项目实施督查，所有项目经费做到了专款专用，专款管理，</w:t>
      </w:r>
      <w:r>
        <w:rPr>
          <w:rFonts w:hint="eastAsia" w:ascii="仿宋_GB2312" w:hAnsi="仿宋_GB2312" w:eastAsia="仿宋_GB2312" w:cs="仿宋_GB2312"/>
          <w:kern w:val="2"/>
          <w:sz w:val="32"/>
          <w:szCs w:val="32"/>
          <w:shd w:val="clear" w:color="auto" w:fill="FFFFFF"/>
        </w:rPr>
        <w:t>严格按项目资金进行管理，执行相关财务支出管理制度，资金管理制度</w:t>
      </w:r>
      <w:r>
        <w:rPr>
          <w:rFonts w:hint="eastAsia" w:ascii="仿宋_GB2312" w:hAnsi="仿宋_GB2312" w:eastAsia="仿宋_GB2312" w:cs="仿宋_GB2312"/>
          <w:kern w:val="2"/>
          <w:sz w:val="32"/>
          <w:szCs w:val="32"/>
          <w:shd w:val="clear" w:color="auto" w:fill="FFFFFF"/>
          <w:lang w:eastAsia="zh-CN"/>
        </w:rPr>
        <w:t>，</w:t>
      </w:r>
      <w:r>
        <w:rPr>
          <w:rFonts w:hint="eastAsia" w:ascii="仿宋_GB2312" w:hAnsi="仿宋_GB2312" w:eastAsia="仿宋_GB2312" w:cs="仿宋_GB2312"/>
          <w:sz w:val="32"/>
          <w:szCs w:val="32"/>
        </w:rPr>
        <w:t>确保了项目实施效果。</w:t>
      </w:r>
    </w:p>
    <w:p>
      <w:pPr>
        <w:keepNext w:val="0"/>
        <w:keepLines w:val="0"/>
        <w:pageBreakBefore w:val="0"/>
        <w:widowControl w:val="0"/>
        <w:kinsoku/>
        <w:wordWrap/>
        <w:overflowPunct/>
        <w:topLinePunct w:val="0"/>
        <w:autoSpaceDE/>
        <w:autoSpaceDN/>
        <w:bidi w:val="0"/>
        <w:spacing w:line="560" w:lineRule="exact"/>
        <w:ind w:left="0"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（二）总体绩效目标完成情况分析</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b/>
          <w:bCs/>
          <w:sz w:val="32"/>
          <w:szCs w:val="32"/>
          <w:lang w:val="en-US" w:eastAsia="zh-CN"/>
        </w:rPr>
        <w:t>免疫规划项目：</w:t>
      </w:r>
      <w:r>
        <w:rPr>
          <w:rFonts w:hint="eastAsia" w:ascii="仿宋_GB2312" w:hAnsi="仿宋_GB2312" w:eastAsia="仿宋_GB2312" w:cs="仿宋_GB2312"/>
          <w:sz w:val="32"/>
          <w:szCs w:val="32"/>
          <w:lang w:val="en-US" w:eastAsia="zh-CN"/>
        </w:rPr>
        <w:t>全县22家儿童预防接种门诊承担全县0-7岁儿童预防接种，适龄儿童免疫规划疫苗接种率达95%以上，建立了有效的免疫屏障，杜绝了免疫规划疫苗针对性传染病的发生。为进一步规范我县医疗机构免疫规划疫苗针对性传染病监测和管理工作，全县累计报告疑似麻疹16例，AFP4例。每月对全县各哨点医院开展了麻疹、风疹、AFP、流脑、乙脑及其他免疫规划疫苗针对传染病的主动监测。发现疑似病例及时上报，调查处置。全年共上报AEFI36例，均开展了调查、诊断，做到了报告及时、处置规范。</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2、艾滋病防治项目：</w:t>
      </w:r>
      <w:r>
        <w:rPr>
          <w:rFonts w:hint="eastAsia" w:ascii="仿宋_GB2312" w:hAnsi="仿宋_GB2312" w:eastAsia="仿宋_GB2312" w:cs="仿宋_GB2312"/>
          <w:sz w:val="32"/>
          <w:szCs w:val="32"/>
          <w:lang w:val="en-US" w:eastAsia="zh-CN"/>
        </w:rPr>
        <w:t>根据湖南省2022年度艾滋病防治项目工作要求，我科室利用“6.26世界禁毒日”、“12.1世界艾滋病日”等宣传日，开展了形式多样的艾滋病防治宣传活动，既突出艾滋病危害，又倡导社会关爱艾滋病感染者；积极开展高危人群干预，加大对辖区内各娱乐场所从业人员、戒毒所吸毒人员、监管场所羁押人员等特殊人群的艾滋病防治宣传和HIV初筛检测工作力度；做好病人随访管理和抗病毒治疗工作，对有意愿且无治疗禁忌症的感染者和病人提供服药依从性教育，积极实施免费抗病毒治疗，提高病人生活质量；全面落实关怀救助，按照有关社会救助政策对经济困难的艾滋病患者及其家属给予了必要的生活和医疗救助。</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3、结核病防治项目：</w:t>
      </w:r>
      <w:r>
        <w:rPr>
          <w:rFonts w:hint="eastAsia" w:ascii="仿宋_GB2312" w:hAnsi="仿宋_GB2312" w:eastAsia="仿宋_GB2312" w:cs="仿宋_GB2312"/>
          <w:sz w:val="32"/>
          <w:szCs w:val="32"/>
          <w:lang w:val="en-US" w:eastAsia="zh-CN"/>
        </w:rPr>
        <w:t>全县共登记接诊疑似肺结核患者1364人，免费摄片1713人，痰检2014人次，发现活动性肺结核病人301人，病原学阳性166人。网报肺结核患者556人，重报151人，到位394人,死亡3人，到位率98.02%。共收到中国预警33条，重复报告9条，核实本地学生结核患者5人，教师1人，外地学生5人。</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4、精神卫生和慢性病防治项目：</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sz w:val="32"/>
          <w:szCs w:val="32"/>
          <w:lang w:val="en-US" w:eastAsia="zh-CN"/>
        </w:rPr>
        <w:t>完成严重精神障碍患者管理培训、督导、网络巡查、危险性评估等；2、完成农村癫痫筛排查、入组、随访、信息填报等工作；3、完成死因监测、恶性肿瘤报告、高血压、糖尿病患者监测等工作。</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5、新冠防控：</w:t>
      </w:r>
      <w:r>
        <w:rPr>
          <w:rFonts w:hint="eastAsia" w:ascii="仿宋_GB2312" w:hAnsi="仿宋_GB2312" w:eastAsia="仿宋_GB2312" w:cs="仿宋_GB2312"/>
          <w:sz w:val="32"/>
          <w:szCs w:val="32"/>
          <w:lang w:val="en-US" w:eastAsia="zh-CN"/>
        </w:rPr>
        <w:t>我中心从2022年1月开始，按上级要求每周对辖区内农集贸市场、超市、冷库以及海鲜加工经营门店、餐饮店进行了新冠外环境采样监测9164份，其中水产品、肉类3586份，外环境4036份，从业人员1542份，监测场所共1498家，结果均为阴性。涉疫快递、水果等疫情调查处置，共计排查86人，外环境以及人员核酸检测均为阴性。全年及时处理新冠疫情12起，新冠密接、次密接调查2483人次。并及时进行流行病调查，密接及次密接管控，风险地区划分，有效的阻止了疫情扩散。</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（三）绩效指标完成情况分析</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sz w:val="32"/>
          <w:szCs w:val="32"/>
          <w:lang w:val="en-US" w:eastAsia="zh-CN"/>
        </w:rPr>
        <w:t>我中心对超年限使用的两台冷库进行了改造并更新，增加容积近40m³。并对单位冷库和冷链运输车辆进行了校验，加强了冷链设备的温湿度监测。全县22家接种门诊配备了冷链冰箱1台，共22台。严格按照《疫苗管理法》规定，对疫苗的购进、储存、分发、运输等全过程管理规范，建立真实、准确、完整的接收、购进、储存、配送、供应等记录并存档至规定年限备查，保证了疫苗质量和全程电子追溯。全年共冷链运转12轮次，共下发非免疫规划疫苗近10万剂次。指导各接种单位规范了疫苗的使用和冷链管理，并定期进行督导。</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2022年全县共开展HIV抗体检测170544人次，检测比例23%（指标要求23%）；VCT门诊全年筛查982人次（指标要求965人次）；艾滋病治疗率96%、病毒载量检测率100%、治疗成功率93%（指标要求92%）；CD4检测率、配偶检测比例、结核检测比例均为100%（指标要求95%）。    </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2022年免费检查可疑患者1364人，确诊肺结核患者数301人，年初治涂阳166人。管理率100%(要求90%)，规范管理率98.48%(90%)，规律服药率96.97%(要求90%)，病原学阳率55.1%(要求50%),病原学阳耐药者筛查率100%(要求90%)，耐药可疑者筛查率100%(要求90%)。2020年管理肺结核患者391人，治愈、完成疗程360人，肺结核患者成功治疗率92.07%(要求90%)。</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4、2022年严重精神障碍患者管理率年度指标4.0‰，全年完成值5.94‰；死亡人口信息收集粗死亡率年度指标6.0‰，全年完成值8.81‰；恶性肿瘤信息收集年度指标0.5‰；全年完成值0.72‰。</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5、为加强新冠防控工作，我中心重点抓了以下工作。</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一是广泛宣传。定期推送微信公众号，加强广大群众对新冠肺炎等重点传染病监测工作的认识。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二是强化培训。为了提高传染病防控人员业务水平，我中心对相关人员进行了业务培训，规范了采样流程流程，提高了生物安全意识。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三是强化日常采样。根据上级要求，对辖区内农集贸市场、超市、冷库以及海鲜加工经营门店、餐饮店进行了每周一次新冠外环境采样监测。</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三、改进措施</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努力抓好绩效目标管理。在申报专项资金时应编制科学合理的项目绩效目标，做到绩效目标明确、细化、量化，从而有利于加强财政专项资金管理的落实和具体化。项目单位在项目实施过程中应高度重视绩效目标，加强领导，精心组织实施，做到目标明确、职责分明、责任到人，切实提高财政资金使用绩效。</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今后我中心将更加细致地制定绩效目标，进一步严肃财经纪律，让项目资金按计划落实到实处。</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righ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val="0"/>
        <w:overflowPunct/>
        <w:topLinePunct w:val="0"/>
        <w:autoSpaceDE/>
        <w:autoSpaceDN/>
        <w:bidi w:val="0"/>
        <w:spacing w:line="560" w:lineRule="exact"/>
        <w:ind w:firstLine="640" w:firstLineChars="2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华容县疾病预防控制中心　　</w:t>
      </w:r>
    </w:p>
    <w:p>
      <w:pPr>
        <w:keepNext w:val="0"/>
        <w:keepLines w:val="0"/>
        <w:pageBreakBefore w:val="0"/>
        <w:widowControl/>
        <w:kinsoku/>
        <w:wordWrap w:val="0"/>
        <w:overflowPunct/>
        <w:topLinePunct w:val="0"/>
        <w:autoSpaceDE/>
        <w:autoSpaceDN/>
        <w:bidi w:val="0"/>
        <w:adjustRightInd/>
        <w:snapToGrid/>
        <w:spacing w:line="610" w:lineRule="exact"/>
        <w:ind w:firstLine="640" w:firstLineChars="200"/>
        <w:jc w:val="right"/>
        <w:textAlignment w:val="auto"/>
        <w:rPr>
          <w:rFonts w:hint="eastAsia" w:ascii="仿宋_GB2312" w:eastAsia="仿宋_GB2312"/>
          <w:sz w:val="32"/>
          <w:szCs w:val="32"/>
          <w:lang w:val="en-US" w:eastAsia="zh-CN"/>
        </w:rPr>
      </w:pPr>
      <w:r>
        <w:rPr>
          <w:rFonts w:hint="eastAsia" w:ascii="仿宋_GB2312" w:hAnsi="仿宋_GB2312" w:eastAsia="仿宋_GB2312" w:cs="仿宋_GB2312"/>
          <w:sz w:val="32"/>
          <w:szCs w:val="32"/>
          <w:lang w:val="en-US" w:eastAsia="zh-CN"/>
        </w:rPr>
        <w:t>2023年7月6日 　　　</w:t>
      </w:r>
    </w:p>
    <w:p>
      <w:pPr>
        <w:pStyle w:val="2"/>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rPr>
          <w:rFonts w:hint="eastAsia"/>
          <w:lang w:val="en-US" w:eastAsia="zh-CN"/>
        </w:rPr>
      </w:pPr>
    </w:p>
    <w:p>
      <w:pPr>
        <w:pStyle w:val="2"/>
        <w:rPr>
          <w:rFonts w:hint="eastAsia" w:ascii="仿宋_GB2312" w:eastAsia="仿宋_GB2312"/>
          <w:sz w:val="32"/>
          <w:szCs w:val="32"/>
          <w:lang w:val="en-US" w:eastAsia="zh-CN"/>
        </w:rPr>
      </w:pPr>
    </w:p>
    <w:p>
      <w:pPr>
        <w:rPr>
          <w:rFonts w:hint="eastAsia"/>
          <w:lang w:val="en-US" w:eastAsia="zh-CN"/>
        </w:rPr>
      </w:pPr>
    </w:p>
    <w:p>
      <w:pPr>
        <w:widowControl/>
        <w:spacing w:line="600" w:lineRule="exact"/>
        <w:jc w:val="center"/>
        <w:rPr>
          <w:rFonts w:hint="eastAsia" w:ascii="方正小标宋简体" w:hAnsi="方正小标宋简体" w:eastAsia="方正小标宋简体" w:cs="方正小标宋简体"/>
          <w:color w:val="000000"/>
          <w:sz w:val="44"/>
          <w:szCs w:val="44"/>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8"/>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trHeight w:val="455"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ascii="新宋体" w:hAnsi="新宋体" w:eastAsia="新宋体" w:cs="新宋体"/>
                <w:sz w:val="18"/>
                <w:szCs w:val="18"/>
                <w:lang w:val="en-US" w:eastAsia="zh-CN"/>
              </w:rPr>
              <w:t>医疗卫生机构能力建设项目</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Times New Roman" w:hAnsi="Times New Roman" w:eastAsia="仿宋_GB2312" w:cs="Times New Roman"/>
                <w:color w:val="000000"/>
                <w:sz w:val="18"/>
                <w:szCs w:val="18"/>
                <w:lang w:eastAsia="zh-CN"/>
              </w:rPr>
            </w:pPr>
            <w:r>
              <w:rPr>
                <w:rFonts w:hint="eastAsia" w:eastAsia="仿宋_GB2312" w:cs="Times New Roman"/>
                <w:color w:val="000000"/>
                <w:sz w:val="18"/>
                <w:szCs w:val="18"/>
                <w:lang w:eastAsia="zh-CN"/>
              </w:rPr>
              <w:t>华容县卫生健康局</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Times New Roman" w:hAnsi="Times New Roman" w:eastAsia="仿宋_GB2312" w:cs="Times New Roman"/>
                <w:color w:val="000000"/>
                <w:sz w:val="18"/>
                <w:szCs w:val="18"/>
                <w:lang w:eastAsia="zh-CN"/>
              </w:rPr>
            </w:pPr>
            <w:r>
              <w:rPr>
                <w:rFonts w:hint="eastAsia" w:eastAsia="仿宋_GB2312" w:cs="Times New Roman"/>
                <w:color w:val="000000"/>
                <w:sz w:val="18"/>
                <w:szCs w:val="18"/>
                <w:lang w:eastAsia="zh-CN"/>
              </w:rPr>
              <w:t>华容县疾病预防控制中心</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18"/>
                <w:szCs w:val="18"/>
                <w:lang w:eastAsia="zh-CN"/>
              </w:rPr>
            </w:pPr>
            <w:r>
              <w:rPr>
                <w:rFonts w:hint="default" w:ascii="Times New Roman" w:hAnsi="Times New Roman" w:eastAsia="仿宋_GB2312" w:cs="Times New Roman"/>
                <w:color w:val="000000"/>
                <w:sz w:val="18"/>
                <w:szCs w:val="18"/>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lang w:val="en-US" w:eastAsia="zh-CN"/>
              </w:rPr>
            </w:pPr>
            <w:r>
              <w:rPr>
                <w:rFonts w:hint="eastAsia" w:eastAsia="仿宋_GB2312" w:cs="Times New Roman"/>
                <w:color w:val="000000"/>
                <w:sz w:val="18"/>
                <w:szCs w:val="18"/>
                <w:lang w:val="en-US" w:eastAsia="zh-CN"/>
              </w:rPr>
              <w:t>121.54</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lang w:val="en-US" w:eastAsia="zh-CN"/>
              </w:rPr>
            </w:pPr>
            <w:r>
              <w:rPr>
                <w:rFonts w:hint="eastAsia" w:eastAsia="仿宋_GB2312" w:cs="Times New Roman"/>
                <w:color w:val="000000"/>
                <w:sz w:val="18"/>
                <w:szCs w:val="18"/>
                <w:lang w:val="en-US" w:eastAsia="zh-CN"/>
              </w:rPr>
              <w:t>121.54</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lang w:val="en-US" w:eastAsia="zh-CN"/>
              </w:rPr>
            </w:pPr>
            <w:r>
              <w:rPr>
                <w:rFonts w:hint="eastAsia" w:eastAsia="仿宋_GB2312" w:cs="Times New Roman"/>
                <w:color w:val="000000"/>
                <w:sz w:val="18"/>
                <w:szCs w:val="18"/>
                <w:lang w:val="en-US" w:eastAsia="zh-CN"/>
              </w:rPr>
              <w:t>121.54</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lang w:val="en-US" w:eastAsia="zh-CN"/>
              </w:rPr>
            </w:pPr>
            <w:r>
              <w:rPr>
                <w:rFonts w:hint="eastAsia" w:eastAsia="仿宋_GB2312" w:cs="Times New Roman"/>
                <w:color w:val="000000"/>
                <w:sz w:val="18"/>
                <w:szCs w:val="18"/>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540" w:firstLineChars="300"/>
              <w:jc w:val="left"/>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lang w:val="en-US"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lang w:val="en-US"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540" w:firstLineChars="300"/>
              <w:jc w:val="left"/>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实际完成情况　</w:t>
            </w:r>
          </w:p>
        </w:tc>
      </w:tr>
      <w:tr>
        <w:tblPrEx>
          <w:tblCellMar>
            <w:top w:w="0" w:type="dxa"/>
            <w:left w:w="108" w:type="dxa"/>
            <w:bottom w:w="0" w:type="dxa"/>
            <w:right w:w="108" w:type="dxa"/>
          </w:tblCellMar>
        </w:tblPrEx>
        <w:trPr>
          <w:trHeight w:val="702"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b/>
                <w:kern w:val="2"/>
                <w:sz w:val="18"/>
                <w:szCs w:val="18"/>
                <w:lang w:val="en-US" w:eastAsia="zh-CN" w:bidi="ar-SA"/>
              </w:rPr>
            </w:pPr>
            <w:r>
              <w:rPr>
                <w:rFonts w:hint="eastAsia" w:eastAsia="宋体"/>
                <w:sz w:val="18"/>
                <w:szCs w:val="18"/>
                <w:lang w:eastAsia="zh-CN"/>
              </w:rPr>
              <w:t>提高我中心服务能力建设</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b/>
                <w:kern w:val="2"/>
                <w:sz w:val="18"/>
                <w:szCs w:val="18"/>
                <w:lang w:val="en-US" w:eastAsia="zh-CN" w:bidi="ar-SA"/>
              </w:rPr>
            </w:pPr>
            <w:r>
              <w:rPr>
                <w:rFonts w:hint="eastAsia" w:eastAsia="宋体"/>
                <w:sz w:val="18"/>
                <w:szCs w:val="18"/>
                <w:lang w:val="en-US" w:eastAsia="zh-CN"/>
              </w:rPr>
              <w:t>购置相关仪器设备一批，完成了水质监测、食品监测、农村环卫生监测等工作</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数量指标</w:t>
            </w: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水质监测项目</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42</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42项</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8</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18"/>
                <w:szCs w:val="18"/>
                <w:lang w:val="en-US" w:eastAsia="zh-CN"/>
              </w:rPr>
            </w:pPr>
            <w:r>
              <w:rPr>
                <w:rFonts w:hint="default" w:ascii="Times New Roman" w:hAnsi="Times New Roman" w:eastAsia="仿宋_GB2312" w:cs="Times New Roman"/>
                <w:color w:val="000000"/>
                <w:sz w:val="18"/>
                <w:szCs w:val="18"/>
              </w:rPr>
              <w:t>　</w:t>
            </w:r>
            <w:r>
              <w:rPr>
                <w:rFonts w:hint="eastAsia" w:eastAsia="仿宋_GB2312" w:cs="Times New Roman"/>
                <w:color w:val="000000"/>
                <w:sz w:val="18"/>
                <w:szCs w:val="18"/>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食品监测项目</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55</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55项</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8</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8</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购置DR</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1</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8</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8</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质量指标</w:t>
            </w: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提升检测效率</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30%</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30%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8</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降低检测限</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50%</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50%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8</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8</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eastAsia="zh-CN"/>
              </w:rPr>
              <w:t>长期保持相关</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4</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成本指标</w:t>
            </w: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eastAsia="zh-CN"/>
              </w:rPr>
              <w:t>一次性投入增加</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200万</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益指标</w:t>
            </w: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eastAsia="zh-CN"/>
              </w:rPr>
              <w:t>设备使用</w:t>
            </w:r>
            <w:r>
              <w:rPr>
                <w:rFonts w:hint="eastAsia" w:asciiTheme="minorEastAsia" w:hAnsiTheme="minorEastAsia" w:eastAsiaTheme="minorEastAsia" w:cstheme="minorEastAsia"/>
                <w:color w:val="000000"/>
                <w:sz w:val="18"/>
                <w:szCs w:val="18"/>
              </w:rPr>
              <w:t>率</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50%</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50%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4</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trHeight w:val="90"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益指标</w:t>
            </w: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eastAsia="zh-CN"/>
              </w:rPr>
              <w:t>提升应急能力</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eastAsia="zh-CN"/>
              </w:rPr>
              <w:t>逐步提升</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eastAsia="zh-CN"/>
              </w:rPr>
              <w:t>逐步提升</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4</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eastAsia="zh-CN"/>
              </w:rPr>
              <w:t>方便群众检测</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仿宋_GB2312" w:cs="Times New Roman"/>
                <w:color w:val="000000"/>
                <w:sz w:val="18"/>
                <w:szCs w:val="18"/>
                <w:lang w:val="en-US" w:eastAsia="zh-CN"/>
              </w:rPr>
            </w:pPr>
            <w:r>
              <w:rPr>
                <w:rFonts w:hint="default" w:ascii="Times New Roman" w:hAnsi="Times New Roman" w:eastAsia="仿宋_GB2312" w:cs="Times New Roman"/>
                <w:color w:val="000000"/>
                <w:sz w:val="18"/>
                <w:szCs w:val="18"/>
              </w:rPr>
              <w:t>　</w:t>
            </w:r>
            <w:r>
              <w:rPr>
                <w:rFonts w:hint="eastAsia" w:eastAsia="仿宋_GB2312" w:cs="Times New Roman"/>
                <w:color w:val="000000"/>
                <w:sz w:val="18"/>
                <w:szCs w:val="18"/>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益指标</w:t>
            </w: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eastAsia="zh-CN"/>
              </w:rPr>
              <w:t>水质环境卫生监测</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color w:val="000000"/>
                <w:sz w:val="18"/>
                <w:szCs w:val="18"/>
              </w:rPr>
              <w:t>　</w:t>
            </w:r>
            <w:r>
              <w:rPr>
                <w:rFonts w:hint="eastAsia" w:asciiTheme="minorEastAsia" w:hAnsiTheme="minorEastAsia" w:eastAsiaTheme="minorEastAsia" w:cstheme="minorEastAsia"/>
                <w:color w:val="000000"/>
                <w:sz w:val="18"/>
                <w:szCs w:val="18"/>
                <w:lang w:eastAsia="zh-CN"/>
              </w:rPr>
              <w:t>提高居民饮用水质量</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color w:val="000000"/>
                <w:sz w:val="18"/>
                <w:szCs w:val="18"/>
              </w:rPr>
              <w:t>　</w:t>
            </w:r>
            <w:r>
              <w:rPr>
                <w:rFonts w:hint="eastAsia" w:asciiTheme="minorEastAsia" w:hAnsiTheme="minorEastAsia" w:eastAsiaTheme="minorEastAsia" w:cstheme="minorEastAsia"/>
                <w:color w:val="000000"/>
                <w:sz w:val="18"/>
                <w:szCs w:val="18"/>
                <w:lang w:eastAsia="zh-CN"/>
              </w:rPr>
              <w:t>已提高</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eastAsia="zh-CN"/>
              </w:rPr>
              <w:t>农村环境卫生监测</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r>
              <w:rPr>
                <w:rFonts w:hint="eastAsia" w:asciiTheme="minorEastAsia" w:hAnsiTheme="minorEastAsia" w:eastAsiaTheme="minorEastAsia" w:cstheme="minorEastAsia"/>
                <w:color w:val="000000"/>
                <w:sz w:val="18"/>
                <w:szCs w:val="18"/>
                <w:lang w:eastAsia="zh-CN"/>
              </w:rPr>
              <w:t>提高居民生活环境</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r>
              <w:rPr>
                <w:rFonts w:hint="eastAsia" w:asciiTheme="minorEastAsia" w:hAnsiTheme="minorEastAsia" w:eastAsiaTheme="minorEastAsia" w:cstheme="minorEastAsia"/>
                <w:color w:val="000000"/>
                <w:sz w:val="18"/>
                <w:szCs w:val="18"/>
                <w:lang w:eastAsia="zh-CN"/>
              </w:rPr>
              <w:t>已提高</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eastAsia="zh-CN"/>
              </w:rPr>
              <w:t>食品安全检测</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rPr>
              <w:t>　</w:t>
            </w:r>
            <w:r>
              <w:rPr>
                <w:rFonts w:hint="eastAsia" w:asciiTheme="minorEastAsia" w:hAnsiTheme="minorEastAsia" w:eastAsiaTheme="minorEastAsia" w:cstheme="minorEastAsia"/>
                <w:color w:val="000000"/>
                <w:sz w:val="18"/>
                <w:szCs w:val="18"/>
                <w:lang w:eastAsia="zh-CN"/>
              </w:rPr>
              <w:t>提高居民食品安全</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color w:val="000000"/>
                <w:sz w:val="18"/>
                <w:szCs w:val="18"/>
              </w:rPr>
              <w:t>　</w:t>
            </w:r>
            <w:r>
              <w:rPr>
                <w:rFonts w:hint="eastAsia" w:asciiTheme="minorEastAsia" w:hAnsiTheme="minorEastAsia" w:eastAsiaTheme="minorEastAsia" w:cstheme="minorEastAsia"/>
                <w:color w:val="000000"/>
                <w:sz w:val="18"/>
                <w:szCs w:val="18"/>
                <w:lang w:eastAsia="zh-CN"/>
              </w:rPr>
              <w:t>已提高</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5</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trHeight w:val="261"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指标</w:t>
            </w:r>
          </w:p>
        </w:tc>
        <w:tc>
          <w:tcPr>
            <w:tcW w:w="122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eastAsia="zh-CN"/>
              </w:rPr>
              <w:t>群众满意度</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100%</w:t>
            </w:r>
          </w:p>
        </w:tc>
        <w:tc>
          <w:tcPr>
            <w:tcW w:w="1134" w:type="dxa"/>
            <w:tcBorders>
              <w:top w:val="nil"/>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10</w:t>
            </w: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10</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default" w:ascii="Times New Roman" w:hAnsi="Times New Roman" w:eastAsia="仿宋_GB2312" w:cs="Times New Roman"/>
                <w:color w:val="000000"/>
                <w:sz w:val="18"/>
                <w:szCs w:val="18"/>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eastAsia" w:eastAsia="仿宋_GB2312" w:cs="Times New Roman"/>
                <w:color w:val="000000"/>
                <w:sz w:val="18"/>
                <w:szCs w:val="18"/>
                <w:lang w:val="en-US" w:eastAsia="zh-CN"/>
              </w:rPr>
              <w:t>97</w:t>
            </w:r>
            <w:r>
              <w:rPr>
                <w:rFonts w:hint="default" w:ascii="Times New Roman" w:hAnsi="Times New Roman" w:eastAsia="仿宋_GB2312" w:cs="Times New Roman"/>
                <w:color w:val="000000"/>
                <w:sz w:val="18"/>
                <w:szCs w:val="18"/>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苏玲</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2023.7.6</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15074031568</w:t>
      </w:r>
      <w:r>
        <w:rPr>
          <w:rFonts w:hint="default" w:ascii="Times New Roman" w:hAnsi="Times New Roman" w:eastAsia="仿宋_GB2312" w:cs="Times New Roman"/>
          <w:sz w:val="22"/>
        </w:rPr>
        <w:t xml:space="preserve">   单位负责人签字：</w:t>
      </w:r>
      <w:r>
        <w:rPr>
          <w:rFonts w:hint="eastAsia" w:eastAsia="仿宋_GB2312" w:cs="Times New Roman"/>
          <w:sz w:val="22"/>
          <w:lang w:eastAsia="zh-CN"/>
        </w:rPr>
        <w:t>施恩</w:t>
      </w:r>
      <w:r>
        <w:rPr>
          <w:rFonts w:hint="default" w:ascii="Times New Roman" w:hAnsi="Times New Roman" w:eastAsia="仿宋_GB2312" w:cs="Times New Roman"/>
          <w:sz w:val="22"/>
        </w:rPr>
        <w:br w:type="page"/>
      </w:r>
    </w:p>
    <w:p>
      <w:pPr>
        <w:spacing w:line="240" w:lineRule="auto"/>
        <w:jc w:val="center"/>
        <w:rPr>
          <w:rFonts w:hint="default" w:ascii="方正小标宋简体" w:hAnsi="方正小标宋简体" w:eastAsia="方正小标宋简体" w:cs="方正小标宋简体"/>
          <w:sz w:val="44"/>
          <w:szCs w:val="44"/>
        </w:rPr>
      </w:pPr>
    </w:p>
    <w:p>
      <w:pPr>
        <w:spacing w:line="240" w:lineRule="auto"/>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年度华容县疾病预防控制中心</w:t>
      </w:r>
    </w:p>
    <w:p>
      <w:pPr>
        <w:spacing w:line="240"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医疗卫生机构能力建设项目</w:t>
      </w:r>
      <w:r>
        <w:rPr>
          <w:rFonts w:hint="eastAsia" w:ascii="方正小标宋简体" w:hAnsi="方正小标宋简体" w:eastAsia="方正小标宋简体" w:cs="方正小标宋简体"/>
          <w:sz w:val="44"/>
          <w:szCs w:val="44"/>
        </w:rPr>
        <w:t>支出</w:t>
      </w:r>
    </w:p>
    <w:p>
      <w:pPr>
        <w:spacing w:line="240"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hint="eastAsia" w:ascii="方正小标宋简体" w:hAnsi="方正小标宋简体" w:eastAsia="方正小标宋简体" w:cs="方正小标宋简体"/>
          <w:sz w:val="44"/>
          <w:szCs w:val="44"/>
        </w:rPr>
        <w:t>绩效自评报告</w:t>
      </w:r>
      <w:r>
        <w:rPr>
          <w:rFonts w:hint="eastAsia" w:ascii="方正小标宋简体" w:hAnsi="方正小标宋简体" w:eastAsia="方正小标宋简体" w:cs="方正小标宋简体"/>
          <w:sz w:val="44"/>
          <w:szCs w:val="44"/>
          <w:lang w:eastAsia="zh-CN"/>
        </w:rPr>
        <w:tab/>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6</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spacing w:line="660" w:lineRule="exact"/>
        <w:jc w:val="center"/>
        <w:rPr>
          <w:rFonts w:hint="eastAsia" w:ascii="方正小标宋简体" w:eastAsia="方正小标宋简体"/>
          <w:sz w:val="44"/>
          <w:szCs w:val="44"/>
        </w:rPr>
      </w:pPr>
    </w:p>
    <w:p>
      <w:pPr>
        <w:spacing w:line="660" w:lineRule="exact"/>
        <w:jc w:val="center"/>
        <w:rPr>
          <w:rFonts w:hint="eastAsia" w:ascii="方正小标宋简体" w:eastAsia="方正小标宋简体"/>
          <w:sz w:val="44"/>
          <w:szCs w:val="44"/>
        </w:rPr>
      </w:pPr>
      <w:r>
        <w:rPr>
          <w:rFonts w:hint="eastAsia" w:ascii="方正小标宋简体" w:eastAsia="方正小标宋简体"/>
          <w:sz w:val="44"/>
          <w:szCs w:val="44"/>
        </w:rPr>
        <w:t>华容县疾病预防控制中心</w:t>
      </w:r>
    </w:p>
    <w:p>
      <w:pPr>
        <w:spacing w:line="660" w:lineRule="exact"/>
        <w:jc w:val="center"/>
        <w:rPr>
          <w:rFonts w:hint="eastAsia" w:ascii="方正小标宋简体" w:eastAsia="方正小标宋简体"/>
          <w:sz w:val="44"/>
          <w:szCs w:val="44"/>
          <w:lang w:val="en-US" w:eastAsia="zh-CN"/>
        </w:rPr>
      </w:pPr>
      <w:r>
        <w:rPr>
          <w:rFonts w:hint="eastAsia" w:ascii="方正小标宋简体" w:eastAsia="方正小标宋简体"/>
          <w:sz w:val="44"/>
          <w:szCs w:val="44"/>
          <w:lang w:val="en-US" w:eastAsia="zh-CN"/>
        </w:rPr>
        <w:t>2021</w:t>
      </w:r>
      <w:r>
        <w:rPr>
          <w:rFonts w:hint="eastAsia" w:ascii="方正小标宋简体" w:eastAsia="方正小标宋简体"/>
          <w:sz w:val="44"/>
          <w:szCs w:val="44"/>
        </w:rPr>
        <w:t>年度</w:t>
      </w:r>
      <w:r>
        <w:rPr>
          <w:rFonts w:hint="eastAsia" w:ascii="方正小标宋简体" w:eastAsia="方正小标宋简体"/>
          <w:sz w:val="44"/>
          <w:szCs w:val="44"/>
          <w:lang w:eastAsia="zh-CN"/>
        </w:rPr>
        <w:t>中央补助医疗卫生机构</w:t>
      </w:r>
      <w:r>
        <w:rPr>
          <w:rFonts w:hint="eastAsia" w:ascii="方正小标宋简体" w:eastAsia="方正小标宋简体"/>
          <w:sz w:val="44"/>
          <w:szCs w:val="44"/>
          <w:lang w:val="en-US" w:eastAsia="zh-CN"/>
        </w:rPr>
        <w:t>能力提升</w:t>
      </w:r>
    </w:p>
    <w:p>
      <w:pPr>
        <w:spacing w:line="660" w:lineRule="exact"/>
        <w:jc w:val="center"/>
        <w:rPr>
          <w:rFonts w:hint="eastAsia" w:ascii="方正小标宋简体" w:eastAsia="方正小标宋简体"/>
          <w:sz w:val="44"/>
          <w:szCs w:val="44"/>
        </w:rPr>
      </w:pPr>
      <w:r>
        <w:rPr>
          <w:rFonts w:hint="eastAsia" w:ascii="方正小标宋简体" w:eastAsia="方正小标宋简体"/>
          <w:sz w:val="44"/>
          <w:szCs w:val="44"/>
          <w:lang w:eastAsia="zh-CN"/>
        </w:rPr>
        <w:t>项目</w:t>
      </w:r>
      <w:r>
        <w:rPr>
          <w:rFonts w:hint="eastAsia" w:ascii="方正小标宋简体" w:eastAsia="方正小标宋简体"/>
          <w:sz w:val="44"/>
          <w:szCs w:val="44"/>
        </w:rPr>
        <w:t>绩效自评报告</w:t>
      </w:r>
    </w:p>
    <w:p>
      <w:pPr>
        <w:spacing w:line="280" w:lineRule="exact"/>
        <w:ind w:firstLine="640" w:firstLineChars="200"/>
        <w:rPr>
          <w:rFonts w:hint="eastAsia" w:ascii="仿宋_GB2312" w:eastAsia="仿宋_GB2312"/>
          <w:sz w:val="32"/>
          <w:szCs w:val="32"/>
        </w:rPr>
      </w:pP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00" w:lineRule="exact"/>
        <w:ind w:left="0" w:leftChars="0" w:right="0" w:firstLine="640" w:firstLineChars="200"/>
        <w:jc w:val="both"/>
        <w:textAlignment w:val="auto"/>
        <w:rPr>
          <w:rFonts w:hint="eastAsia" w:ascii="Times New Roman" w:hAnsi="Times New Roman" w:eastAsia="仿宋_GB2312" w:cs="Times New Roman"/>
          <w:color w:val="auto"/>
          <w:sz w:val="32"/>
          <w:szCs w:val="32"/>
          <w:shd w:val="clear" w:color="auto" w:fill="FFFFFF"/>
          <w:lang w:val="en-US" w:eastAsia="zh-CN"/>
        </w:rPr>
      </w:pP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600" w:lineRule="exact"/>
        <w:ind w:left="0" w:leftChars="0" w:right="0" w:firstLine="640" w:firstLineChars="200"/>
        <w:jc w:val="both"/>
        <w:textAlignment w:val="auto"/>
        <w:rPr>
          <w:rFonts w:hint="default" w:ascii="Times New Roman" w:hAnsi="Times New Roman" w:eastAsia="仿宋" w:cs="Times New Roman"/>
          <w:color w:val="auto"/>
          <w:sz w:val="32"/>
          <w:szCs w:val="32"/>
          <w:lang w:eastAsia="zh-CN"/>
        </w:rPr>
      </w:pPr>
      <w:r>
        <w:rPr>
          <w:rFonts w:hint="eastAsia" w:ascii="Times New Roman" w:hAnsi="Times New Roman" w:eastAsia="仿宋_GB2312" w:cs="Times New Roman"/>
          <w:color w:val="auto"/>
          <w:sz w:val="32"/>
          <w:szCs w:val="32"/>
          <w:shd w:val="clear" w:color="auto" w:fill="FFFFFF"/>
          <w:lang w:val="en-US" w:eastAsia="zh-CN"/>
        </w:rPr>
        <w:t>为加快推进我省医药卫生体制改革，支持全省卫生健康事业发展提高医疗卫生机构服务能力。</w:t>
      </w:r>
      <w:r>
        <w:rPr>
          <w:rFonts w:hint="default" w:ascii="原版宋体" w:hAnsi="原版宋体" w:eastAsia="仿宋_GB2312" w:cs="Times New Roman"/>
          <w:sz w:val="32"/>
          <w:szCs w:val="32"/>
        </w:rPr>
        <w:t>根据</w:t>
      </w:r>
      <w:r>
        <w:rPr>
          <w:rFonts w:hint="eastAsia" w:ascii="原版宋体" w:hAnsi="原版宋体" w:eastAsia="仿宋_GB2312" w:cs="Times New Roman"/>
          <w:sz w:val="32"/>
          <w:szCs w:val="32"/>
          <w:lang w:eastAsia="zh-CN"/>
        </w:rPr>
        <w:t>《</w:t>
      </w:r>
      <w:r>
        <w:rPr>
          <w:rFonts w:hint="default" w:ascii="原版宋体" w:hAnsi="原版宋体" w:eastAsia="仿宋_GB2312" w:cs="Times New Roman"/>
          <w:sz w:val="32"/>
          <w:szCs w:val="32"/>
        </w:rPr>
        <w:t>湖南省财政厅关于</w:t>
      </w:r>
      <w:r>
        <w:rPr>
          <w:rFonts w:hint="default" w:ascii="原版宋体" w:hAnsi="原版宋体" w:eastAsia="仿宋_GB2312" w:cs="Times New Roman"/>
          <w:sz w:val="32"/>
          <w:szCs w:val="32"/>
          <w:lang w:eastAsia="zh-CN"/>
        </w:rPr>
        <w:t>开展</w:t>
      </w:r>
      <w:r>
        <w:rPr>
          <w:rFonts w:hint="default" w:ascii="原版宋体" w:hAnsi="原版宋体" w:eastAsia="仿宋_GB2312" w:cs="Times New Roman"/>
          <w:sz w:val="32"/>
          <w:szCs w:val="32"/>
          <w:lang w:val="en-US" w:eastAsia="zh-CN"/>
        </w:rPr>
        <w:t>2022年度部门整体支出绩效自评和省级专项资金部门评价工作</w:t>
      </w:r>
      <w:r>
        <w:rPr>
          <w:rFonts w:hint="default" w:ascii="原版宋体" w:hAnsi="原版宋体" w:eastAsia="仿宋_GB2312" w:cs="Times New Roman"/>
          <w:sz w:val="32"/>
          <w:szCs w:val="32"/>
        </w:rPr>
        <w:t>的通知》（湘财绩〔202</w:t>
      </w:r>
      <w:r>
        <w:rPr>
          <w:rFonts w:hint="eastAsia" w:ascii="原版宋体" w:hAnsi="原版宋体" w:eastAsia="仿宋_GB2312" w:cs="Times New Roman"/>
          <w:sz w:val="32"/>
          <w:szCs w:val="32"/>
          <w:lang w:val="en-US" w:eastAsia="zh-CN"/>
        </w:rPr>
        <w:t>3</w:t>
      </w:r>
      <w:r>
        <w:rPr>
          <w:rFonts w:hint="default" w:ascii="原版宋体" w:hAnsi="原版宋体" w:eastAsia="仿宋_GB2312" w:cs="Times New Roman"/>
          <w:sz w:val="32"/>
          <w:szCs w:val="32"/>
        </w:rPr>
        <w:t>〕1号）</w:t>
      </w:r>
      <w:r>
        <w:rPr>
          <w:rFonts w:hint="eastAsia" w:ascii="原版宋体" w:hAnsi="原版宋体" w:cs="Times New Roman"/>
          <w:sz w:val="32"/>
          <w:szCs w:val="32"/>
          <w:lang w:eastAsia="zh-CN"/>
        </w:rPr>
        <w:t>的有关</w:t>
      </w:r>
      <w:r>
        <w:rPr>
          <w:rFonts w:hint="default" w:ascii="原版宋体" w:hAnsi="原版宋体" w:eastAsia="仿宋_GB2312" w:cs="Times New Roman"/>
          <w:sz w:val="32"/>
          <w:szCs w:val="32"/>
        </w:rPr>
        <w:t>要求</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我</w:t>
      </w:r>
      <w:r>
        <w:rPr>
          <w:rFonts w:hint="eastAsia" w:ascii="Times New Roman" w:hAnsi="Times New Roman" w:eastAsia="仿宋" w:cs="Times New Roman"/>
          <w:color w:val="auto"/>
          <w:sz w:val="32"/>
          <w:szCs w:val="32"/>
          <w:lang w:eastAsia="zh-CN"/>
        </w:rPr>
        <w:t>中心</w:t>
      </w:r>
      <w:r>
        <w:rPr>
          <w:rFonts w:hint="default" w:ascii="Times New Roman" w:hAnsi="Times New Roman" w:eastAsia="仿宋" w:cs="Times New Roman"/>
          <w:color w:val="auto"/>
          <w:sz w:val="32"/>
          <w:szCs w:val="32"/>
        </w:rPr>
        <w:t>对</w:t>
      </w:r>
      <w:r>
        <w:rPr>
          <w:rFonts w:hint="eastAsia" w:ascii="Times New Roman" w:hAnsi="Times New Roman" w:eastAsia="仿宋" w:cs="Times New Roman"/>
          <w:color w:val="auto"/>
          <w:sz w:val="32"/>
          <w:szCs w:val="32"/>
          <w:lang w:val="en-US" w:eastAsia="zh-CN"/>
        </w:rPr>
        <w:t>202</w:t>
      </w:r>
      <w:r>
        <w:rPr>
          <w:rFonts w:hint="eastAsia" w:eastAsia="仿宋" w:cs="Times New Roman"/>
          <w:color w:val="auto"/>
          <w:sz w:val="32"/>
          <w:szCs w:val="32"/>
          <w:lang w:val="en-US" w:eastAsia="zh-CN"/>
        </w:rPr>
        <w:t>2</w:t>
      </w:r>
      <w:r>
        <w:rPr>
          <w:rFonts w:hint="eastAsia" w:ascii="Times New Roman" w:hAnsi="Times New Roman" w:eastAsia="仿宋" w:cs="Times New Roman"/>
          <w:color w:val="auto"/>
          <w:sz w:val="32"/>
          <w:szCs w:val="32"/>
          <w:lang w:val="en-US" w:eastAsia="zh-CN"/>
        </w:rPr>
        <w:t>年中央补助医疗卫生机构能力提升项目</w:t>
      </w:r>
      <w:r>
        <w:rPr>
          <w:rFonts w:hint="default" w:ascii="Times New Roman" w:hAnsi="Times New Roman" w:eastAsia="仿宋" w:cs="Times New Roman"/>
          <w:color w:val="auto"/>
          <w:sz w:val="32"/>
          <w:szCs w:val="32"/>
        </w:rPr>
        <w:t>专项资金开展绩效评价，进行了自评，现将自评情况报告如下</w:t>
      </w:r>
      <w:r>
        <w:rPr>
          <w:rFonts w:hint="default" w:ascii="Times New Roman" w:hAnsi="Times New Roman" w:eastAsia="仿宋" w:cs="Times New Roman"/>
          <w:color w:val="auto"/>
          <w:sz w:val="32"/>
          <w:szCs w:val="32"/>
          <w:lang w:eastAsia="zh-CN"/>
        </w:rPr>
        <w:t>：</w:t>
      </w:r>
    </w:p>
    <w:p>
      <w:pPr>
        <w:keepNext w:val="0"/>
        <w:keepLines w:val="0"/>
        <w:pageBreakBefore w:val="0"/>
        <w:widowControl w:val="0"/>
        <w:numPr>
          <w:ilvl w:val="0"/>
          <w:numId w:val="1"/>
        </w:numPr>
        <w:kinsoku/>
        <w:wordWrap/>
        <w:overflowPunct/>
        <w:topLinePunct w:val="0"/>
        <w:autoSpaceDE/>
        <w:autoSpaceDN/>
        <w:bidi w:val="0"/>
        <w:spacing w:line="600" w:lineRule="exact"/>
        <w:ind w:leftChars="0" w:firstLine="640" w:firstLineChars="200"/>
        <w:textAlignment w:val="auto"/>
        <w:rPr>
          <w:rFonts w:hint="eastAsia" w:ascii="黑体" w:eastAsia="黑体"/>
          <w:sz w:val="32"/>
          <w:szCs w:val="32"/>
          <w:lang w:eastAsia="zh-CN"/>
        </w:rPr>
      </w:pPr>
      <w:r>
        <w:rPr>
          <w:rFonts w:hint="eastAsia" w:ascii="黑体" w:eastAsia="黑体"/>
          <w:sz w:val="32"/>
          <w:szCs w:val="32"/>
          <w:lang w:eastAsia="zh-CN"/>
        </w:rPr>
        <w:t>绩效目标分解下达情况</w:t>
      </w:r>
    </w:p>
    <w:p>
      <w:pPr>
        <w:keepNext w:val="0"/>
        <w:keepLines w:val="0"/>
        <w:pageBreakBefore w:val="0"/>
        <w:widowControl w:val="0"/>
        <w:numPr>
          <w:ilvl w:val="0"/>
          <w:numId w:val="0"/>
        </w:numPr>
        <w:kinsoku/>
        <w:wordWrap/>
        <w:overflowPunct/>
        <w:topLinePunct w:val="0"/>
        <w:autoSpaceDE/>
        <w:autoSpaceDN/>
        <w:bidi w:val="0"/>
        <w:spacing w:line="600" w:lineRule="exact"/>
        <w:ind w:leftChars="0"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湘财预[2021]87号文</w:t>
      </w:r>
      <w:r>
        <w:rPr>
          <w:rFonts w:hint="eastAsia" w:ascii="仿宋_GB2312" w:eastAsia="仿宋_GB2312"/>
          <w:sz w:val="32"/>
          <w:szCs w:val="32"/>
        </w:rPr>
        <w:t>中央</w:t>
      </w:r>
      <w:r>
        <w:rPr>
          <w:rFonts w:hint="eastAsia" w:ascii="仿宋_GB2312" w:eastAsia="仿宋_GB2312"/>
          <w:sz w:val="32"/>
          <w:szCs w:val="32"/>
          <w:lang w:eastAsia="zh-CN"/>
        </w:rPr>
        <w:t>补助医疗服务与保障能力提升专项资金</w:t>
      </w:r>
      <w:r>
        <w:rPr>
          <w:rFonts w:hint="eastAsia" w:ascii="仿宋_GB2312" w:eastAsia="仿宋_GB2312"/>
          <w:sz w:val="32"/>
          <w:szCs w:val="32"/>
          <w:lang w:val="en-US" w:eastAsia="zh-CN"/>
        </w:rPr>
        <w:t>200万元；2022年县财政均已下达到我中心。</w:t>
      </w:r>
    </w:p>
    <w:p>
      <w:pPr>
        <w:keepNext w:val="0"/>
        <w:keepLines w:val="0"/>
        <w:pageBreakBefore w:val="0"/>
        <w:widowControl w:val="0"/>
        <w:kinsoku/>
        <w:wordWrap/>
        <w:overflowPunct/>
        <w:topLinePunct w:val="0"/>
        <w:autoSpaceDE/>
        <w:autoSpaceDN/>
        <w:bidi w:val="0"/>
        <w:spacing w:line="600" w:lineRule="exact"/>
        <w:ind w:leftChars="0" w:firstLine="640" w:firstLineChars="200"/>
        <w:textAlignment w:val="auto"/>
        <w:rPr>
          <w:rFonts w:hint="eastAsia" w:ascii="黑体" w:eastAsia="黑体"/>
          <w:sz w:val="32"/>
          <w:szCs w:val="32"/>
          <w:lang w:eastAsia="zh-CN"/>
        </w:rPr>
      </w:pPr>
      <w:r>
        <w:rPr>
          <w:rFonts w:hint="eastAsia" w:ascii="黑体" w:eastAsia="黑体"/>
          <w:sz w:val="32"/>
          <w:szCs w:val="32"/>
        </w:rPr>
        <w:t>二、</w:t>
      </w:r>
      <w:r>
        <w:rPr>
          <w:rFonts w:hint="eastAsia" w:ascii="黑体" w:eastAsia="黑体"/>
          <w:sz w:val="32"/>
          <w:szCs w:val="32"/>
          <w:lang w:eastAsia="zh-CN"/>
        </w:rPr>
        <w:t>绩效目标完成情况分析</w:t>
      </w:r>
    </w:p>
    <w:p>
      <w:pPr>
        <w:keepNext w:val="0"/>
        <w:keepLines w:val="0"/>
        <w:pageBreakBefore w:val="0"/>
        <w:widowControl w:val="0"/>
        <w:kinsoku/>
        <w:wordWrap/>
        <w:overflowPunct/>
        <w:topLinePunct w:val="0"/>
        <w:autoSpaceDE/>
        <w:autoSpaceDN/>
        <w:bidi w:val="0"/>
        <w:spacing w:line="600" w:lineRule="exact"/>
        <w:ind w:leftChars="0"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（一）</w:t>
      </w:r>
      <w:r>
        <w:rPr>
          <w:rFonts w:hint="eastAsia" w:ascii="楷体" w:hAnsi="楷体" w:eastAsia="楷体" w:cs="楷体"/>
          <w:b/>
          <w:bCs/>
          <w:sz w:val="32"/>
          <w:szCs w:val="32"/>
        </w:rPr>
        <w:t>资金</w:t>
      </w:r>
      <w:r>
        <w:rPr>
          <w:rFonts w:hint="eastAsia" w:ascii="楷体" w:hAnsi="楷体" w:eastAsia="楷体" w:cs="楷体"/>
          <w:b/>
          <w:bCs/>
          <w:sz w:val="32"/>
          <w:szCs w:val="32"/>
          <w:lang w:eastAsia="zh-CN"/>
        </w:rPr>
        <w:t>投入</w:t>
      </w:r>
      <w:r>
        <w:rPr>
          <w:rFonts w:hint="eastAsia" w:ascii="楷体" w:hAnsi="楷体" w:eastAsia="楷体" w:cs="楷体"/>
          <w:b/>
          <w:bCs/>
          <w:sz w:val="32"/>
          <w:szCs w:val="32"/>
        </w:rPr>
        <w:t>情况</w:t>
      </w:r>
      <w:r>
        <w:rPr>
          <w:rFonts w:hint="eastAsia" w:ascii="楷体" w:hAnsi="楷体" w:eastAsia="楷体" w:cs="楷体"/>
          <w:b/>
          <w:bCs/>
          <w:sz w:val="32"/>
          <w:szCs w:val="32"/>
          <w:lang w:eastAsia="zh-CN"/>
        </w:rPr>
        <w:t>分析</w:t>
      </w:r>
    </w:p>
    <w:p>
      <w:pPr>
        <w:keepNext w:val="0"/>
        <w:keepLines w:val="0"/>
        <w:pageBreakBefore w:val="0"/>
        <w:widowControl w:val="0"/>
        <w:kinsoku/>
        <w:wordWrap/>
        <w:overflowPunct/>
        <w:topLinePunct w:val="0"/>
        <w:autoSpaceDE/>
        <w:autoSpaceDN/>
        <w:bidi w:val="0"/>
        <w:spacing w:line="600" w:lineRule="exact"/>
        <w:ind w:leftChars="0" w:firstLine="640" w:firstLineChars="200"/>
        <w:textAlignment w:val="auto"/>
        <w:rPr>
          <w:rFonts w:hint="eastAsia" w:ascii="仿宋_GB2312" w:eastAsia="仿宋_GB2312"/>
          <w:sz w:val="32"/>
          <w:szCs w:val="32"/>
        </w:rPr>
      </w:pPr>
      <w:r>
        <w:rPr>
          <w:rFonts w:hint="eastAsia" w:ascii="仿宋_GB2312" w:eastAsia="仿宋_GB2312"/>
          <w:sz w:val="32"/>
          <w:szCs w:val="32"/>
        </w:rPr>
        <w:t>截至目前，拨付我中心的中央</w:t>
      </w:r>
      <w:r>
        <w:rPr>
          <w:rFonts w:hint="eastAsia" w:ascii="仿宋_GB2312" w:eastAsia="仿宋_GB2312"/>
          <w:sz w:val="32"/>
          <w:szCs w:val="32"/>
          <w:lang w:eastAsia="zh-CN"/>
        </w:rPr>
        <w:t>补助医疗服务与保障能力提升项目经费</w:t>
      </w:r>
      <w:r>
        <w:rPr>
          <w:rFonts w:hint="eastAsia" w:ascii="仿宋_GB2312" w:eastAsia="仿宋_GB2312"/>
          <w:sz w:val="32"/>
          <w:szCs w:val="32"/>
          <w:lang w:val="en-US" w:eastAsia="zh-CN"/>
        </w:rPr>
        <w:t>200万</w:t>
      </w:r>
      <w:r>
        <w:rPr>
          <w:rFonts w:hint="eastAsia" w:ascii="仿宋_GB2312" w:eastAsia="仿宋_GB2312"/>
          <w:sz w:val="32"/>
          <w:szCs w:val="32"/>
        </w:rPr>
        <w:t>已经全部用于项目实施工作</w:t>
      </w:r>
      <w:r>
        <w:rPr>
          <w:rFonts w:hint="eastAsia" w:ascii="仿宋_GB2312" w:eastAsia="仿宋_GB2312"/>
          <w:sz w:val="32"/>
          <w:szCs w:val="32"/>
          <w:lang w:eastAsia="zh-CN"/>
        </w:rPr>
        <w:t>。</w:t>
      </w:r>
      <w:r>
        <w:rPr>
          <w:rFonts w:hint="eastAsia" w:ascii="仿宋_GB2312" w:eastAsia="仿宋_GB2312"/>
          <w:sz w:val="32"/>
          <w:szCs w:val="32"/>
        </w:rPr>
        <w:t>按照上级要求，</w:t>
      </w:r>
      <w:r>
        <w:rPr>
          <w:rFonts w:hint="eastAsia" w:ascii="仿宋_GB2312" w:eastAsia="仿宋_GB2312"/>
          <w:sz w:val="32"/>
          <w:szCs w:val="32"/>
          <w:lang w:eastAsia="zh-CN"/>
        </w:rPr>
        <w:t>我中心</w:t>
      </w:r>
      <w:r>
        <w:rPr>
          <w:rFonts w:hint="eastAsia" w:ascii="仿宋_GB2312" w:eastAsia="仿宋_GB2312"/>
          <w:sz w:val="32"/>
          <w:szCs w:val="32"/>
        </w:rPr>
        <w:t>成立了项目实施工作领导小组，明确了专人负责，加强了项目实施督查，所有项目经费做到了专款专用，专款管理，确保了项目实施效果。</w:t>
      </w:r>
    </w:p>
    <w:p>
      <w:pPr>
        <w:keepNext w:val="0"/>
        <w:keepLines w:val="0"/>
        <w:pageBreakBefore w:val="0"/>
        <w:widowControl w:val="0"/>
        <w:kinsoku/>
        <w:wordWrap/>
        <w:overflowPunct/>
        <w:topLinePunct w:val="0"/>
        <w:autoSpaceDE/>
        <w:autoSpaceDN/>
        <w:bidi w:val="0"/>
        <w:spacing w:line="600" w:lineRule="exact"/>
        <w:ind w:leftChars="0"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（三）总体绩效目标完成情况</w:t>
      </w:r>
      <w:r>
        <w:rPr>
          <w:rFonts w:hint="default" w:ascii="楷体" w:hAnsi="楷体" w:eastAsia="楷体" w:cs="楷体"/>
          <w:b/>
          <w:bCs/>
          <w:sz w:val="32"/>
          <w:szCs w:val="32"/>
          <w:lang w:eastAsia="zh-CN"/>
        </w:rPr>
        <w:t>分析</w:t>
      </w:r>
    </w:p>
    <w:p>
      <w:pPr>
        <w:pStyle w:val="16"/>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0" w:leftChars="0" w:right="0" w:firstLine="640" w:firstLineChars="200"/>
        <w:jc w:val="both"/>
        <w:textAlignment w:val="auto"/>
        <w:rPr>
          <w:rFonts w:hint="default" w:ascii="仿宋" w:hAnsi="仿宋" w:eastAsia="仿宋" w:cs="仿宋"/>
          <w:color w:val="auto"/>
          <w:sz w:val="32"/>
          <w:szCs w:val="32"/>
          <w:shd w:val="clear" w:color="auto" w:fill="FFFFFF"/>
          <w:lang w:val="en-US" w:eastAsia="zh-CN"/>
        </w:rPr>
      </w:pPr>
      <w:r>
        <w:rPr>
          <w:rFonts w:hint="eastAsia" w:ascii="Times New Roman" w:hAnsi="Times New Roman" w:eastAsia="仿宋_GB2312" w:cs="Times New Roman"/>
          <w:color w:val="auto"/>
          <w:sz w:val="32"/>
          <w:szCs w:val="32"/>
          <w:shd w:val="clear" w:color="auto" w:fill="FFFFFF"/>
          <w:lang w:val="en-US" w:eastAsia="zh-CN"/>
        </w:rPr>
        <w:t>项目资金主要用于疾控中心能力提升，实验室硬件设施改造，共采购仪器43种，包含湖南省疾病预防控制中心仪器清单内A类设备，B类设备，根据实验室发展需要的其他设备。设备主要集中应用在水质检测，食品检测，食品安全微生物快速检测应急，地方病监测监测项目。</w:t>
      </w:r>
    </w:p>
    <w:p>
      <w:pPr>
        <w:keepNext w:val="0"/>
        <w:keepLines w:val="0"/>
        <w:pageBreakBefore w:val="0"/>
        <w:widowControl w:val="0"/>
        <w:kinsoku/>
        <w:wordWrap/>
        <w:overflowPunct/>
        <w:topLinePunct w:val="0"/>
        <w:autoSpaceDE/>
        <w:autoSpaceDN/>
        <w:bidi w:val="0"/>
        <w:spacing w:line="600" w:lineRule="exact"/>
        <w:ind w:leftChars="0"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（三）绩效指标完成情况分析</w:t>
      </w:r>
    </w:p>
    <w:p>
      <w:pPr>
        <w:pStyle w:val="16"/>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Chars="0" w:right="0" w:rightChars="0" w:firstLine="643" w:firstLineChars="200"/>
        <w:jc w:val="both"/>
        <w:textAlignment w:val="auto"/>
        <w:rPr>
          <w:rFonts w:hint="eastAsia" w:ascii="Times New Roman" w:hAnsi="Times New Roman" w:eastAsia="仿宋_GB2312" w:cs="Times New Roman"/>
          <w:color w:val="auto"/>
          <w:sz w:val="32"/>
          <w:szCs w:val="32"/>
          <w:shd w:val="clear" w:color="auto" w:fill="FFFFFF"/>
          <w:lang w:val="en-US" w:eastAsia="zh-CN"/>
        </w:rPr>
      </w:pPr>
      <w:r>
        <w:rPr>
          <w:rFonts w:hint="eastAsia" w:ascii="楷体" w:hAnsi="楷体" w:eastAsia="楷体" w:cs="楷体"/>
          <w:b/>
          <w:bCs/>
          <w:color w:val="auto"/>
          <w:sz w:val="32"/>
          <w:szCs w:val="32"/>
          <w:shd w:val="clear" w:color="auto" w:fill="FFFFFF"/>
          <w:lang w:val="en-US" w:eastAsia="zh-CN"/>
        </w:rPr>
        <w:t>1.水质检测能力提升：</w:t>
      </w:r>
      <w:r>
        <w:rPr>
          <w:rFonts w:hint="eastAsia" w:ascii="Times New Roman" w:hAnsi="Times New Roman" w:eastAsia="仿宋_GB2312" w:cs="Times New Roman"/>
          <w:color w:val="auto"/>
          <w:sz w:val="32"/>
          <w:szCs w:val="32"/>
          <w:shd w:val="clear" w:color="auto" w:fill="FFFFFF"/>
          <w:lang w:val="en-US" w:eastAsia="zh-CN"/>
        </w:rPr>
        <w:t>能够进行省级部门要求的常规水质检测项目，检测时间缩短30%，检测限达到国家标准要求，为全县水质卫生安全提供技术保障。</w:t>
      </w:r>
    </w:p>
    <w:p>
      <w:pPr>
        <w:pStyle w:val="16"/>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Chars="0" w:right="0" w:rightChars="0" w:firstLine="643" w:firstLineChars="200"/>
        <w:jc w:val="both"/>
        <w:textAlignment w:val="auto"/>
        <w:rPr>
          <w:rFonts w:hint="default" w:ascii="Times New Roman" w:hAnsi="Times New Roman" w:eastAsia="仿宋_GB2312" w:cs="Times New Roman"/>
          <w:color w:val="auto"/>
          <w:sz w:val="32"/>
          <w:szCs w:val="32"/>
          <w:shd w:val="clear" w:color="auto" w:fill="FFFFFF"/>
          <w:lang w:val="en-US" w:eastAsia="zh-CN"/>
        </w:rPr>
      </w:pPr>
      <w:r>
        <w:rPr>
          <w:rFonts w:hint="eastAsia" w:ascii="楷体" w:hAnsi="楷体" w:eastAsia="楷体" w:cs="楷体"/>
          <w:b/>
          <w:bCs/>
          <w:color w:val="auto"/>
          <w:sz w:val="32"/>
          <w:szCs w:val="32"/>
          <w:shd w:val="clear" w:color="auto" w:fill="FFFFFF"/>
          <w:lang w:val="en-US" w:eastAsia="zh-CN"/>
        </w:rPr>
        <w:t>2.食品安全检测能力提升：</w:t>
      </w:r>
      <w:r>
        <w:rPr>
          <w:rFonts w:hint="eastAsia" w:ascii="Times New Roman" w:hAnsi="Times New Roman" w:eastAsia="仿宋_GB2312" w:cs="Times New Roman"/>
          <w:color w:val="auto"/>
          <w:sz w:val="32"/>
          <w:szCs w:val="32"/>
          <w:shd w:val="clear" w:color="auto" w:fill="FFFFFF"/>
          <w:lang w:val="en-US" w:eastAsia="zh-CN"/>
        </w:rPr>
        <w:t>能够对食源性疾病常规样本及致病因子进行有效检测，对可疑的化学性中毒可进行形态学分析，微生物鉴定仪器使得在细菌性疾病应急方面取得了较为理想的时间节点，从以前的一周时间缩短为2-3天。为全县食源性疾病应急，检测提供有效性保障。</w:t>
      </w:r>
    </w:p>
    <w:p>
      <w:pPr>
        <w:pStyle w:val="16"/>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Chars="0" w:right="0" w:rightChars="0" w:firstLine="643" w:firstLineChars="200"/>
        <w:jc w:val="both"/>
        <w:textAlignment w:val="auto"/>
        <w:rPr>
          <w:rFonts w:hint="default" w:ascii="Times New Roman" w:hAnsi="Times New Roman" w:eastAsia="仿宋_GB2312" w:cs="Times New Roman"/>
          <w:color w:val="auto"/>
          <w:sz w:val="32"/>
          <w:szCs w:val="32"/>
          <w:shd w:val="clear" w:color="auto" w:fill="FFFFFF"/>
          <w:lang w:val="en-US" w:eastAsia="zh-CN"/>
        </w:rPr>
      </w:pPr>
      <w:r>
        <w:rPr>
          <w:rFonts w:hint="eastAsia" w:ascii="楷体" w:hAnsi="楷体" w:eastAsia="楷体" w:cs="楷体"/>
          <w:b/>
          <w:bCs/>
          <w:color w:val="auto"/>
          <w:sz w:val="32"/>
          <w:szCs w:val="32"/>
          <w:shd w:val="clear" w:color="auto" w:fill="FFFFFF"/>
          <w:lang w:val="en-US" w:eastAsia="zh-CN"/>
        </w:rPr>
        <w:t>3.职业卫生能力提升：</w:t>
      </w:r>
      <w:r>
        <w:rPr>
          <w:rFonts w:hint="eastAsia" w:ascii="Times New Roman" w:hAnsi="Times New Roman" w:eastAsia="仿宋_GB2312" w:cs="Times New Roman"/>
          <w:color w:val="auto"/>
          <w:sz w:val="32"/>
          <w:szCs w:val="32"/>
          <w:shd w:val="clear" w:color="auto" w:fill="FFFFFF"/>
          <w:lang w:val="en-US" w:eastAsia="zh-CN"/>
        </w:rPr>
        <w:t>在工作场所有害因子检测方面进行了有效的补充，重金属形态分析，矽尘，有机毒物形态分析的检测能力得到保证。</w:t>
      </w:r>
    </w:p>
    <w:p>
      <w:pPr>
        <w:pStyle w:val="16"/>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Chars="0" w:right="0" w:rightChars="0" w:firstLine="643" w:firstLineChars="200"/>
        <w:jc w:val="both"/>
        <w:textAlignment w:val="auto"/>
        <w:rPr>
          <w:rFonts w:hint="default" w:ascii="Times New Roman" w:hAnsi="Times New Roman" w:eastAsia="仿宋_GB2312" w:cs="Times New Roman"/>
          <w:color w:val="auto"/>
          <w:sz w:val="32"/>
          <w:szCs w:val="32"/>
          <w:shd w:val="clear" w:color="auto" w:fill="FFFFFF"/>
          <w:lang w:val="en-US" w:eastAsia="zh-CN"/>
        </w:rPr>
      </w:pPr>
      <w:r>
        <w:rPr>
          <w:rFonts w:hint="eastAsia" w:ascii="楷体" w:hAnsi="楷体" w:eastAsia="楷体" w:cs="楷体"/>
          <w:b/>
          <w:bCs/>
          <w:color w:val="auto"/>
          <w:sz w:val="32"/>
          <w:szCs w:val="32"/>
          <w:shd w:val="clear" w:color="auto" w:fill="FFFFFF"/>
          <w:lang w:val="en-US" w:eastAsia="zh-CN"/>
        </w:rPr>
        <w:t>4.重点传染病能力提升：</w:t>
      </w:r>
      <w:r>
        <w:rPr>
          <w:rFonts w:hint="eastAsia" w:ascii="Times New Roman" w:hAnsi="Times New Roman" w:eastAsia="仿宋_GB2312" w:cs="Times New Roman"/>
          <w:color w:val="auto"/>
          <w:sz w:val="32"/>
          <w:szCs w:val="32"/>
          <w:shd w:val="clear" w:color="auto" w:fill="FFFFFF"/>
          <w:lang w:val="en-US" w:eastAsia="zh-CN"/>
        </w:rPr>
        <w:t>在手足口、流感、鼻病毒、麻疹、风疹在分子生物学检测方面得到能力升级。</w:t>
      </w:r>
    </w:p>
    <w:p>
      <w:pPr>
        <w:pStyle w:val="16"/>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Chars="0" w:right="0" w:rightChars="0" w:firstLine="643" w:firstLineChars="200"/>
        <w:jc w:val="both"/>
        <w:textAlignment w:val="auto"/>
        <w:rPr>
          <w:rFonts w:hint="default" w:ascii="Times New Roman" w:hAnsi="Times New Roman" w:eastAsia="仿宋_GB2312" w:cs="Times New Roman"/>
          <w:color w:val="auto"/>
          <w:sz w:val="32"/>
          <w:szCs w:val="32"/>
          <w:shd w:val="clear" w:color="auto" w:fill="FFFFFF"/>
          <w:lang w:val="en-US" w:eastAsia="zh-CN"/>
        </w:rPr>
      </w:pPr>
      <w:r>
        <w:rPr>
          <w:rFonts w:hint="eastAsia" w:ascii="楷体" w:hAnsi="楷体" w:eastAsia="楷体" w:cs="楷体"/>
          <w:b/>
          <w:bCs/>
          <w:color w:val="auto"/>
          <w:sz w:val="32"/>
          <w:szCs w:val="32"/>
          <w:shd w:val="clear" w:color="auto" w:fill="FFFFFF"/>
          <w:lang w:val="en-US" w:eastAsia="zh-CN"/>
        </w:rPr>
        <w:t>5.</w:t>
      </w:r>
      <w:r>
        <w:rPr>
          <w:rFonts w:hint="eastAsia" w:ascii="Times New Roman" w:hAnsi="Times New Roman" w:eastAsia="仿宋_GB2312" w:cs="Times New Roman"/>
          <w:color w:val="auto"/>
          <w:sz w:val="32"/>
          <w:szCs w:val="32"/>
          <w:shd w:val="clear" w:color="auto" w:fill="FFFFFF"/>
          <w:lang w:val="en-US" w:eastAsia="zh-CN"/>
        </w:rPr>
        <w:t>ICP-MS，微生物鉴定，流动注射仪为县级疾控中心装配较早的单位，在技术上属于领先。</w:t>
      </w:r>
    </w:p>
    <w:p>
      <w:pPr>
        <w:keepNext w:val="0"/>
        <w:keepLines w:val="0"/>
        <w:pageBreakBefore w:val="0"/>
        <w:widowControl w:val="0"/>
        <w:kinsoku/>
        <w:wordWrap/>
        <w:overflowPunct/>
        <w:topLinePunct w:val="0"/>
        <w:autoSpaceDE/>
        <w:autoSpaceDN/>
        <w:bidi w:val="0"/>
        <w:spacing w:line="600" w:lineRule="exact"/>
        <w:ind w:leftChars="0" w:firstLine="640" w:firstLineChars="200"/>
        <w:textAlignment w:val="auto"/>
        <w:rPr>
          <w:rFonts w:hint="eastAsia" w:ascii="黑体" w:eastAsia="黑体"/>
          <w:sz w:val="32"/>
          <w:szCs w:val="32"/>
          <w:lang w:val="en-US" w:eastAsia="zh-CN"/>
        </w:rPr>
      </w:pPr>
      <w:r>
        <w:rPr>
          <w:rFonts w:hint="eastAsia" w:ascii="黑体" w:eastAsia="黑体"/>
          <w:sz w:val="32"/>
          <w:szCs w:val="32"/>
          <w:lang w:val="en-US" w:eastAsia="zh-CN"/>
        </w:rPr>
        <w:t>二、改进措施</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一是对绩效评价工作“谁使用、谁评价”的原则执行不够到位。二是项目配套资金没及时到位，导致有些工作无法开展。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今后我中心将更加细致地制定绩效目标，进一步严肃财经纪律，让项目资金按计划落实到实处。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eastAsia="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default" w:ascii="仿宋_GB2312" w:eastAsia="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default" w:ascii="仿宋_GB2312" w:eastAsia="仿宋_GB2312"/>
          <w:sz w:val="32"/>
          <w:szCs w:val="32"/>
          <w:lang w:val="en-US" w:eastAsia="zh-CN"/>
        </w:rPr>
      </w:pPr>
    </w:p>
    <w:p>
      <w:pPr>
        <w:wordWrap w:val="0"/>
        <w:spacing w:line="580" w:lineRule="exact"/>
        <w:jc w:val="both"/>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                              华容县疾病预防控制中心</w:t>
      </w:r>
    </w:p>
    <w:p>
      <w:pPr>
        <w:wordWrap w:val="0"/>
        <w:spacing w:line="580" w:lineRule="exact"/>
        <w:jc w:val="both"/>
        <w:rPr>
          <w:rFonts w:hint="eastAsia"/>
        </w:rPr>
      </w:pPr>
      <w:r>
        <w:rPr>
          <w:rFonts w:hint="eastAsia" w:ascii="仿宋_GB2312" w:eastAsia="仿宋_GB2312"/>
          <w:sz w:val="32"/>
          <w:szCs w:val="32"/>
          <w:lang w:val="en-US" w:eastAsia="zh-CN"/>
        </w:rPr>
        <w:t xml:space="preserve">                                 2023年7月6日</w:t>
      </w:r>
      <w:r>
        <w:rPr>
          <w:rFonts w:hint="eastAsia" w:ascii="仿宋_GB2312" w:eastAsia="仿宋_GB2312"/>
          <w:sz w:val="32"/>
          <w:szCs w:val="32"/>
        </w:rPr>
        <w:t xml:space="preserve"> </w:t>
      </w:r>
    </w:p>
    <w:p>
      <w:pPr>
        <w:spacing w:before="187" w:beforeLines="60" w:after="187" w:afterLines="60" w:line="560" w:lineRule="exact"/>
        <w:jc w:val="center"/>
        <w:rPr>
          <w:rFonts w:hint="eastAsia" w:ascii="方正小标宋简体" w:eastAsia="方正小标宋简体"/>
          <w:sz w:val="38"/>
          <w:szCs w:val="38"/>
        </w:rPr>
      </w:pPr>
    </w:p>
    <w:p>
      <w:pPr>
        <w:rPr>
          <w:rFonts w:hint="eastAsia" w:ascii="新宋体" w:hAnsi="新宋体" w:eastAsia="新宋体" w:cs="新宋体"/>
          <w:sz w:val="21"/>
          <w:szCs w:val="21"/>
          <w:lang w:val="en-US" w:eastAsia="zh-CN"/>
        </w:rPr>
      </w:pPr>
    </w:p>
    <w:p>
      <w:pPr>
        <w:pStyle w:val="2"/>
        <w:rPr>
          <w:rFonts w:hint="eastAsia" w:ascii="新宋体" w:hAnsi="新宋体" w:eastAsia="新宋体" w:cs="新宋体"/>
          <w:sz w:val="21"/>
          <w:szCs w:val="21"/>
          <w:lang w:val="en-US" w:eastAsia="zh-CN"/>
        </w:rPr>
      </w:pPr>
    </w:p>
    <w:p>
      <w:pPr>
        <w:rPr>
          <w:rFonts w:hint="eastAsia"/>
          <w:lang w:val="en-US" w:eastAsia="zh-CN"/>
        </w:rPr>
        <w:sectPr>
          <w:footerReference r:id="rId6" w:type="default"/>
          <w:pgSz w:w="11906" w:h="16838"/>
          <w:pgMar w:top="1701" w:right="1417" w:bottom="1417" w:left="1417" w:header="851" w:footer="992" w:gutter="0"/>
          <w:pgBorders>
            <w:top w:val="none" w:sz="0" w:space="0"/>
            <w:left w:val="none" w:sz="0" w:space="0"/>
            <w:bottom w:val="none" w:sz="0" w:space="0"/>
            <w:right w:val="none" w:sz="0" w:space="0"/>
          </w:pgBorders>
          <w:pgNumType w:start="1"/>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8"/>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基本公卫服务项目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华容县卫生健康局</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华容县疾病预防控制中心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65.5</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65.5</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65.5</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65.5</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253"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手足口监测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每月采样</w:t>
            </w:r>
            <w:r>
              <w:rPr>
                <w:rFonts w:hint="eastAsia" w:ascii="Times New Roman" w:hAnsi="Times New Roman" w:eastAsia="仿宋_GB2312" w:cs="Times New Roman"/>
                <w:color w:val="000000"/>
                <w:sz w:val="20"/>
                <w:szCs w:val="20"/>
                <w:lang w:val="en-US" w:eastAsia="zh-CN"/>
              </w:rPr>
              <w:t>5例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霍乱监测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5-10月采样</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狂犬病监测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每年采样</w:t>
            </w:r>
            <w:r>
              <w:rPr>
                <w:rFonts w:hint="eastAsia" w:ascii="Times New Roman" w:hAnsi="Times New Roman" w:eastAsia="仿宋_GB2312" w:cs="Times New Roman"/>
                <w:color w:val="000000"/>
                <w:sz w:val="20"/>
                <w:szCs w:val="20"/>
                <w:lang w:val="en-US" w:eastAsia="zh-CN"/>
              </w:rPr>
              <w:t>20份</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诺如、发热伴、布病等调查采样</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疫情发生时及时处置疫情</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企业监测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23家</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23家</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top"/>
          </w:tcPr>
          <w:p>
            <w:pPr>
              <w:keepNext w:val="0"/>
              <w:keepLines w:val="0"/>
              <w:suppressLineNumbers w:val="0"/>
              <w:spacing w:before="0" w:beforeAutospacing="0" w:after="0" w:afterAutospacing="0" w:line="195" w:lineRule="exact"/>
              <w:ind w:left="0" w:right="0"/>
              <w:rPr>
                <w:rFonts w:hint="eastAsia" w:ascii="Times New Roman" w:hAnsi="Times New Roman" w:eastAsia="宋体" w:cs="Times New Roman"/>
                <w:kern w:val="2"/>
                <w:sz w:val="16"/>
                <w:szCs w:val="24"/>
                <w:lang w:val="en-US" w:eastAsia="zh-CN" w:bidi="ar-SA"/>
              </w:rPr>
            </w:pPr>
            <w:r>
              <w:rPr>
                <w:rFonts w:hint="eastAsia" w:asciiTheme="minorEastAsia" w:hAnsiTheme="minorEastAsia" w:eastAsiaTheme="minorEastAsia"/>
                <w:sz w:val="16"/>
              </w:rPr>
              <w:t>水质监测采样</w:t>
            </w:r>
          </w:p>
        </w:tc>
        <w:tc>
          <w:tcPr>
            <w:tcW w:w="1134" w:type="dxa"/>
            <w:tcBorders>
              <w:tl2br w:val="nil"/>
              <w:tr2bl w:val="nil"/>
            </w:tcBorders>
            <w:noWrap w:val="0"/>
            <w:vAlign w:val="top"/>
          </w:tcPr>
          <w:p>
            <w:pPr>
              <w:keepNext w:val="0"/>
              <w:keepLines w:val="0"/>
              <w:suppressLineNumbers w:val="0"/>
              <w:spacing w:before="0" w:beforeAutospacing="0" w:after="0" w:afterAutospacing="0" w:line="195" w:lineRule="exact"/>
              <w:ind w:left="0" w:right="0"/>
              <w:rPr>
                <w:rFonts w:hint="eastAsia" w:ascii="Times New Roman" w:hAnsi="Times New Roman" w:cs="Times New Roman" w:eastAsiaTheme="minorEastAsia"/>
                <w:kern w:val="2"/>
                <w:sz w:val="16"/>
                <w:szCs w:val="24"/>
                <w:lang w:val="en-US" w:eastAsia="zh-CN" w:bidi="ar-SA"/>
              </w:rPr>
            </w:pPr>
            <w:r>
              <w:rPr>
                <w:rFonts w:hint="eastAsia" w:eastAsiaTheme="minorEastAsia"/>
                <w:sz w:val="16"/>
              </w:rPr>
              <w:t>184份</w:t>
            </w:r>
          </w:p>
        </w:tc>
        <w:tc>
          <w:tcPr>
            <w:tcW w:w="1134" w:type="dxa"/>
            <w:tcBorders>
              <w:tl2br w:val="nil"/>
              <w:tr2bl w:val="nil"/>
            </w:tcBorders>
            <w:noWrap w:val="0"/>
            <w:vAlign w:val="top"/>
          </w:tcPr>
          <w:p>
            <w:pPr>
              <w:keepNext w:val="0"/>
              <w:keepLines w:val="0"/>
              <w:suppressLineNumbers w:val="0"/>
              <w:spacing w:before="0" w:beforeAutospacing="0" w:after="0" w:afterAutospacing="0" w:line="195" w:lineRule="exact"/>
              <w:ind w:left="0" w:right="0"/>
              <w:rPr>
                <w:rFonts w:hint="eastAsia" w:ascii="Times New Roman" w:hAnsi="Times New Roman" w:cs="Times New Roman" w:eastAsiaTheme="minorEastAsia"/>
                <w:kern w:val="2"/>
                <w:sz w:val="16"/>
                <w:szCs w:val="24"/>
                <w:lang w:val="en-US" w:eastAsia="zh-CN" w:bidi="ar-SA"/>
              </w:rPr>
            </w:pPr>
            <w:r>
              <w:rPr>
                <w:rFonts w:hint="eastAsia" w:eastAsiaTheme="minorEastAsia"/>
                <w:sz w:val="16"/>
              </w:rPr>
              <w:t>100%</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top"/>
          </w:tcPr>
          <w:p>
            <w:pPr>
              <w:keepNext w:val="0"/>
              <w:keepLines w:val="0"/>
              <w:suppressLineNumbers w:val="0"/>
              <w:spacing w:before="0" w:beforeAutospacing="0" w:after="0" w:afterAutospacing="0" w:line="205" w:lineRule="exact"/>
              <w:ind w:left="0" w:right="0"/>
              <w:rPr>
                <w:rFonts w:hint="eastAsia" w:ascii="Times New Roman" w:hAnsi="Times New Roman" w:cs="Times New Roman" w:eastAsiaTheme="minorEastAsia"/>
                <w:kern w:val="2"/>
                <w:sz w:val="17"/>
                <w:szCs w:val="24"/>
                <w:lang w:val="en-US" w:eastAsia="zh-CN" w:bidi="ar-SA"/>
              </w:rPr>
            </w:pPr>
            <w:r>
              <w:rPr>
                <w:rFonts w:hint="eastAsia" w:eastAsiaTheme="minorEastAsia"/>
                <w:sz w:val="17"/>
              </w:rPr>
              <w:t>碘缺乏病采样</w:t>
            </w:r>
          </w:p>
        </w:tc>
        <w:tc>
          <w:tcPr>
            <w:tcW w:w="1134" w:type="dxa"/>
            <w:tcBorders>
              <w:tl2br w:val="nil"/>
              <w:tr2bl w:val="nil"/>
            </w:tcBorders>
            <w:noWrap w:val="0"/>
            <w:vAlign w:val="top"/>
          </w:tcPr>
          <w:p>
            <w:pPr>
              <w:keepNext w:val="0"/>
              <w:keepLines w:val="0"/>
              <w:suppressLineNumbers w:val="0"/>
              <w:spacing w:before="0" w:beforeAutospacing="0" w:after="0" w:afterAutospacing="0" w:line="205" w:lineRule="exact"/>
              <w:ind w:left="0" w:right="0"/>
              <w:rPr>
                <w:rFonts w:hint="eastAsia" w:ascii="Times New Roman" w:hAnsi="Times New Roman" w:eastAsia="宋体" w:cs="Times New Roman"/>
                <w:kern w:val="2"/>
                <w:sz w:val="17"/>
                <w:szCs w:val="24"/>
                <w:lang w:val="en-US" w:eastAsia="zh-CN" w:bidi="ar-SA"/>
              </w:rPr>
            </w:pPr>
            <w:r>
              <w:rPr>
                <w:rFonts w:hint="eastAsia" w:eastAsiaTheme="minorEastAsia"/>
                <w:sz w:val="17"/>
              </w:rPr>
              <w:t>尿碘300份 盐碘300份</w:t>
            </w:r>
          </w:p>
        </w:tc>
        <w:tc>
          <w:tcPr>
            <w:tcW w:w="1134" w:type="dxa"/>
            <w:tcBorders>
              <w:tl2br w:val="nil"/>
              <w:tr2bl w:val="nil"/>
            </w:tcBorders>
            <w:noWrap w:val="0"/>
            <w:vAlign w:val="top"/>
          </w:tcPr>
          <w:p>
            <w:pPr>
              <w:keepNext w:val="0"/>
              <w:keepLines w:val="0"/>
              <w:suppressLineNumbers w:val="0"/>
              <w:spacing w:before="0" w:beforeAutospacing="0" w:after="0" w:afterAutospacing="0" w:line="205" w:lineRule="exact"/>
              <w:ind w:left="0" w:right="0"/>
              <w:rPr>
                <w:rFonts w:hint="eastAsia" w:ascii="Times New Roman" w:hAnsi="Times New Roman" w:cs="Times New Roman" w:eastAsiaTheme="minorEastAsia"/>
                <w:kern w:val="2"/>
                <w:sz w:val="17"/>
                <w:szCs w:val="24"/>
                <w:lang w:val="en-US" w:eastAsia="zh-CN" w:bidi="ar-SA"/>
              </w:rPr>
            </w:pPr>
            <w:r>
              <w:rPr>
                <w:rFonts w:hint="eastAsia" w:eastAsiaTheme="minorEastAsia"/>
                <w:sz w:val="17"/>
              </w:rPr>
              <w:t>100%</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top"/>
          </w:tcPr>
          <w:p>
            <w:pPr>
              <w:keepNext w:val="0"/>
              <w:keepLines w:val="0"/>
              <w:suppressLineNumbers w:val="0"/>
              <w:spacing w:before="0" w:beforeAutospacing="0" w:after="0" w:afterAutospacing="0" w:line="195" w:lineRule="exact"/>
              <w:ind w:left="0" w:leftChars="0" w:right="0" w:rightChars="0"/>
              <w:rPr>
                <w:rFonts w:hint="eastAsia" w:ascii="Times New Roman" w:hAnsi="Times New Roman" w:cs="Times New Roman" w:eastAsiaTheme="minorEastAsia"/>
                <w:kern w:val="2"/>
                <w:sz w:val="16"/>
                <w:szCs w:val="24"/>
                <w:lang w:val="en-US" w:eastAsia="zh-CN" w:bidi="ar-SA"/>
              </w:rPr>
            </w:pPr>
            <w:r>
              <w:rPr>
                <w:rFonts w:hint="eastAsia" w:eastAsiaTheme="minorEastAsia"/>
                <w:sz w:val="16"/>
              </w:rPr>
              <w:t>食品安全风险监测采样</w:t>
            </w:r>
          </w:p>
        </w:tc>
        <w:tc>
          <w:tcPr>
            <w:tcW w:w="1134" w:type="dxa"/>
            <w:tcBorders>
              <w:tl2br w:val="nil"/>
              <w:tr2bl w:val="nil"/>
            </w:tcBorders>
            <w:noWrap w:val="0"/>
            <w:vAlign w:val="top"/>
          </w:tcPr>
          <w:p>
            <w:pPr>
              <w:keepNext w:val="0"/>
              <w:keepLines w:val="0"/>
              <w:suppressLineNumbers w:val="0"/>
              <w:spacing w:before="0" w:beforeAutospacing="0" w:after="0" w:afterAutospacing="0" w:line="195" w:lineRule="exact"/>
              <w:ind w:left="0" w:leftChars="0" w:right="0" w:rightChars="0"/>
              <w:rPr>
                <w:rFonts w:hint="eastAsia" w:ascii="Times New Roman" w:hAnsi="Times New Roman" w:eastAsia="宋体" w:cs="Times New Roman"/>
                <w:kern w:val="2"/>
                <w:sz w:val="16"/>
                <w:szCs w:val="24"/>
                <w:lang w:val="en-US" w:eastAsia="zh-CN" w:bidi="ar-SA"/>
              </w:rPr>
            </w:pPr>
            <w:r>
              <w:rPr>
                <w:rFonts w:hint="eastAsia" w:eastAsiaTheme="minorEastAsia"/>
                <w:sz w:val="16"/>
              </w:rPr>
              <w:t>食品</w:t>
            </w:r>
            <w:r>
              <w:rPr>
                <w:rFonts w:hint="eastAsia" w:eastAsiaTheme="minorEastAsia"/>
                <w:sz w:val="16"/>
                <w:lang w:val="en-US" w:eastAsia="zh-CN"/>
              </w:rPr>
              <w:t>60</w:t>
            </w:r>
            <w:r>
              <w:rPr>
                <w:rFonts w:hint="eastAsia" w:eastAsiaTheme="minorEastAsia"/>
                <w:sz w:val="16"/>
              </w:rPr>
              <w:t>份</w:t>
            </w:r>
          </w:p>
        </w:tc>
        <w:tc>
          <w:tcPr>
            <w:tcW w:w="1134" w:type="dxa"/>
            <w:tcBorders>
              <w:tl2br w:val="nil"/>
              <w:tr2bl w:val="nil"/>
            </w:tcBorders>
            <w:noWrap w:val="0"/>
            <w:vAlign w:val="top"/>
          </w:tcPr>
          <w:p>
            <w:pPr>
              <w:keepNext w:val="0"/>
              <w:keepLines w:val="0"/>
              <w:suppressLineNumbers w:val="0"/>
              <w:spacing w:before="0" w:beforeAutospacing="0" w:after="0" w:afterAutospacing="0" w:line="195" w:lineRule="exact"/>
              <w:ind w:left="0" w:leftChars="0" w:right="0" w:rightChars="0"/>
              <w:rPr>
                <w:rFonts w:hint="eastAsia" w:ascii="Times New Roman" w:hAnsi="Times New Roman" w:cs="Times New Roman" w:eastAsiaTheme="minorEastAsia"/>
                <w:kern w:val="2"/>
                <w:sz w:val="16"/>
                <w:szCs w:val="24"/>
                <w:lang w:val="en-US" w:eastAsia="zh-CN" w:bidi="ar-SA"/>
              </w:rPr>
            </w:pPr>
            <w:r>
              <w:rPr>
                <w:rFonts w:hint="eastAsia" w:eastAsiaTheme="minorEastAsia"/>
                <w:sz w:val="16"/>
              </w:rPr>
              <w:t>100%</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学生常见病现场调查人数</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1840</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2287</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影响因素问卷调查人数</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1200</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1493</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手足口监测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及时完成调查采样和送检</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3</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3</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霍乱监测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及时采样送检</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3</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3</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狂犬病监测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及时完成调查采样和送检</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3</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诺如、发热伴、布病等调查采样</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及时处置疫情</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重点职业病的监测，结果上报监测系统。并协助监测企业进行危害因素的申报。</w:t>
            </w:r>
          </w:p>
        </w:tc>
        <w:tc>
          <w:tcPr>
            <w:tcW w:w="113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eastAsia="zh-CN"/>
              </w:rPr>
              <w:t>完成对</w:t>
            </w:r>
            <w:r>
              <w:rPr>
                <w:rFonts w:hint="eastAsia" w:ascii="Times New Roman" w:hAnsi="Times New Roman" w:eastAsia="仿宋_GB2312" w:cs="Times New Roman"/>
                <w:color w:val="000000"/>
                <w:sz w:val="20"/>
                <w:szCs w:val="20"/>
                <w:lang w:val="en-US" w:eastAsia="zh-CN"/>
              </w:rPr>
              <w:t>23家重点职业病的监测，结果上报监测系统。并协助23家企业进行危害因素的申报。</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top"/>
          </w:tcPr>
          <w:p>
            <w:pPr>
              <w:keepNext w:val="0"/>
              <w:keepLines w:val="0"/>
              <w:suppressLineNumbers w:val="0"/>
              <w:spacing w:before="0" w:beforeAutospacing="0" w:after="0" w:afterAutospacing="0" w:line="205" w:lineRule="exact"/>
              <w:ind w:left="0" w:leftChars="0" w:right="0" w:rightChars="0"/>
              <w:rPr>
                <w:rFonts w:hint="eastAsia" w:ascii="Times New Roman" w:hAnsi="Times New Roman" w:cs="Times New Roman" w:eastAsiaTheme="minorEastAsia"/>
                <w:kern w:val="2"/>
                <w:sz w:val="17"/>
                <w:szCs w:val="24"/>
                <w:lang w:val="en-US" w:eastAsia="zh-CN" w:bidi="ar-SA"/>
              </w:rPr>
            </w:pPr>
            <w:r>
              <w:rPr>
                <w:rFonts w:hint="eastAsia" w:eastAsiaTheme="minorEastAsia"/>
                <w:sz w:val="17"/>
              </w:rPr>
              <w:t>乡镇水厂检测覆盖率</w:t>
            </w:r>
          </w:p>
        </w:tc>
        <w:tc>
          <w:tcPr>
            <w:tcW w:w="1134" w:type="dxa"/>
            <w:tcBorders>
              <w:tl2br w:val="nil"/>
              <w:tr2bl w:val="nil"/>
            </w:tcBorders>
            <w:noWrap w:val="0"/>
            <w:vAlign w:val="top"/>
          </w:tcPr>
          <w:p>
            <w:pPr>
              <w:keepNext w:val="0"/>
              <w:keepLines w:val="0"/>
              <w:suppressLineNumbers w:val="0"/>
              <w:spacing w:before="0" w:beforeAutospacing="0" w:after="0" w:afterAutospacing="0" w:line="205" w:lineRule="exact"/>
              <w:ind w:left="0" w:leftChars="0" w:right="0" w:rightChars="0"/>
              <w:rPr>
                <w:rFonts w:hint="eastAsia" w:ascii="Times New Roman" w:hAnsi="Times New Roman" w:cs="Times New Roman" w:eastAsiaTheme="minorEastAsia"/>
                <w:kern w:val="2"/>
                <w:sz w:val="17"/>
                <w:szCs w:val="24"/>
                <w:lang w:val="en-US" w:eastAsia="zh-CN" w:bidi="ar-SA"/>
              </w:rPr>
            </w:pPr>
            <w:r>
              <w:rPr>
                <w:rFonts w:hint="eastAsia" w:eastAsiaTheme="minorEastAsia"/>
                <w:sz w:val="17"/>
              </w:rPr>
              <w:t>100%</w:t>
            </w:r>
          </w:p>
        </w:tc>
        <w:tc>
          <w:tcPr>
            <w:tcW w:w="1134" w:type="dxa"/>
            <w:tcBorders>
              <w:tl2br w:val="nil"/>
              <w:tr2bl w:val="nil"/>
            </w:tcBorders>
            <w:noWrap w:val="0"/>
            <w:vAlign w:val="top"/>
          </w:tcPr>
          <w:p>
            <w:pPr>
              <w:keepNext w:val="0"/>
              <w:keepLines w:val="0"/>
              <w:suppressLineNumbers w:val="0"/>
              <w:spacing w:before="0" w:beforeAutospacing="0" w:after="0" w:afterAutospacing="0" w:line="205" w:lineRule="exact"/>
              <w:ind w:left="0" w:leftChars="0" w:right="0" w:rightChars="0"/>
              <w:rPr>
                <w:rFonts w:hint="eastAsia" w:ascii="Times New Roman" w:hAnsi="Times New Roman" w:cs="Times New Roman" w:eastAsiaTheme="minorEastAsia"/>
                <w:kern w:val="2"/>
                <w:sz w:val="17"/>
                <w:szCs w:val="24"/>
                <w:lang w:val="en-US" w:eastAsia="zh-CN" w:bidi="ar-SA"/>
              </w:rPr>
            </w:pPr>
            <w:r>
              <w:rPr>
                <w:rFonts w:hint="eastAsia" w:eastAsiaTheme="minorEastAsia"/>
                <w:sz w:val="17"/>
              </w:rPr>
              <w:t>100%</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现场质量控制目标</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现场复核人数不少于</w:t>
            </w:r>
            <w:r>
              <w:rPr>
                <w:rFonts w:hint="eastAsia" w:eastAsia="仿宋_GB2312" w:cs="Times New Roman"/>
                <w:color w:val="000000"/>
                <w:sz w:val="20"/>
                <w:szCs w:val="20"/>
                <w:lang w:val="en-US" w:eastAsia="zh-CN"/>
              </w:rPr>
              <w:t>5%</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现场复核人数</w:t>
            </w:r>
            <w:r>
              <w:rPr>
                <w:rFonts w:hint="eastAsia" w:eastAsia="仿宋_GB2312" w:cs="Times New Roman"/>
                <w:color w:val="000000"/>
                <w:sz w:val="20"/>
                <w:szCs w:val="20"/>
                <w:lang w:val="en-US" w:eastAsia="zh-CN"/>
              </w:rPr>
              <w:t>5%</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手足口监测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年底完成</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霍乱监测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11月之前完成</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狂犬病监测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年底之前完成</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诺如、发热伴、布病等调查采样</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发生时及时处置</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完成职业病监测数据上报</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val="en-US" w:eastAsia="zh-CN"/>
              </w:rPr>
              <w:t>2022年11月20日之前完成</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已完成</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基本公卫</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65.5</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65.5</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手足口监测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及时掌握病毒分型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较往年无增长</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霍乱监测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早发现，早预防</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环境标本无阳性</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狂犬病监测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进行犬咬伤宣教</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无病例报告</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诺如、发热伴、布病等调查采样</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减少疫情扩散</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病例未增加</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手足口监测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减少传播</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无聚集疫情</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霍乱监测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早发现，早预防</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无病例报告</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狂犬病监测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加强宣教工作</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无病例报告</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eastAsia="zh-CN"/>
              </w:rPr>
              <w:t>诺如、发热伴、布病等调查采样</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eastAsia="zh-CN"/>
              </w:rPr>
              <w:t>及时阻止扩散</w:t>
            </w: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无扩散</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top"/>
          </w:tcPr>
          <w:p>
            <w:pPr>
              <w:keepNext w:val="0"/>
              <w:keepLines w:val="0"/>
              <w:suppressLineNumbers w:val="0"/>
              <w:spacing w:before="0" w:beforeAutospacing="0" w:after="0" w:afterAutospacing="0" w:line="205" w:lineRule="exact"/>
              <w:ind w:left="0" w:right="0"/>
              <w:rPr>
                <w:rFonts w:hint="eastAsia" w:ascii="Times New Roman" w:hAnsi="Times New Roman" w:eastAsia="宋体" w:cs="Times New Roman"/>
                <w:kern w:val="2"/>
                <w:sz w:val="17"/>
                <w:szCs w:val="24"/>
                <w:lang w:val="en-US" w:eastAsia="zh-CN" w:bidi="ar-SA"/>
              </w:rPr>
            </w:pPr>
            <w:r>
              <w:rPr>
                <w:rFonts w:hint="eastAsia" w:ascii="Times New Roman" w:hAnsi="Times New Roman" w:eastAsia="宋体" w:cs="Times New Roman"/>
                <w:kern w:val="2"/>
                <w:sz w:val="17"/>
                <w:szCs w:val="24"/>
                <w:lang w:val="en-US" w:eastAsia="zh-CN" w:bidi="ar-SA"/>
              </w:rPr>
              <w:t>掌握全</w:t>
            </w:r>
            <w:r>
              <w:rPr>
                <w:rFonts w:hint="eastAsia" w:cs="Times New Roman"/>
                <w:kern w:val="2"/>
                <w:sz w:val="17"/>
                <w:szCs w:val="24"/>
                <w:lang w:val="en-US" w:eastAsia="zh-CN" w:bidi="ar-SA"/>
              </w:rPr>
              <w:t>县</w:t>
            </w:r>
            <w:r>
              <w:rPr>
                <w:rFonts w:hint="eastAsia" w:ascii="Times New Roman" w:hAnsi="Times New Roman" w:eastAsia="宋体" w:cs="Times New Roman"/>
                <w:kern w:val="2"/>
                <w:sz w:val="17"/>
                <w:szCs w:val="24"/>
                <w:lang w:val="en-US" w:eastAsia="zh-CN" w:bidi="ar-SA"/>
              </w:rPr>
              <w:t>供水水质卫生状况及其变化趋势</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水质常规监测</w:t>
            </w:r>
            <w:r>
              <w:rPr>
                <w:rFonts w:hint="eastAsia" w:eastAsia="仿宋_GB2312" w:cs="Times New Roman"/>
                <w:color w:val="000000"/>
                <w:sz w:val="20"/>
                <w:szCs w:val="20"/>
                <w:lang w:val="en-US" w:eastAsia="zh-CN"/>
              </w:rPr>
              <w:t>184份</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手足口监测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无聚集疫情</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有效控制</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霍乱监测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无霍乱报告</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及时监测</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狂犬病监测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无病例报告</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按时监测</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诺如、发热伴、布病等调查采样</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无疫情扩散</w:t>
            </w:r>
            <w:r>
              <w:rPr>
                <w:rFonts w:hint="default" w:ascii="Times New Roman" w:hAnsi="Times New Roman" w:eastAsia="仿宋_GB2312" w:cs="Times New Roman"/>
                <w:color w:val="000000"/>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及时处置</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手足口监测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及时分型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均为常见病毒</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霍乱监测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及早发生环境存在的病菌</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无阳性样本</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狂犬病监测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了解带毒犬的情况</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无阳性样本</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eastAsia="zh-CN"/>
              </w:rPr>
              <w:t>诺如、发热伴、布病等调查采样</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减少疫情扩散</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无疫情扩散</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heme="minorEastAsia" w:hAnsiTheme="minorEastAsia" w:eastAsiaTheme="minorEastAsia" w:cstheme="minorEastAsia"/>
                <w:sz w:val="15"/>
                <w:szCs w:val="15"/>
                <w:lang w:eastAsia="zh-CN"/>
              </w:rPr>
              <w:t>降低学生近视新发率</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olor w:val="000000"/>
                <w:kern w:val="0"/>
                <w:sz w:val="20"/>
                <w:szCs w:val="20"/>
                <w:lang w:val="en-US" w:eastAsia="zh-CN"/>
              </w:rPr>
              <w:t>2019年</w:t>
            </w:r>
            <w:r>
              <w:rPr>
                <w:rFonts w:hint="eastAsia" w:eastAsia="仿宋_GB2312"/>
                <w:color w:val="000000"/>
                <w:kern w:val="0"/>
                <w:sz w:val="20"/>
                <w:szCs w:val="20"/>
                <w:lang w:eastAsia="zh-CN"/>
              </w:rPr>
              <w:t>到</w:t>
            </w:r>
            <w:r>
              <w:rPr>
                <w:rFonts w:hint="eastAsia" w:eastAsia="仿宋_GB2312"/>
                <w:color w:val="000000"/>
                <w:kern w:val="0"/>
                <w:sz w:val="20"/>
                <w:szCs w:val="20"/>
                <w:lang w:val="en-US" w:eastAsia="zh-CN"/>
              </w:rPr>
              <w:t>2030年，</w:t>
            </w:r>
            <w:r>
              <w:rPr>
                <w:rFonts w:hint="eastAsia" w:eastAsia="仿宋_GB2312"/>
                <w:color w:val="000000"/>
                <w:kern w:val="0"/>
                <w:sz w:val="20"/>
                <w:szCs w:val="20"/>
                <w:lang w:eastAsia="zh-CN"/>
              </w:rPr>
              <w:t>实现新发近视率明显下降</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2022年学生近视较2021年下降1.65%</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手足口监测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满意度</w:t>
            </w:r>
            <w:r>
              <w:rPr>
                <w:rFonts w:hint="eastAsia" w:ascii="Times New Roman" w:hAnsi="Times New Roman" w:eastAsia="仿宋_GB2312" w:cs="Times New Roman"/>
                <w:color w:val="000000"/>
                <w:sz w:val="20"/>
                <w:szCs w:val="20"/>
                <w:lang w:val="en-US" w:eastAsia="zh-CN"/>
              </w:rPr>
              <w:t>100%</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满意度</w:t>
            </w:r>
            <w:r>
              <w:rPr>
                <w:rFonts w:hint="eastAsia" w:ascii="Times New Roman" w:hAnsi="Times New Roman" w:eastAsia="仿宋_GB2312" w:cs="Times New Roman"/>
                <w:color w:val="000000"/>
                <w:sz w:val="20"/>
                <w:szCs w:val="20"/>
                <w:lang w:val="en-US" w:eastAsia="zh-CN"/>
              </w:rPr>
              <w:t>100%</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霍乱监测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满意度</w:t>
            </w:r>
            <w:r>
              <w:rPr>
                <w:rFonts w:hint="eastAsia" w:ascii="Times New Roman" w:hAnsi="Times New Roman" w:eastAsia="仿宋_GB2312" w:cs="Times New Roman"/>
                <w:color w:val="000000"/>
                <w:sz w:val="20"/>
                <w:szCs w:val="20"/>
                <w:lang w:val="en-US" w:eastAsia="zh-CN"/>
              </w:rPr>
              <w:t>100%</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满意度</w:t>
            </w:r>
            <w:r>
              <w:rPr>
                <w:rFonts w:hint="eastAsia" w:ascii="Times New Roman" w:hAnsi="Times New Roman" w:eastAsia="仿宋_GB2312" w:cs="Times New Roman"/>
                <w:color w:val="000000"/>
                <w:sz w:val="20"/>
                <w:szCs w:val="20"/>
                <w:lang w:val="en-US" w:eastAsia="zh-CN"/>
              </w:rPr>
              <w:t>100%</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狂犬病监测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满意度</w:t>
            </w:r>
            <w:r>
              <w:rPr>
                <w:rFonts w:hint="eastAsia" w:ascii="Times New Roman" w:hAnsi="Times New Roman" w:eastAsia="仿宋_GB2312" w:cs="Times New Roman"/>
                <w:color w:val="000000"/>
                <w:sz w:val="20"/>
                <w:szCs w:val="20"/>
                <w:lang w:val="en-US" w:eastAsia="zh-CN"/>
              </w:rPr>
              <w:t>100%</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满意度</w:t>
            </w:r>
            <w:r>
              <w:rPr>
                <w:rFonts w:hint="eastAsia" w:ascii="Times New Roman" w:hAnsi="Times New Roman" w:eastAsia="仿宋_GB2312" w:cs="Times New Roman"/>
                <w:color w:val="000000"/>
                <w:sz w:val="20"/>
                <w:szCs w:val="20"/>
                <w:lang w:val="en-US" w:eastAsia="zh-CN"/>
              </w:rPr>
              <w:t>98%</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eastAsia="zh-CN"/>
              </w:rPr>
              <w:t>诺如、发热伴、布病等调查采样</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eastAsia="zh-CN"/>
              </w:rPr>
              <w:t>满意度</w:t>
            </w:r>
            <w:r>
              <w:rPr>
                <w:rFonts w:hint="eastAsia" w:ascii="Times New Roman" w:hAnsi="Times New Roman" w:eastAsia="仿宋_GB2312" w:cs="Times New Roman"/>
                <w:color w:val="000000"/>
                <w:sz w:val="20"/>
                <w:szCs w:val="20"/>
                <w:lang w:val="en-US" w:eastAsia="zh-CN"/>
              </w:rPr>
              <w:t>100%</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eastAsia="zh-CN"/>
              </w:rPr>
              <w:t>满意度</w:t>
            </w:r>
            <w:r>
              <w:rPr>
                <w:rFonts w:hint="eastAsia" w:ascii="Times New Roman" w:hAnsi="Times New Roman" w:eastAsia="仿宋_GB2312" w:cs="Times New Roman"/>
                <w:color w:val="000000"/>
                <w:sz w:val="20"/>
                <w:szCs w:val="20"/>
                <w:lang w:val="en-US" w:eastAsia="zh-CN"/>
              </w:rPr>
              <w:t>98%</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l2br w:val="nil"/>
              <w:tr2bl w:val="nil"/>
            </w:tcBorders>
            <w:noWrap w:val="0"/>
            <w:vAlign w:val="top"/>
          </w:tcPr>
          <w:p>
            <w:pPr>
              <w:keepNext w:val="0"/>
              <w:keepLines w:val="0"/>
              <w:suppressLineNumbers w:val="0"/>
              <w:spacing w:before="0" w:beforeAutospacing="0" w:after="0" w:afterAutospacing="0" w:line="185" w:lineRule="exact"/>
              <w:ind w:left="0" w:right="0"/>
              <w:rPr>
                <w:rFonts w:hint="default" w:ascii="Times New Roman" w:hAnsi="Times New Roman" w:cs="Times New Roman" w:eastAsiaTheme="minorEastAsia"/>
                <w:kern w:val="2"/>
                <w:sz w:val="16"/>
                <w:szCs w:val="24"/>
                <w:lang w:val="en-US" w:eastAsia="zh-CN" w:bidi="ar-SA"/>
              </w:rPr>
            </w:pPr>
          </w:p>
        </w:tc>
        <w:tc>
          <w:tcPr>
            <w:tcW w:w="1134" w:type="dxa"/>
            <w:tcBorders>
              <w:tl2br w:val="nil"/>
              <w:tr2bl w:val="nil"/>
            </w:tcBorders>
            <w:noWrap w:val="0"/>
            <w:vAlign w:val="top"/>
          </w:tcPr>
          <w:p>
            <w:pPr>
              <w:keepNext w:val="0"/>
              <w:keepLines w:val="0"/>
              <w:suppressLineNumbers w:val="0"/>
              <w:spacing w:before="0" w:beforeAutospacing="0" w:after="0" w:afterAutospacing="0" w:line="185" w:lineRule="exact"/>
              <w:ind w:left="0" w:right="0"/>
              <w:rPr>
                <w:rFonts w:hint="default" w:ascii="Times New Roman" w:hAnsi="Times New Roman" w:cs="Times New Roman" w:eastAsiaTheme="minorEastAsia"/>
                <w:kern w:val="2"/>
                <w:sz w:val="16"/>
                <w:szCs w:val="24"/>
                <w:lang w:val="en-US" w:eastAsia="zh-CN" w:bidi="ar-SA"/>
              </w:rPr>
            </w:pPr>
            <w:r>
              <w:rPr>
                <w:rFonts w:hint="eastAsia" w:eastAsiaTheme="minorEastAsia"/>
                <w:sz w:val="16"/>
              </w:rPr>
              <w:t>满意度90</w:t>
            </w:r>
          </w:p>
        </w:tc>
        <w:tc>
          <w:tcPr>
            <w:tcW w:w="1134" w:type="dxa"/>
            <w:tcBorders>
              <w:tl2br w:val="nil"/>
              <w:tr2bl w:val="nil"/>
            </w:tcBorders>
            <w:noWrap w:val="0"/>
            <w:vAlign w:val="top"/>
          </w:tcPr>
          <w:p>
            <w:pPr>
              <w:keepNext w:val="0"/>
              <w:keepLines w:val="0"/>
              <w:suppressLineNumbers w:val="0"/>
              <w:spacing w:before="0" w:beforeAutospacing="0" w:after="0" w:afterAutospacing="0" w:line="185" w:lineRule="exact"/>
              <w:ind w:left="0" w:right="0"/>
              <w:rPr>
                <w:rFonts w:hint="default" w:ascii="Times New Roman" w:hAnsi="Times New Roman" w:cs="Times New Roman" w:eastAsiaTheme="minorEastAsia"/>
                <w:kern w:val="2"/>
                <w:sz w:val="16"/>
                <w:szCs w:val="24"/>
                <w:lang w:val="en-US" w:eastAsia="zh-CN" w:bidi="ar-SA"/>
              </w:rPr>
            </w:pPr>
            <w:r>
              <w:rPr>
                <w:rFonts w:hint="eastAsia" w:eastAsiaTheme="minorEastAsia"/>
                <w:sz w:val="16"/>
              </w:rPr>
              <w:t>95%</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2" w:type="dxa"/>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9</w:t>
            </w:r>
            <w:r>
              <w:rPr>
                <w:rFonts w:hint="eastAsia" w:eastAsia="仿宋_GB2312" w:cs="Times New Roman"/>
                <w:color w:val="000000"/>
                <w:sz w:val="20"/>
                <w:szCs w:val="20"/>
                <w:lang w:val="en-US" w:eastAsia="zh-CN"/>
              </w:rPr>
              <w:t>9</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rPr>
        <w:t>备注：一个一级项目支出一张表。</w:t>
      </w:r>
      <w:r>
        <w:rPr>
          <w:rFonts w:hint="eastAsia" w:ascii="Times New Roman" w:hAnsi="Times New Roman" w:eastAsia="仿宋_GB2312" w:cs="Times New Roman"/>
          <w:color w:val="000000"/>
          <w:sz w:val="20"/>
          <w:szCs w:val="20"/>
          <w:lang w:eastAsia="zh-CN"/>
        </w:rPr>
        <w:t>如，</w:t>
      </w:r>
      <w:r>
        <w:rPr>
          <w:rFonts w:hint="eastAsia" w:ascii="Times New Roman" w:hAnsi="Times New Roman" w:eastAsia="仿宋_GB2312" w:cs="Times New Roman"/>
          <w:color w:val="000000"/>
          <w:sz w:val="20"/>
          <w:szCs w:val="20"/>
        </w:rPr>
        <w:t>业务工作经费</w:t>
      </w:r>
      <w:r>
        <w:rPr>
          <w:rFonts w:hint="eastAsia" w:ascii="Times New Roman" w:hAnsi="Times New Roman" w:eastAsia="仿宋_GB2312" w:cs="Times New Roman"/>
          <w:color w:val="000000"/>
          <w:sz w:val="20"/>
          <w:szCs w:val="20"/>
          <w:lang w:eastAsia="zh-CN"/>
        </w:rPr>
        <w:t>，</w:t>
      </w:r>
      <w:r>
        <w:rPr>
          <w:rFonts w:hint="eastAsia" w:ascii="Times New Roman" w:hAnsi="Times New Roman" w:eastAsia="仿宋_GB2312" w:cs="Times New Roman"/>
          <w:color w:val="000000"/>
          <w:sz w:val="20"/>
          <w:szCs w:val="20"/>
        </w:rPr>
        <w:t>运行维护经费</w:t>
      </w:r>
      <w:r>
        <w:rPr>
          <w:rFonts w:hint="eastAsia" w:ascii="Times New Roman" w:hAnsi="Times New Roman" w:eastAsia="仿宋_GB2312" w:cs="Times New Roman"/>
          <w:color w:val="000000"/>
          <w:sz w:val="20"/>
          <w:szCs w:val="20"/>
          <w:lang w:eastAsia="zh-CN"/>
        </w:rPr>
        <w:t>，</w:t>
      </w:r>
      <w:r>
        <w:rPr>
          <w:rFonts w:hint="eastAsia" w:ascii="Times New Roman" w:hAnsi="Times New Roman" w:eastAsia="仿宋_GB2312" w:cs="Times New Roman"/>
          <w:color w:val="000000"/>
          <w:sz w:val="20"/>
          <w:szCs w:val="20"/>
          <w:lang w:val="en-US" w:eastAsia="zh-CN"/>
        </w:rPr>
        <w:t>XX项目</w:t>
      </w:r>
      <w:r>
        <w:rPr>
          <w:rFonts w:hint="eastAsia" w:ascii="Times New Roman" w:hAnsi="Times New Roman" w:eastAsia="仿宋_GB2312" w:cs="Times New Roman"/>
          <w:color w:val="000000"/>
          <w:sz w:val="20"/>
          <w:szCs w:val="20"/>
          <w:lang w:eastAsia="zh-CN"/>
        </w:rPr>
        <w:t>资金…各一张表。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rPr>
      </w:pPr>
    </w:p>
    <w:p>
      <w:pPr>
        <w:pStyle w:val="2"/>
        <w:rPr>
          <w:rFonts w:hint="eastAsia" w:ascii="新宋体" w:hAnsi="新宋体" w:eastAsia="新宋体" w:cs="新宋体"/>
          <w:sz w:val="21"/>
          <w:szCs w:val="21"/>
          <w:lang w:val="en-US"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苏玲</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2023.7.6</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15074031568</w:t>
      </w:r>
      <w:r>
        <w:rPr>
          <w:rFonts w:hint="default" w:ascii="Times New Roman" w:hAnsi="Times New Roman" w:eastAsia="仿宋_GB2312" w:cs="Times New Roman"/>
          <w:sz w:val="22"/>
        </w:rPr>
        <w:t xml:space="preserve">   单位负责人签字：</w:t>
      </w:r>
      <w:r>
        <w:rPr>
          <w:rFonts w:hint="eastAsia" w:eastAsia="仿宋_GB2312" w:cs="Times New Roman"/>
          <w:sz w:val="22"/>
          <w:lang w:eastAsia="zh-CN"/>
        </w:rPr>
        <w:t>施恩</w:t>
      </w:r>
      <w:r>
        <w:rPr>
          <w:rFonts w:hint="default" w:ascii="Times New Roman" w:hAnsi="Times New Roman" w:eastAsia="仿宋_GB2312" w:cs="Times New Roman"/>
          <w:sz w:val="22"/>
        </w:rPr>
        <w:br w:type="page"/>
      </w:r>
    </w:p>
    <w:p>
      <w:pPr>
        <w:spacing w:line="240" w:lineRule="auto"/>
        <w:ind w:firstLine="1320" w:firstLineChars="300"/>
        <w:jc w:val="both"/>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年度华容县疾病预防控制中心</w:t>
      </w:r>
    </w:p>
    <w:p>
      <w:pPr>
        <w:spacing w:line="240"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基本公卫服务项目</w:t>
      </w:r>
      <w:r>
        <w:rPr>
          <w:rFonts w:hint="eastAsia" w:ascii="方正小标宋简体" w:hAnsi="方正小标宋简体" w:eastAsia="方正小标宋简体" w:cs="方正小标宋简体"/>
          <w:sz w:val="44"/>
          <w:szCs w:val="44"/>
        </w:rPr>
        <w:t>支出</w:t>
      </w:r>
    </w:p>
    <w:p>
      <w:pPr>
        <w:spacing w:line="240"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hint="eastAsia" w:ascii="方正小标宋简体" w:hAnsi="方正小标宋简体" w:eastAsia="方正小标宋简体" w:cs="方正小标宋简体"/>
          <w:sz w:val="44"/>
          <w:szCs w:val="44"/>
        </w:rPr>
        <w:t>绩效自评报告</w:t>
      </w:r>
      <w:r>
        <w:rPr>
          <w:rFonts w:hint="eastAsia" w:ascii="方正小标宋简体" w:hAnsi="方正小标宋简体" w:eastAsia="方正小标宋简体" w:cs="方正小标宋简体"/>
          <w:sz w:val="44"/>
          <w:szCs w:val="44"/>
          <w:lang w:eastAsia="zh-CN"/>
        </w:rPr>
        <w:tab/>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6</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spacing w:line="660" w:lineRule="exact"/>
        <w:jc w:val="center"/>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b w:val="0"/>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b w:val="0"/>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60" w:lineRule="exact"/>
        <w:ind w:firstLine="440" w:firstLineChars="100"/>
        <w:jc w:val="both"/>
        <w:textAlignment w:val="auto"/>
        <w:rPr>
          <w:rFonts w:hint="eastAsia" w:ascii="方正小标宋简体" w:hAnsi="方正小标宋简体" w:eastAsia="方正小标宋简体" w:cs="方正小标宋简体"/>
          <w:b w:val="0"/>
          <w:bCs/>
          <w:sz w:val="44"/>
          <w:szCs w:val="44"/>
          <w:lang w:eastAsia="zh-CN"/>
        </w:rPr>
      </w:pPr>
      <w:bookmarkStart w:id="0" w:name="_GoBack"/>
      <w:bookmarkEnd w:id="0"/>
      <w:r>
        <w:rPr>
          <w:rFonts w:hint="eastAsia" w:ascii="方正小标宋简体" w:hAnsi="方正小标宋简体" w:eastAsia="方正小标宋简体" w:cs="方正小标宋简体"/>
          <w:b w:val="0"/>
          <w:bCs/>
          <w:sz w:val="44"/>
          <w:szCs w:val="44"/>
          <w:lang w:eastAsia="zh-CN"/>
        </w:rPr>
        <w:t>华容</w:t>
      </w:r>
      <w:r>
        <w:rPr>
          <w:rFonts w:hint="eastAsia" w:ascii="方正小标宋简体" w:hAnsi="方正小标宋简体" w:eastAsia="方正小标宋简体" w:cs="方正小标宋简体"/>
          <w:b w:val="0"/>
          <w:bCs/>
          <w:sz w:val="44"/>
          <w:szCs w:val="44"/>
        </w:rPr>
        <w:t>县疾控中心</w:t>
      </w:r>
      <w:r>
        <w:rPr>
          <w:rFonts w:hint="eastAsia" w:ascii="方正小标宋简体" w:hAnsi="方正小标宋简体" w:eastAsia="方正小标宋简体" w:cs="方正小标宋简体"/>
          <w:b w:val="0"/>
          <w:bCs/>
          <w:sz w:val="44"/>
          <w:szCs w:val="44"/>
          <w:lang w:val="en-US" w:eastAsia="zh-CN"/>
        </w:rPr>
        <w:t>2022</w:t>
      </w:r>
      <w:r>
        <w:rPr>
          <w:rFonts w:hint="eastAsia" w:ascii="方正小标宋简体" w:hAnsi="方正小标宋简体" w:eastAsia="方正小标宋简体" w:cs="方正小标宋简体"/>
          <w:b w:val="0"/>
          <w:bCs/>
          <w:sz w:val="44"/>
          <w:szCs w:val="44"/>
        </w:rPr>
        <w:t>年</w:t>
      </w:r>
      <w:r>
        <w:rPr>
          <w:rFonts w:hint="eastAsia" w:ascii="方正小标宋简体" w:hAnsi="方正小标宋简体" w:eastAsia="方正小标宋简体" w:cs="方正小标宋简体"/>
          <w:b w:val="0"/>
          <w:bCs/>
          <w:sz w:val="44"/>
          <w:szCs w:val="44"/>
          <w:lang w:eastAsia="zh-CN"/>
        </w:rPr>
        <w:t>基本公卫服务项目</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绩效自评报告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湖南省财政厅关于开展2022年度部门整体支出绩效自评和省级专项资金部门评价工作的通知》（湘财绩〔2023〕1号）的有关要求，我中心对2022年基本公卫服务项目专项资金开展绩效评价，进行了自评现将自评情况报告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一、基本情况</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（一）项目概况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中心坚持以“科学防病、规范检测、公正诚信、促进健康”的工作总方针，深入贯彻中心制定的工作总目标，着力改善中心服务态度，优化服务环境，规范服务行为，全面提升了疾病预防和控制质量及服务水平。</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（二）项目资金绩效目标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1、各医疗机构传染病及突发公共卫生事件报告达到了95%以上，及时处置突发事件。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2、按要求及时完成手足口、霍乱、狂犬病等重点传染病的常规监测。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3、开展对各医疗机构传染病报告以及疫情处置等相关业务培训。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4、根据《湖南省城乡饮用水卫生监测工作方案》，采集全县14个乡镇的26个自来水厂样本184份；食品安全风险监测样品60份；地方病防治工作中300份盐样碘；300份尿样检测尿碘；农村环境卫生监测调查20个村场。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5、职业病防治工作中，对我县的28家医疗机构（含个体诊所、村卫生室）消毒监测样品数304份。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根据省、市、县《湖南省综合防控儿童青少年近视实施方案》、《2022年湖南省学生常见病和健康影响因素监测与干预工作方案》（湘卫函[2022]246号）、《2022年岳阳市学生常见病和健康影响因素监测与干预工作方案》（岳卫函[2022]142号）、《2022年华容县学生常见病和健康影响因素监测与干预工作方案》（华卫发[2022]40号）文件要求，本次监测依托全国学生常见病和健康影响因素监测平台和湖南省儿童青少年健康管理信息平台，全面信息化开展我县学生常见病现场监测工作，其中视力不良及影响因素调查采用微信公众号电子问卷调查形式，现场远视力检测采用爱唯视液晶视力表自动上传数据，屈光检测由数据盒通过蓝牙传输，身高体重、血压、龋齿、脊柱弯曲等学生常见病项目通过平板现场录入，所有数据均直接上传至湖南省“校园筛查系统”，并选取5%的学生进行现场复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二、综合评价结论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依照中央和省市的要求决策，依据充分、目标明确、程序合理，与政策要求高度相关；项目资金到位及时，使用按计划进行，项目的组织管理基本有效；项目的产出基本达到目标，项目效果良好，项目的绩效基本实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综上所述，项目总体评分为“98分”，评定级别为“优”。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三、项目目标完成情况</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（一）项目资金情况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截止绩效自评基准日，本次绩效自评范围内的省级财政专项资金65.5万元已全部到位，资金到位率为100%。</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截止绩效自评基准日，根据相关的财务资料，项目使用省级资金合计65.5万元，项目资金无结余，资金使用率为100%。</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（二）项目资金管理情况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绩效自评范围内的项目资金统一由财政专库管理，我中心按照项目专项资金的管理办法进行账务处理，并严格执行相关政策；我中心已按照财政要求进行会计核算，付款申请审批等程序均已到位，没有存在虚报项目骗取财政资金的情况，没有截留、挤占、挪用财政资金的情况，没有用于弥补人员经费或用于其它活动，没用用于对外借款、对外投资，没有擅自调整预算、计提管理费、基本支出挤占项目支出或截留财政资金挪作它用的情况。</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（三）项目绩效情况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A、项目的效率性分析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1、项目的实施进度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项目计划实施期间为2022年1月1日—2022年12月31日，实际于2022年12月底完成了所有项目的各项工作并总结了在项目实施过程中发现的问题及经验，为下一年度工作的开展提供了参考。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2、项目完成质量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我中心自项目开展以来，能够很好的做到预防和控制相关病情的发生，截止绩效自评基准日，我县对相关病情的防疫和控制处置完成得比较好，项目的完成质量高。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B、项目的效益性分析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1、项目预期目标完成程度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（1）各医疗机构传染病及突发公共卫生事件报告均达到了95%以上，大部分达到了100%；及时处置了三起突发事件（新冠聚集性疫情2起，发热伴1起）。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（2）按要求及时完成了手足口、霍乱、狂犬病等重点传染病的常规监测。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（3）开展了对各医疗机构传染病报告以及疫情处置等相关业务培训。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根据《湖南省城乡饮用水卫生监测工作方案》，采集全县14个乡镇的26个自来水厂样本184份，市政供水每个季度监测一次，共检测样品24份。审核各医院上报的食源性病例信息共241条，处置食源性聚集性事件1起。食品安全风险监测样品60份，其中稻谷和大米合计15份镉超标，合格率为92.96%。地方病防治工作中300份盐样碘含量在21-39mg/kg范围内，合格率为98%，300份尿样检测尿碘中位数为162.09mg/kg，均在正常范围内。农村环境卫生监测调查20个村场，总户数为18217户，总人口为68665人。集中式供水62351人，占90.81%，分散式供水6314人，占9.19%。从业人员及外出务工人员的预防性健康体检12000余人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（4）职业病防治工作中，对我县的28家医疗机构（含个体诊所、村卫生室）消毒监测样品数304份，合格数295份，合格率为97.04%。调查职业病危害因素企业23家，调查放射诊疗机构的基本情况23家。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本次学生学生常见病现场调查项目于2022年11月21日开始，12月2日完成，其中问卷调查1493人，现场视力检测2287人。现场视力检测共调查9所学校，其中6所中小学校，3所幼儿园。男女生分别为1163人和1124人。其中，幼儿园学生207人，小学生1256人，初中生580人，高中生244人。根据湖南省儿童青少年健康信息管理平台近视调查工作筛查计划结果显示，本次调查共检出近视1044人，近视率为45.65%，男女生近视人数分别为478人和566人，男女生近视率分别为41.1%和50.36%。</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幼儿园儿童近视率为15.46%，小学生近视率为32.56%，初中生近视率为68.1%，高中生近视率为85.25%。</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2、项目实施对经济和社会的影响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项目的实施,按照上级下达的目标管理要求，坚持以重点传染病防控和突发公共卫生事件处置为重点，加强传染病的报告与管理，在全县卫生防疫人员的共同努力下，圆满完成了全县急性传染病预防控制的各项工作，保障了全县人民身体健康，取得了一定的成绩，做出了一定的贡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四、存在问题和改进措施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（一）存在问题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这些项目的实施，我中心的工作得到整体推进，疫情得到有效遏制，项目工作取得良好成效的同时，仍存在一定的困难和问题：一是有些部门对工作的长期性连续性认识不足，部门之间工作沟通协调不够；二是财政预算资金离疾控工作实际要求还有一定差距，一定程度上影响到项目工作的进度和效果。三是全县县、乡、两级防疫专干队伍业务水平不高，并且大都身兼多职，导致项目工作痕迹管理不规范，整体工作水平有待提高。四是从事疾控工作专业人员不足，队伍力量薄弱，服务对象不断增加，工作压力和任务进一步加重。五是宣传教育工作的广度和深度还不够，各类人群对疾病预防认识仍然不足，自我防范意识不强，尤其是广大农村外出务工人员和流动人口疾病预防知识知晓率有待提高。</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（二）改进措施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进一步争取财政给予与疾控工作相匹配的防治项目经费。二是进一步加强疾控队伍人员能力培训。三是进一步加强疾病预防知识的宣传，利用电视、新闻、微信等平台宣传疾病预防知识。四是进一步加强县、乡、村三级防控网络建设，加强乡村两级防疫人员的培训。五是加强疾控中心人才队伍建设，着力于引进本科人才。六是加强实验室检验检测能力建设。七是适当提高项目经费，进一步明确资金的管理与使用细则，由各项目办统一规范制作适合大众群体容易接受的多媒体宣传资料，进一步增强宣传效果。进一步加大项目培训与指导力度，加强相关项目实施单位能力建设，确保项目实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五、主要经验及做法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项目工作取得了很大成效。通过不断加大对基本公共卫生项目经费投入，有效预防控制了重大传染病的流行，进一步提高了突发公共卫生事件应急处置能力，切实加大了城乡公共卫生服务体系建设力度，促进了基本公共卫生服务均等化，主要表现在以下几个方面：一是着力开展了传染病防控工作；二是大力推进了饮用水监测、公共卫生监测等方面的工作。三是在认真开展了健康教育、业务培训、疾病监测和督促指导等工作。为保护人民健康，建设小康社会提供了有力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2、工作中存在的问题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加大对公共卫生项目经费的投入，有效推动了基层公共卫生事业的健康发展。但在工作中也还存在着一些不足。如还需加大健康教育宣传力度，公共卫生体系建设有待进一步加强，公共卫生队伍建设与服务素质还应逐步加以提高等等，以确保改革成果惠及广大人民群众。</w:t>
      </w: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lang w:val="en-US" w:eastAsia="zh-CN"/>
        </w:rPr>
      </w:pPr>
    </w:p>
    <w:p>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华容县疾病预防控制中心　</w:t>
      </w:r>
    </w:p>
    <w:p>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2023年7月10日　　 </w:t>
      </w:r>
    </w:p>
    <w:p>
      <w:pPr>
        <w:ind w:firstLine="640" w:firstLineChars="200"/>
        <w:rPr>
          <w:rFonts w:hint="eastAsia" w:ascii="宋体" w:hAnsi="宋体"/>
          <w:sz w:val="32"/>
          <w:szCs w:val="32"/>
          <w:lang w:val="en-US" w:eastAsia="zh-CN"/>
        </w:rPr>
      </w:pPr>
    </w:p>
    <w:p>
      <w:pPr>
        <w:ind w:firstLine="640" w:firstLineChars="200"/>
        <w:rPr>
          <w:rFonts w:hint="eastAsia" w:ascii="宋体" w:hAnsi="宋体"/>
          <w:sz w:val="32"/>
          <w:szCs w:val="32"/>
          <w:lang w:val="en-US" w:eastAsia="zh-CN"/>
        </w:rPr>
      </w:pPr>
    </w:p>
    <w:sectPr>
      <w:footerReference r:id="rId7" w:type="default"/>
      <w:pgSz w:w="11906" w:h="16838"/>
      <w:pgMar w:top="1587" w:right="1474" w:bottom="1474" w:left="1587" w:header="851" w:footer="992" w:gutter="0"/>
      <w:pgBorders>
        <w:top w:val="none" w:sz="0" w:space="0"/>
        <w:left w:val="none" w:sz="0" w:space="0"/>
        <w:bottom w:val="none" w:sz="0" w:space="0"/>
        <w:right w:val="none" w:sz="0" w:space="0"/>
      </w:pgBorders>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04048C3-8AD5-43EA-ADBF-810FCCEF187B}"/>
  </w:font>
  <w:font w:name="Arial">
    <w:panose1 w:val="020B0604020202020204"/>
    <w:charset w:val="01"/>
    <w:family w:val="swiss"/>
    <w:pitch w:val="default"/>
    <w:sig w:usb0="E0002EFF" w:usb1="C000785B" w:usb2="00000009" w:usb3="00000000" w:csb0="400001FF" w:csb1="FFFF0000"/>
    <w:embedRegular r:id="rId2" w:fontKey="{DA3AC525-9FBB-4485-A366-A729E01B4543}"/>
  </w:font>
  <w:font w:name="黑体">
    <w:panose1 w:val="02010609060101010101"/>
    <w:charset w:val="86"/>
    <w:family w:val="auto"/>
    <w:pitch w:val="default"/>
    <w:sig w:usb0="800002BF" w:usb1="38CF7CFA" w:usb2="00000016" w:usb3="00000000" w:csb0="00040001" w:csb1="00000000"/>
    <w:embedRegular r:id="rId3" w:fontKey="{06786D6A-3283-4C80-9E95-5B13A14D94DE}"/>
  </w:font>
  <w:font w:name="Courier New">
    <w:panose1 w:val="02070309020205020404"/>
    <w:charset w:val="01"/>
    <w:family w:val="modern"/>
    <w:pitch w:val="default"/>
    <w:sig w:usb0="E0002EFF" w:usb1="C0007843" w:usb2="00000009" w:usb3="00000000" w:csb0="400001FF" w:csb1="FFFF0000"/>
    <w:embedRegular r:id="rId4" w:fontKey="{EC7F4014-64DF-4415-9094-D92B62D7BFE1}"/>
  </w:font>
  <w:font w:name="Symbol">
    <w:panose1 w:val="05050102010706020507"/>
    <w:charset w:val="02"/>
    <w:family w:val="roman"/>
    <w:pitch w:val="default"/>
    <w:sig w:usb0="00000000" w:usb1="00000000" w:usb2="00000000" w:usb3="00000000" w:csb0="80000000" w:csb1="00000000"/>
    <w:embedRegular r:id="rId5" w:fontKey="{2D186B29-2565-40E2-9AB8-64089EA9F981}"/>
  </w:font>
  <w:font w:name="Calibri">
    <w:panose1 w:val="020F0502020204030204"/>
    <w:charset w:val="00"/>
    <w:family w:val="swiss"/>
    <w:pitch w:val="default"/>
    <w:sig w:usb0="E4002EFF" w:usb1="C000247B" w:usb2="00000009" w:usb3="00000000" w:csb0="200001FF" w:csb1="00000000"/>
    <w:embedRegular r:id="rId6" w:fontKey="{E80E541A-B16B-4132-BA2F-E39686325E86}"/>
  </w:font>
  <w:font w:name="方正小标宋简体">
    <w:panose1 w:val="03000509000000000000"/>
    <w:charset w:val="86"/>
    <w:family w:val="auto"/>
    <w:pitch w:val="default"/>
    <w:sig w:usb0="00000001" w:usb1="080E0000" w:usb2="00000000" w:usb3="00000000" w:csb0="00040000" w:csb1="00000000"/>
    <w:embedRegular r:id="rId7" w:fontKey="{A61AB741-D870-439F-8459-54232D603C97}"/>
  </w:font>
  <w:font w:name="新宋体">
    <w:panose1 w:val="02010609030101010101"/>
    <w:charset w:val="86"/>
    <w:family w:val="auto"/>
    <w:pitch w:val="default"/>
    <w:sig w:usb0="00000283" w:usb1="288F0000" w:usb2="00000006" w:usb3="00000000" w:csb0="00040001" w:csb1="00000000"/>
    <w:embedRegular r:id="rId8" w:fontKey="{1DCD70E6-8140-406C-A3CE-E7FE5137BD18}"/>
  </w:font>
  <w:font w:name="仿宋_GB2312">
    <w:panose1 w:val="02010609030101010101"/>
    <w:charset w:val="86"/>
    <w:family w:val="auto"/>
    <w:pitch w:val="default"/>
    <w:sig w:usb0="00000001" w:usb1="080E0000" w:usb2="00000000" w:usb3="00000000" w:csb0="00040000" w:csb1="00000000"/>
    <w:embedRegular r:id="rId9" w:fontKey="{27F7452C-4A3C-4226-BE32-964AC9DD6E54}"/>
  </w:font>
  <w:font w:name="方正小标宋_GBK">
    <w:panose1 w:val="03000509000000000000"/>
    <w:charset w:val="86"/>
    <w:family w:val="script"/>
    <w:pitch w:val="default"/>
    <w:sig w:usb0="00000001" w:usb1="080E0000" w:usb2="00000000" w:usb3="00000000" w:csb0="00040000" w:csb1="00000000"/>
    <w:embedRegular r:id="rId10" w:fontKey="{5CDAF020-E024-4DA1-B3F5-F57DCF3590BF}"/>
  </w:font>
  <w:font w:name="楷体_GB2312">
    <w:panose1 w:val="02010609030101010101"/>
    <w:charset w:val="86"/>
    <w:family w:val="auto"/>
    <w:pitch w:val="default"/>
    <w:sig w:usb0="00000001" w:usb1="080E0000" w:usb2="00000000" w:usb3="00000000" w:csb0="00040000" w:csb1="00000000"/>
    <w:embedRegular r:id="rId11" w:fontKey="{F269D14A-243F-4AE0-85C5-4FFAD33727A4}"/>
  </w:font>
  <w:font w:name="楷体">
    <w:panose1 w:val="02010609060101010101"/>
    <w:charset w:val="86"/>
    <w:family w:val="auto"/>
    <w:pitch w:val="default"/>
    <w:sig w:usb0="800002BF" w:usb1="38CF7CFA" w:usb2="00000016" w:usb3="00000000" w:csb0="00040001" w:csb1="00000000"/>
    <w:embedRegular r:id="rId12" w:fontKey="{3F9A039D-318A-4BE8-8EFE-EEB61A359826}"/>
  </w:font>
  <w:font w:name="原版宋体">
    <w:altName w:val="宋体"/>
    <w:panose1 w:val="02010600030101010101"/>
    <w:charset w:val="00"/>
    <w:family w:val="auto"/>
    <w:pitch w:val="default"/>
    <w:sig w:usb0="00000000" w:usb1="00000000" w:usb2="00000000" w:usb3="00000000" w:csb0="00040001" w:csb1="00000000"/>
    <w:embedRegular r:id="rId13" w:fontKey="{DB40B312-53A9-42DF-B960-012AA007818C}"/>
  </w:font>
  <w:font w:name="仿宋">
    <w:panose1 w:val="02010609060101010101"/>
    <w:charset w:val="86"/>
    <w:family w:val="auto"/>
    <w:pitch w:val="default"/>
    <w:sig w:usb0="800002BF" w:usb1="38CF7CFA" w:usb2="00000016" w:usb3="00000000" w:csb0="00040001" w:csb1="00000000"/>
    <w:embedRegular r:id="rId14" w:fontKey="{27B23293-AC6A-40B4-B616-2AADEA521C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0FBCBA"/>
    <w:multiLevelType w:val="singleLevel"/>
    <w:tmpl w:val="DD0FBCB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5NTk3MDJhODRmYTA1MWM4NmNhNDg3M2I0NDg1ODkifQ=="/>
  </w:docVars>
  <w:rsids>
    <w:rsidRoot w:val="0CCB7736"/>
    <w:rsid w:val="00047FEF"/>
    <w:rsid w:val="000A3906"/>
    <w:rsid w:val="001776F1"/>
    <w:rsid w:val="001A029C"/>
    <w:rsid w:val="0055574E"/>
    <w:rsid w:val="006F0A16"/>
    <w:rsid w:val="00773328"/>
    <w:rsid w:val="00821883"/>
    <w:rsid w:val="00917857"/>
    <w:rsid w:val="00A755C2"/>
    <w:rsid w:val="00F71BD1"/>
    <w:rsid w:val="015E6237"/>
    <w:rsid w:val="016A347B"/>
    <w:rsid w:val="017F7BA5"/>
    <w:rsid w:val="01FC1350"/>
    <w:rsid w:val="02B50488"/>
    <w:rsid w:val="03247659"/>
    <w:rsid w:val="0338470A"/>
    <w:rsid w:val="034822A9"/>
    <w:rsid w:val="034877EC"/>
    <w:rsid w:val="03D86621"/>
    <w:rsid w:val="044516F7"/>
    <w:rsid w:val="04EE6171"/>
    <w:rsid w:val="04F05A45"/>
    <w:rsid w:val="051A51B8"/>
    <w:rsid w:val="052120A3"/>
    <w:rsid w:val="05395EA9"/>
    <w:rsid w:val="058663AA"/>
    <w:rsid w:val="07416A2C"/>
    <w:rsid w:val="09C53944"/>
    <w:rsid w:val="09D73678"/>
    <w:rsid w:val="0A3E4216"/>
    <w:rsid w:val="0A726EFC"/>
    <w:rsid w:val="0ABD557B"/>
    <w:rsid w:val="0BBB5A8D"/>
    <w:rsid w:val="0BF95751"/>
    <w:rsid w:val="0C104906"/>
    <w:rsid w:val="0CCB7736"/>
    <w:rsid w:val="0D9E0E8D"/>
    <w:rsid w:val="0E87741A"/>
    <w:rsid w:val="0EAB7397"/>
    <w:rsid w:val="0EDB32C2"/>
    <w:rsid w:val="0EF755B3"/>
    <w:rsid w:val="0F17035E"/>
    <w:rsid w:val="0F3155D8"/>
    <w:rsid w:val="0F4E168D"/>
    <w:rsid w:val="0F9A317D"/>
    <w:rsid w:val="0FD0094D"/>
    <w:rsid w:val="108E6CEC"/>
    <w:rsid w:val="10F845FF"/>
    <w:rsid w:val="11404466"/>
    <w:rsid w:val="11963ADD"/>
    <w:rsid w:val="11A27AE4"/>
    <w:rsid w:val="11BB73DB"/>
    <w:rsid w:val="11EB0F5C"/>
    <w:rsid w:val="11F20483"/>
    <w:rsid w:val="136F31F8"/>
    <w:rsid w:val="138750E0"/>
    <w:rsid w:val="14515DD5"/>
    <w:rsid w:val="14685FDE"/>
    <w:rsid w:val="15593193"/>
    <w:rsid w:val="158D0509"/>
    <w:rsid w:val="159C777F"/>
    <w:rsid w:val="15A620D3"/>
    <w:rsid w:val="15F01D49"/>
    <w:rsid w:val="16A3369E"/>
    <w:rsid w:val="16B8213B"/>
    <w:rsid w:val="178536BD"/>
    <w:rsid w:val="18711556"/>
    <w:rsid w:val="18D23988"/>
    <w:rsid w:val="19516372"/>
    <w:rsid w:val="19575CC2"/>
    <w:rsid w:val="19A80228"/>
    <w:rsid w:val="1A101464"/>
    <w:rsid w:val="1AB74849"/>
    <w:rsid w:val="1AC52FF2"/>
    <w:rsid w:val="1AE6175D"/>
    <w:rsid w:val="1B252495"/>
    <w:rsid w:val="1B742AA7"/>
    <w:rsid w:val="1B8D003A"/>
    <w:rsid w:val="1C067579"/>
    <w:rsid w:val="1C705992"/>
    <w:rsid w:val="1CA34935"/>
    <w:rsid w:val="1D5A640E"/>
    <w:rsid w:val="1EB06519"/>
    <w:rsid w:val="1F010B23"/>
    <w:rsid w:val="1F701389"/>
    <w:rsid w:val="1F7640EC"/>
    <w:rsid w:val="20D02EA3"/>
    <w:rsid w:val="20D76C5F"/>
    <w:rsid w:val="21057490"/>
    <w:rsid w:val="214A230E"/>
    <w:rsid w:val="214F789A"/>
    <w:rsid w:val="21B052C4"/>
    <w:rsid w:val="21FA7DDA"/>
    <w:rsid w:val="22034534"/>
    <w:rsid w:val="22317971"/>
    <w:rsid w:val="22326B0B"/>
    <w:rsid w:val="22FF5445"/>
    <w:rsid w:val="238D0E57"/>
    <w:rsid w:val="240B2444"/>
    <w:rsid w:val="24256710"/>
    <w:rsid w:val="24415E66"/>
    <w:rsid w:val="251E7983"/>
    <w:rsid w:val="25603464"/>
    <w:rsid w:val="260D5D83"/>
    <w:rsid w:val="263C0693"/>
    <w:rsid w:val="26EF3957"/>
    <w:rsid w:val="27082287"/>
    <w:rsid w:val="27253132"/>
    <w:rsid w:val="275F6D2E"/>
    <w:rsid w:val="28285372"/>
    <w:rsid w:val="284A2254"/>
    <w:rsid w:val="28C80903"/>
    <w:rsid w:val="292F1467"/>
    <w:rsid w:val="29786927"/>
    <w:rsid w:val="297B51B4"/>
    <w:rsid w:val="29E40467"/>
    <w:rsid w:val="29E52546"/>
    <w:rsid w:val="29F527E2"/>
    <w:rsid w:val="2A9A32D3"/>
    <w:rsid w:val="2ACA0963"/>
    <w:rsid w:val="2B667F60"/>
    <w:rsid w:val="2BF35971"/>
    <w:rsid w:val="2C1D4AC2"/>
    <w:rsid w:val="2C487650"/>
    <w:rsid w:val="2DCE2070"/>
    <w:rsid w:val="2E4A0ED6"/>
    <w:rsid w:val="2E4F43C0"/>
    <w:rsid w:val="2EC7368E"/>
    <w:rsid w:val="301B756B"/>
    <w:rsid w:val="30FB4B41"/>
    <w:rsid w:val="31621165"/>
    <w:rsid w:val="323C5548"/>
    <w:rsid w:val="32C42FCF"/>
    <w:rsid w:val="335A2AA0"/>
    <w:rsid w:val="356859E6"/>
    <w:rsid w:val="365B739C"/>
    <w:rsid w:val="368A369C"/>
    <w:rsid w:val="368E147D"/>
    <w:rsid w:val="36CE3589"/>
    <w:rsid w:val="37450F88"/>
    <w:rsid w:val="374C482B"/>
    <w:rsid w:val="37AB5678"/>
    <w:rsid w:val="37D6106F"/>
    <w:rsid w:val="38F862EB"/>
    <w:rsid w:val="39343807"/>
    <w:rsid w:val="39887BBC"/>
    <w:rsid w:val="3A53023B"/>
    <w:rsid w:val="3AF42D2D"/>
    <w:rsid w:val="3B3A041F"/>
    <w:rsid w:val="3BAE6BF9"/>
    <w:rsid w:val="3CCA47F2"/>
    <w:rsid w:val="3CDE0708"/>
    <w:rsid w:val="3D5877DF"/>
    <w:rsid w:val="3DC55CAA"/>
    <w:rsid w:val="3DD556CA"/>
    <w:rsid w:val="3F067638"/>
    <w:rsid w:val="3F327891"/>
    <w:rsid w:val="3F450160"/>
    <w:rsid w:val="3F450429"/>
    <w:rsid w:val="40226C80"/>
    <w:rsid w:val="40972C3D"/>
    <w:rsid w:val="40AC2409"/>
    <w:rsid w:val="40C451A5"/>
    <w:rsid w:val="4156470B"/>
    <w:rsid w:val="41943ACE"/>
    <w:rsid w:val="41D34149"/>
    <w:rsid w:val="425D4066"/>
    <w:rsid w:val="43173FD4"/>
    <w:rsid w:val="43F56AA3"/>
    <w:rsid w:val="44143822"/>
    <w:rsid w:val="444430DC"/>
    <w:rsid w:val="44654A12"/>
    <w:rsid w:val="44786EC1"/>
    <w:rsid w:val="45390767"/>
    <w:rsid w:val="457C5F26"/>
    <w:rsid w:val="45B93656"/>
    <w:rsid w:val="46BC33FE"/>
    <w:rsid w:val="49C3753A"/>
    <w:rsid w:val="49CF255F"/>
    <w:rsid w:val="4B2C5DCD"/>
    <w:rsid w:val="4B72052F"/>
    <w:rsid w:val="4B7D1173"/>
    <w:rsid w:val="4C0849EF"/>
    <w:rsid w:val="4C150E22"/>
    <w:rsid w:val="4C243737"/>
    <w:rsid w:val="4C6A38FC"/>
    <w:rsid w:val="4CAA6A9E"/>
    <w:rsid w:val="4CE74BC3"/>
    <w:rsid w:val="4CF5000E"/>
    <w:rsid w:val="4D333CEE"/>
    <w:rsid w:val="4DB17672"/>
    <w:rsid w:val="4DD03D1D"/>
    <w:rsid w:val="4DF27705"/>
    <w:rsid w:val="4F2953A8"/>
    <w:rsid w:val="503B2610"/>
    <w:rsid w:val="50AC44C4"/>
    <w:rsid w:val="50D41344"/>
    <w:rsid w:val="50EA6DB9"/>
    <w:rsid w:val="50F62F24"/>
    <w:rsid w:val="51CA7471"/>
    <w:rsid w:val="51FF6894"/>
    <w:rsid w:val="521C2FA3"/>
    <w:rsid w:val="522529B2"/>
    <w:rsid w:val="53910AF4"/>
    <w:rsid w:val="54BB2F47"/>
    <w:rsid w:val="54FC355F"/>
    <w:rsid w:val="55081CF7"/>
    <w:rsid w:val="55456CB4"/>
    <w:rsid w:val="555952B3"/>
    <w:rsid w:val="556B5A36"/>
    <w:rsid w:val="55AF40BB"/>
    <w:rsid w:val="55F935FB"/>
    <w:rsid w:val="5661759C"/>
    <w:rsid w:val="568B06F7"/>
    <w:rsid w:val="56DC71A4"/>
    <w:rsid w:val="56F72F7C"/>
    <w:rsid w:val="57607DD5"/>
    <w:rsid w:val="57E427B4"/>
    <w:rsid w:val="57F55EB3"/>
    <w:rsid w:val="586243BF"/>
    <w:rsid w:val="58675193"/>
    <w:rsid w:val="58B95FCD"/>
    <w:rsid w:val="58FD3402"/>
    <w:rsid w:val="5A647BDD"/>
    <w:rsid w:val="5AAF7799"/>
    <w:rsid w:val="5B5C1753"/>
    <w:rsid w:val="5CAC586B"/>
    <w:rsid w:val="5D99435E"/>
    <w:rsid w:val="5DB22A0D"/>
    <w:rsid w:val="5DFC012C"/>
    <w:rsid w:val="5E134100"/>
    <w:rsid w:val="5E1B5217"/>
    <w:rsid w:val="5E93283E"/>
    <w:rsid w:val="5F7A1C50"/>
    <w:rsid w:val="5FC37153"/>
    <w:rsid w:val="601C4AB5"/>
    <w:rsid w:val="60BE691E"/>
    <w:rsid w:val="613F6CAD"/>
    <w:rsid w:val="61444403"/>
    <w:rsid w:val="62265BDF"/>
    <w:rsid w:val="62B80AC5"/>
    <w:rsid w:val="62E1699A"/>
    <w:rsid w:val="64147F0D"/>
    <w:rsid w:val="64D66362"/>
    <w:rsid w:val="655D3BA6"/>
    <w:rsid w:val="65860217"/>
    <w:rsid w:val="6593581A"/>
    <w:rsid w:val="667E0AA1"/>
    <w:rsid w:val="683E1A6D"/>
    <w:rsid w:val="684626D0"/>
    <w:rsid w:val="684828EC"/>
    <w:rsid w:val="68FB17C3"/>
    <w:rsid w:val="695F12F9"/>
    <w:rsid w:val="69636C3A"/>
    <w:rsid w:val="697D48A2"/>
    <w:rsid w:val="69CF7B2C"/>
    <w:rsid w:val="6A0B0004"/>
    <w:rsid w:val="6AB75B07"/>
    <w:rsid w:val="6B1D41B4"/>
    <w:rsid w:val="6B7F7BA4"/>
    <w:rsid w:val="6BA1010E"/>
    <w:rsid w:val="6BBB1626"/>
    <w:rsid w:val="6BC919F6"/>
    <w:rsid w:val="6C465394"/>
    <w:rsid w:val="6CE47E41"/>
    <w:rsid w:val="6CED5810"/>
    <w:rsid w:val="6CF92413"/>
    <w:rsid w:val="6D050DAB"/>
    <w:rsid w:val="6D7970A3"/>
    <w:rsid w:val="6D9B4673"/>
    <w:rsid w:val="6DFE5E04"/>
    <w:rsid w:val="6E3D6323"/>
    <w:rsid w:val="6E87203D"/>
    <w:rsid w:val="6ED24CBD"/>
    <w:rsid w:val="6F4A02E5"/>
    <w:rsid w:val="6F9278BB"/>
    <w:rsid w:val="6FA75111"/>
    <w:rsid w:val="6FD76303"/>
    <w:rsid w:val="71317950"/>
    <w:rsid w:val="71572F19"/>
    <w:rsid w:val="7169742F"/>
    <w:rsid w:val="719B7427"/>
    <w:rsid w:val="724A6793"/>
    <w:rsid w:val="741F26FA"/>
    <w:rsid w:val="74470DF8"/>
    <w:rsid w:val="75FD1676"/>
    <w:rsid w:val="78D45AD6"/>
    <w:rsid w:val="799536BA"/>
    <w:rsid w:val="7A2D5E60"/>
    <w:rsid w:val="7B170752"/>
    <w:rsid w:val="7B407452"/>
    <w:rsid w:val="7B5B43C0"/>
    <w:rsid w:val="7B8F681B"/>
    <w:rsid w:val="7BDC5F4C"/>
    <w:rsid w:val="7C98367E"/>
    <w:rsid w:val="7DD96C0E"/>
    <w:rsid w:val="7E474F7B"/>
    <w:rsid w:val="7E8F7AC1"/>
    <w:rsid w:val="7ED44A8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10">
    <w:name w:val="Default Paragraph Font"/>
    <w:semiHidden/>
    <w:qFormat/>
    <w:uiPriority w:val="99"/>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Body Text"/>
    <w:basedOn w:val="1"/>
    <w:qFormat/>
    <w:uiPriority w:val="0"/>
    <w:rPr>
      <w:sz w:val="32"/>
      <w:szCs w:val="32"/>
    </w:rPr>
  </w:style>
  <w:style w:type="paragraph" w:styleId="5">
    <w:name w:val="footer"/>
    <w:basedOn w:val="1"/>
    <w:link w:val="13"/>
    <w:qFormat/>
    <w:uiPriority w:val="99"/>
    <w:pPr>
      <w:tabs>
        <w:tab w:val="center" w:pos="4153"/>
        <w:tab w:val="right" w:pos="8306"/>
      </w:tabs>
      <w:snapToGrid w:val="0"/>
      <w:jc w:val="left"/>
    </w:pPr>
    <w:rPr>
      <w:sz w:val="18"/>
      <w:szCs w:val="18"/>
    </w:rPr>
  </w:style>
  <w:style w:type="paragraph" w:styleId="6">
    <w:name w:val="header"/>
    <w:basedOn w:val="1"/>
    <w:link w:val="14"/>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99"/>
    <w:rPr>
      <w:rFonts w:cs="Times New Roman"/>
    </w:rPr>
  </w:style>
  <w:style w:type="paragraph" w:customStyle="1" w:styleId="12">
    <w:name w:val="BodyText1I"/>
    <w:basedOn w:val="1"/>
    <w:qFormat/>
    <w:uiPriority w:val="99"/>
    <w:pPr>
      <w:snapToGrid w:val="0"/>
      <w:spacing w:line="360" w:lineRule="auto"/>
      <w:ind w:firstLine="420" w:firstLineChars="100"/>
    </w:pPr>
    <w:rPr>
      <w:sz w:val="28"/>
      <w:szCs w:val="20"/>
    </w:rPr>
  </w:style>
  <w:style w:type="character" w:customStyle="1" w:styleId="13">
    <w:name w:val="Footer Char"/>
    <w:basedOn w:val="10"/>
    <w:link w:val="5"/>
    <w:semiHidden/>
    <w:qFormat/>
    <w:uiPriority w:val="99"/>
    <w:rPr>
      <w:sz w:val="18"/>
      <w:szCs w:val="18"/>
    </w:rPr>
  </w:style>
  <w:style w:type="character" w:customStyle="1" w:styleId="14">
    <w:name w:val="Header Char"/>
    <w:basedOn w:val="10"/>
    <w:link w:val="6"/>
    <w:semiHidden/>
    <w:qFormat/>
    <w:uiPriority w:val="99"/>
    <w:rPr>
      <w:sz w:val="18"/>
      <w:szCs w:val="18"/>
    </w:rPr>
  </w:style>
  <w:style w:type="paragraph" w:styleId="15">
    <w:name w:val="List Paragraph"/>
    <w:basedOn w:val="1"/>
    <w:qFormat/>
    <w:uiPriority w:val="99"/>
    <w:pPr>
      <w:ind w:firstLine="420" w:firstLineChars="200"/>
    </w:pPr>
    <w:rPr>
      <w:rFonts w:ascii="Calibri" w:hAnsi="Calibri"/>
      <w:szCs w:val="22"/>
    </w:rPr>
  </w:style>
  <w:style w:type="paragraph" w:customStyle="1" w:styleId="16">
    <w:name w:val="Normal (Web)"/>
    <w:basedOn w:val="1"/>
    <w:qFormat/>
    <w:uiPriority w:val="0"/>
    <w:pPr>
      <w:spacing w:before="100" w:beforeAutospacing="1" w:after="100" w:afterAutospacing="1"/>
      <w:ind w:left="0" w:right="0"/>
      <w:jc w:val="left"/>
    </w:pPr>
    <w:rPr>
      <w:kern w:val="0"/>
      <w:sz w:val="24"/>
      <w:lang w:val="en-US" w:eastAsia="zh-CN"/>
    </w:r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40</Pages>
  <Words>16703</Words>
  <Characters>18350</Characters>
  <Lines>0</Lines>
  <Paragraphs>0</Paragraphs>
  <TotalTime>0</TotalTime>
  <ScaleCrop>false</ScaleCrop>
  <LinksUpToDate>false</LinksUpToDate>
  <CharactersWithSpaces>19292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Administrator</cp:lastModifiedBy>
  <cp:lastPrinted>2023-06-29T01:04:00Z</cp:lastPrinted>
  <dcterms:modified xsi:type="dcterms:W3CDTF">2023-07-12T03:16:54Z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677E3F5B5D8F41DFB9C487F060347517_13</vt:lpwstr>
  </property>
</Properties>
</file>