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2C" w:rsidRDefault="00535A2C" w:rsidP="00535A2C">
      <w:pPr>
        <w:rPr>
          <w:rFonts w:ascii="黑体" w:eastAsia="黑体" w:hAnsi="黑体" w:cs="黑体"/>
          <w:sz w:val="32"/>
          <w:szCs w:val="32"/>
        </w:rPr>
      </w:pPr>
      <w:r>
        <w:rPr>
          <w:rFonts w:ascii="黑体" w:eastAsia="黑体" w:hAnsi="黑体" w:cs="黑体" w:hint="eastAsia"/>
          <w:sz w:val="32"/>
          <w:szCs w:val="32"/>
        </w:rPr>
        <w:t>附件3</w:t>
      </w:r>
    </w:p>
    <w:p w:rsidR="00535A2C" w:rsidRDefault="00535A2C" w:rsidP="00535A2C">
      <w:pPr>
        <w:jc w:val="center"/>
        <w:rPr>
          <w:rFonts w:eastAsia="方正小标宋_GBK"/>
          <w:sz w:val="52"/>
          <w:szCs w:val="52"/>
        </w:rPr>
      </w:pPr>
    </w:p>
    <w:p w:rsidR="00535A2C" w:rsidRDefault="00535A2C" w:rsidP="00535A2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2022年度县科技局整体支出</w:t>
      </w:r>
    </w:p>
    <w:p w:rsidR="00535A2C" w:rsidRDefault="00535A2C" w:rsidP="00535A2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535A2C" w:rsidRDefault="00535A2C" w:rsidP="00535A2C">
      <w:pPr>
        <w:jc w:val="center"/>
        <w:rPr>
          <w:rFonts w:eastAsia="方正小标宋_GBK"/>
          <w:b/>
          <w:sz w:val="52"/>
          <w:szCs w:val="52"/>
        </w:rPr>
      </w:pPr>
    </w:p>
    <w:p w:rsidR="00535A2C" w:rsidRDefault="00535A2C" w:rsidP="00535A2C">
      <w:pPr>
        <w:jc w:val="center"/>
        <w:rPr>
          <w:rFonts w:eastAsia="楷体_GB2312"/>
          <w:b/>
          <w:sz w:val="32"/>
          <w:szCs w:val="32"/>
        </w:rPr>
      </w:pPr>
    </w:p>
    <w:p w:rsidR="00535A2C" w:rsidRDefault="00535A2C" w:rsidP="00535A2C">
      <w:pPr>
        <w:jc w:val="center"/>
        <w:rPr>
          <w:rFonts w:eastAsia="楷体_GB2312"/>
          <w:b/>
          <w:sz w:val="32"/>
          <w:szCs w:val="32"/>
        </w:rPr>
      </w:pPr>
    </w:p>
    <w:p w:rsidR="00535A2C" w:rsidRDefault="00535A2C" w:rsidP="00535A2C">
      <w:pPr>
        <w:jc w:val="center"/>
        <w:rPr>
          <w:rFonts w:eastAsia="楷体_GB2312"/>
          <w:b/>
          <w:sz w:val="32"/>
          <w:szCs w:val="32"/>
        </w:rPr>
      </w:pPr>
    </w:p>
    <w:p w:rsidR="00535A2C" w:rsidRDefault="00535A2C" w:rsidP="00535A2C">
      <w:pPr>
        <w:jc w:val="center"/>
        <w:rPr>
          <w:rFonts w:eastAsia="楷体_GB2312"/>
          <w:b/>
          <w:sz w:val="32"/>
          <w:szCs w:val="32"/>
        </w:rPr>
      </w:pPr>
    </w:p>
    <w:p w:rsidR="00535A2C" w:rsidRDefault="00535A2C" w:rsidP="00535A2C">
      <w:pPr>
        <w:jc w:val="center"/>
        <w:rPr>
          <w:rFonts w:eastAsia="楷体_GB2312"/>
          <w:b/>
          <w:sz w:val="32"/>
          <w:szCs w:val="32"/>
        </w:rPr>
      </w:pPr>
    </w:p>
    <w:p w:rsidR="00535A2C" w:rsidRDefault="00535A2C" w:rsidP="00535A2C">
      <w:pPr>
        <w:jc w:val="center"/>
        <w:rPr>
          <w:rFonts w:eastAsia="楷体_GB2312"/>
          <w:b/>
          <w:sz w:val="32"/>
          <w:szCs w:val="32"/>
        </w:rPr>
      </w:pPr>
    </w:p>
    <w:p w:rsidR="00535A2C" w:rsidRDefault="00535A2C" w:rsidP="00535A2C">
      <w:pPr>
        <w:jc w:val="center"/>
        <w:rPr>
          <w:rFonts w:eastAsia="黑体"/>
          <w:sz w:val="32"/>
          <w:szCs w:val="32"/>
        </w:rPr>
      </w:pPr>
    </w:p>
    <w:p w:rsidR="00535A2C" w:rsidRDefault="00535A2C" w:rsidP="00535A2C">
      <w:pPr>
        <w:jc w:val="center"/>
        <w:rPr>
          <w:rFonts w:eastAsia="黑体"/>
          <w:sz w:val="32"/>
          <w:szCs w:val="32"/>
        </w:rPr>
      </w:pPr>
    </w:p>
    <w:p w:rsidR="00535A2C" w:rsidRDefault="00535A2C" w:rsidP="00535A2C">
      <w:pPr>
        <w:jc w:val="center"/>
        <w:rPr>
          <w:rFonts w:eastAsia="黑体"/>
          <w:sz w:val="32"/>
          <w:szCs w:val="32"/>
        </w:rPr>
      </w:pPr>
    </w:p>
    <w:p w:rsidR="00535A2C" w:rsidRDefault="00535A2C" w:rsidP="00535A2C">
      <w:pPr>
        <w:jc w:val="center"/>
        <w:rPr>
          <w:rFonts w:eastAsia="黑体"/>
          <w:sz w:val="32"/>
          <w:szCs w:val="32"/>
        </w:rPr>
      </w:pPr>
    </w:p>
    <w:p w:rsidR="00535A2C" w:rsidRDefault="00535A2C" w:rsidP="00535A2C">
      <w:pPr>
        <w:jc w:val="center"/>
        <w:rPr>
          <w:rFonts w:eastAsia="黑体"/>
          <w:sz w:val="32"/>
          <w:szCs w:val="32"/>
        </w:rPr>
      </w:pPr>
    </w:p>
    <w:p w:rsidR="00535A2C" w:rsidRDefault="00535A2C" w:rsidP="00535A2C">
      <w:pPr>
        <w:jc w:val="center"/>
        <w:rPr>
          <w:rFonts w:eastAsia="黑体"/>
          <w:sz w:val="32"/>
          <w:szCs w:val="32"/>
        </w:rPr>
      </w:pPr>
    </w:p>
    <w:p w:rsidR="00535A2C" w:rsidRDefault="00535A2C" w:rsidP="00535A2C">
      <w:pPr>
        <w:rPr>
          <w:rFonts w:eastAsia="黑体"/>
          <w:sz w:val="32"/>
          <w:szCs w:val="32"/>
        </w:rPr>
      </w:pPr>
    </w:p>
    <w:p w:rsidR="00535A2C" w:rsidRDefault="00535A2C" w:rsidP="00535A2C">
      <w:pPr>
        <w:spacing w:line="600" w:lineRule="exact"/>
        <w:jc w:val="center"/>
        <w:rPr>
          <w:rFonts w:eastAsia="仿宋_GB2312"/>
          <w:sz w:val="32"/>
          <w:szCs w:val="32"/>
          <w:u w:val="single"/>
        </w:rPr>
      </w:pPr>
      <w:r>
        <w:rPr>
          <w:rFonts w:eastAsia="仿宋_GB2312"/>
          <w:sz w:val="32"/>
          <w:szCs w:val="32"/>
        </w:rPr>
        <w:t>部门（单位）名称：</w:t>
      </w:r>
      <w:r w:rsidR="008B03F7">
        <w:rPr>
          <w:rFonts w:eastAsia="仿宋_GB2312" w:hint="eastAsia"/>
          <w:sz w:val="32"/>
          <w:szCs w:val="32"/>
          <w:u w:val="single"/>
        </w:rPr>
        <w:t>华容县科学技术局</w:t>
      </w:r>
    </w:p>
    <w:p w:rsidR="00535A2C" w:rsidRDefault="00535A2C" w:rsidP="00535A2C">
      <w:pPr>
        <w:spacing w:line="600" w:lineRule="exact"/>
        <w:jc w:val="center"/>
        <w:rPr>
          <w:rFonts w:eastAsia="楷体_GB2312"/>
          <w:sz w:val="32"/>
          <w:szCs w:val="32"/>
        </w:rPr>
      </w:pPr>
      <w:r>
        <w:rPr>
          <w:rFonts w:eastAsia="楷体_GB2312" w:hint="eastAsia"/>
          <w:sz w:val="32"/>
          <w:szCs w:val="32"/>
        </w:rPr>
        <w:t>2023</w:t>
      </w:r>
      <w:r>
        <w:rPr>
          <w:rFonts w:eastAsia="楷体_GB2312"/>
          <w:sz w:val="32"/>
          <w:szCs w:val="32"/>
        </w:rPr>
        <w:t>年</w:t>
      </w:r>
      <w:r>
        <w:rPr>
          <w:rFonts w:eastAsia="楷体_GB2312" w:hint="eastAsia"/>
          <w:sz w:val="32"/>
          <w:szCs w:val="32"/>
        </w:rPr>
        <w:t>7</w:t>
      </w:r>
      <w:r>
        <w:rPr>
          <w:rFonts w:eastAsia="楷体_GB2312"/>
          <w:sz w:val="32"/>
          <w:szCs w:val="32"/>
        </w:rPr>
        <w:t>月</w:t>
      </w:r>
      <w:r>
        <w:rPr>
          <w:rFonts w:eastAsia="楷体_GB2312" w:hint="eastAsia"/>
          <w:sz w:val="32"/>
          <w:szCs w:val="32"/>
        </w:rPr>
        <w:t>14</w:t>
      </w:r>
      <w:r>
        <w:rPr>
          <w:rFonts w:eastAsia="楷体_GB2312"/>
          <w:sz w:val="32"/>
          <w:szCs w:val="32"/>
        </w:rPr>
        <w:t>日</w:t>
      </w:r>
    </w:p>
    <w:p w:rsidR="00535A2C" w:rsidRDefault="00535A2C" w:rsidP="00535A2C">
      <w:pPr>
        <w:spacing w:line="610" w:lineRule="exact"/>
        <w:jc w:val="center"/>
        <w:rPr>
          <w:rFonts w:eastAsia="仿宋_GB2312"/>
          <w:sz w:val="32"/>
          <w:szCs w:val="32"/>
        </w:rPr>
      </w:pPr>
    </w:p>
    <w:p w:rsidR="00535A2C" w:rsidRDefault="00535A2C" w:rsidP="00535A2C">
      <w:pPr>
        <w:spacing w:line="6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2022年度华容县科学技术局整体支出</w:t>
      </w:r>
    </w:p>
    <w:p w:rsidR="00535A2C" w:rsidRDefault="00535A2C" w:rsidP="00535A2C">
      <w:pPr>
        <w:spacing w:line="61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535A2C" w:rsidRDefault="00535A2C" w:rsidP="00535A2C">
      <w:pPr>
        <w:spacing w:line="610" w:lineRule="exact"/>
        <w:ind w:firstLineChars="200" w:firstLine="640"/>
        <w:rPr>
          <w:rFonts w:eastAsia="仿宋_GB2312"/>
          <w:sz w:val="32"/>
          <w:szCs w:val="32"/>
        </w:rPr>
      </w:pPr>
    </w:p>
    <w:p w:rsidR="00535A2C" w:rsidRDefault="00535A2C" w:rsidP="008B03F7">
      <w:pPr>
        <w:spacing w:line="600" w:lineRule="exact"/>
        <w:ind w:firstLineChars="200" w:firstLine="640"/>
        <w:rPr>
          <w:rFonts w:eastAsia="黑体"/>
          <w:sz w:val="32"/>
          <w:szCs w:val="32"/>
        </w:rPr>
      </w:pPr>
      <w:r>
        <w:rPr>
          <w:rFonts w:eastAsia="黑体"/>
          <w:sz w:val="32"/>
          <w:szCs w:val="32"/>
        </w:rPr>
        <w:t>一、部门（单位）基本情况</w:t>
      </w:r>
    </w:p>
    <w:p w:rsidR="008805DE" w:rsidRPr="002F6C10" w:rsidRDefault="008805DE" w:rsidP="008B03F7">
      <w:pPr>
        <w:snapToGrid w:val="0"/>
        <w:spacing w:line="600" w:lineRule="exact"/>
        <w:ind w:firstLineChars="250" w:firstLine="800"/>
        <w:rPr>
          <w:rFonts w:ascii="仿宋" w:eastAsia="仿宋" w:hAnsi="仿宋"/>
          <w:sz w:val="32"/>
          <w:szCs w:val="32"/>
        </w:rPr>
      </w:pPr>
      <w:r w:rsidRPr="002F6C10">
        <w:rPr>
          <w:rFonts w:ascii="仿宋" w:eastAsia="仿宋" w:hAnsi="仿宋" w:hint="eastAsia"/>
          <w:sz w:val="32"/>
          <w:szCs w:val="32"/>
        </w:rPr>
        <w:t>1．主要职能：</w:t>
      </w:r>
    </w:p>
    <w:p w:rsidR="008805DE" w:rsidRPr="002F6C10" w:rsidRDefault="008805DE" w:rsidP="008B03F7">
      <w:pPr>
        <w:widowControl/>
        <w:shd w:val="clear" w:color="auto" w:fill="FFFFFF"/>
        <w:spacing w:line="600" w:lineRule="exact"/>
        <w:ind w:firstLine="643"/>
        <w:rPr>
          <w:rFonts w:ascii="仿宋" w:eastAsia="仿宋" w:hAnsi="仿宋" w:cs="微软雅黑"/>
          <w:color w:val="000000"/>
          <w:sz w:val="32"/>
          <w:szCs w:val="32"/>
        </w:rPr>
      </w:pPr>
      <w:r w:rsidRPr="002F6C10">
        <w:rPr>
          <w:rFonts w:ascii="仿宋" w:eastAsia="仿宋" w:hAnsi="仿宋" w:cs="仿宋" w:hint="eastAsia"/>
          <w:color w:val="000000"/>
          <w:kern w:val="0"/>
          <w:sz w:val="32"/>
          <w:szCs w:val="32"/>
          <w:shd w:val="clear" w:color="auto" w:fill="FFFFFF"/>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p w:rsidR="008805DE" w:rsidRPr="002F6C10" w:rsidRDefault="008805DE" w:rsidP="008B03F7">
      <w:pPr>
        <w:snapToGrid w:val="0"/>
        <w:spacing w:line="600" w:lineRule="exact"/>
        <w:ind w:firstLineChars="200" w:firstLine="640"/>
        <w:rPr>
          <w:rFonts w:ascii="仿宋" w:eastAsia="仿宋" w:hAnsi="仿宋"/>
          <w:sz w:val="32"/>
          <w:szCs w:val="32"/>
        </w:rPr>
      </w:pPr>
      <w:r w:rsidRPr="002F6C10">
        <w:rPr>
          <w:rFonts w:ascii="仿宋" w:eastAsia="仿宋" w:hAnsi="仿宋" w:hint="eastAsia"/>
          <w:sz w:val="32"/>
          <w:szCs w:val="32"/>
        </w:rPr>
        <w:t>2．机构情况：</w:t>
      </w:r>
    </w:p>
    <w:p w:rsidR="008805DE" w:rsidRPr="002F6C10" w:rsidRDefault="008805DE" w:rsidP="008B03F7">
      <w:pPr>
        <w:snapToGrid w:val="0"/>
        <w:spacing w:line="600" w:lineRule="exact"/>
        <w:ind w:firstLineChars="200" w:firstLine="640"/>
        <w:rPr>
          <w:rFonts w:ascii="仿宋" w:eastAsia="仿宋" w:hAnsi="仿宋"/>
          <w:sz w:val="32"/>
          <w:szCs w:val="32"/>
        </w:rPr>
      </w:pPr>
      <w:r w:rsidRPr="002F6C10">
        <w:rPr>
          <w:rFonts w:ascii="仿宋" w:eastAsia="仿宋" w:hAnsi="仿宋" w:cs="仿宋" w:hint="eastAsia"/>
          <w:color w:val="000000"/>
          <w:kern w:val="0"/>
          <w:sz w:val="32"/>
          <w:szCs w:val="32"/>
          <w:shd w:val="clear" w:color="auto" w:fill="FFFFFF"/>
        </w:rPr>
        <w:t>县科技局共有科技局机关1个独立核算工作机构，内设股室3个。</w:t>
      </w:r>
    </w:p>
    <w:p w:rsidR="008805DE" w:rsidRPr="002F6C10" w:rsidRDefault="008805DE" w:rsidP="008B03F7">
      <w:pPr>
        <w:widowControl/>
        <w:shd w:val="clear" w:color="auto" w:fill="FFFFFF"/>
        <w:spacing w:line="600" w:lineRule="exact"/>
        <w:ind w:firstLineChars="98" w:firstLine="315"/>
        <w:rPr>
          <w:rFonts w:ascii="仿宋" w:eastAsia="仿宋" w:hAnsi="仿宋"/>
          <w:sz w:val="32"/>
          <w:szCs w:val="32"/>
        </w:rPr>
      </w:pPr>
      <w:r w:rsidRPr="002F6C10">
        <w:rPr>
          <w:rFonts w:ascii="宋体" w:eastAsia="仿宋" w:hAnsi="宋体" w:cs="黑体" w:hint="eastAsia"/>
          <w:b/>
          <w:color w:val="666666"/>
          <w:kern w:val="0"/>
          <w:sz w:val="32"/>
          <w:szCs w:val="32"/>
          <w:shd w:val="clear" w:color="auto" w:fill="FFFFFF"/>
        </w:rPr>
        <w:t> </w:t>
      </w:r>
      <w:r w:rsidRPr="002F6C10">
        <w:rPr>
          <w:rFonts w:ascii="仿宋" w:eastAsia="仿宋" w:hAnsi="仿宋" w:hint="eastAsia"/>
          <w:sz w:val="32"/>
          <w:szCs w:val="32"/>
        </w:rPr>
        <w:t xml:space="preserve">3．人员情况： </w:t>
      </w:r>
    </w:p>
    <w:p w:rsidR="008805DE" w:rsidRDefault="008805DE" w:rsidP="008B03F7">
      <w:pPr>
        <w:widowControl/>
        <w:shd w:val="clear" w:color="auto" w:fill="FFFFFF"/>
        <w:spacing w:after="150" w:line="600" w:lineRule="exact"/>
        <w:ind w:firstLine="643"/>
        <w:rPr>
          <w:rFonts w:ascii="仿宋" w:eastAsia="仿宋" w:hAnsi="仿宋" w:cs="仿宋"/>
          <w:color w:val="000000"/>
          <w:kern w:val="0"/>
          <w:sz w:val="32"/>
          <w:szCs w:val="32"/>
          <w:shd w:val="clear" w:color="auto" w:fill="FFFFFF"/>
        </w:rPr>
      </w:pPr>
      <w:r w:rsidRPr="002F6C10">
        <w:rPr>
          <w:rFonts w:ascii="仿宋" w:eastAsia="仿宋" w:hAnsi="仿宋" w:cs="仿宋" w:hint="eastAsia"/>
          <w:color w:val="000000"/>
          <w:kern w:val="0"/>
          <w:sz w:val="32"/>
          <w:szCs w:val="32"/>
          <w:shd w:val="clear" w:color="auto" w:fill="FFFFFF"/>
        </w:rPr>
        <w:t>人员编制名</w:t>
      </w:r>
      <w:r>
        <w:rPr>
          <w:rFonts w:ascii="仿宋" w:eastAsia="仿宋" w:hAnsi="仿宋" w:cs="仿宋" w:hint="eastAsia"/>
          <w:color w:val="000000"/>
          <w:kern w:val="0"/>
          <w:sz w:val="32"/>
          <w:szCs w:val="32"/>
          <w:shd w:val="clear" w:color="auto" w:fill="FFFFFF"/>
        </w:rPr>
        <w:t>13</w:t>
      </w:r>
      <w:r w:rsidRPr="002F6C10">
        <w:rPr>
          <w:rFonts w:ascii="仿宋" w:eastAsia="仿宋" w:hAnsi="仿宋" w:cs="仿宋" w:hint="eastAsia"/>
          <w:color w:val="000000"/>
          <w:kern w:val="0"/>
          <w:sz w:val="32"/>
          <w:szCs w:val="32"/>
          <w:shd w:val="clear" w:color="auto" w:fill="FFFFFF"/>
        </w:rPr>
        <w:t>（其中行政编制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w:t>
      </w:r>
      <w:r>
        <w:rPr>
          <w:rFonts w:ascii="仿宋" w:eastAsia="仿宋" w:hAnsi="仿宋" w:cs="仿宋" w:hint="eastAsia"/>
          <w:color w:val="000000"/>
          <w:kern w:val="0"/>
          <w:sz w:val="32"/>
          <w:szCs w:val="32"/>
          <w:shd w:val="clear" w:color="auto" w:fill="FFFFFF"/>
        </w:rPr>
        <w:t>机关工勤编制1名，</w:t>
      </w:r>
      <w:r w:rsidRPr="002F6C10">
        <w:rPr>
          <w:rFonts w:ascii="仿宋" w:eastAsia="仿宋" w:hAnsi="仿宋" w:cs="仿宋" w:hint="eastAsia"/>
          <w:color w:val="000000"/>
          <w:kern w:val="0"/>
          <w:sz w:val="32"/>
          <w:szCs w:val="32"/>
          <w:shd w:val="clear" w:color="auto" w:fill="FFFFFF"/>
        </w:rPr>
        <w:t>事业全额编制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名，）；年末实有在职干部、职工</w:t>
      </w:r>
      <w:r>
        <w:rPr>
          <w:rFonts w:ascii="仿宋" w:eastAsia="仿宋" w:hAnsi="仿宋" w:cs="仿宋" w:hint="eastAsia"/>
          <w:color w:val="000000"/>
          <w:kern w:val="0"/>
          <w:sz w:val="32"/>
          <w:szCs w:val="32"/>
          <w:shd w:val="clear" w:color="auto" w:fill="FFFFFF"/>
        </w:rPr>
        <w:t>16</w:t>
      </w:r>
      <w:r w:rsidRPr="002F6C10">
        <w:rPr>
          <w:rFonts w:ascii="仿宋" w:eastAsia="仿宋" w:hAnsi="仿宋" w:cs="仿宋" w:hint="eastAsia"/>
          <w:color w:val="000000"/>
          <w:kern w:val="0"/>
          <w:sz w:val="32"/>
          <w:szCs w:val="32"/>
          <w:shd w:val="clear" w:color="auto" w:fill="FFFFFF"/>
        </w:rPr>
        <w:t>人（其中行政人员</w:t>
      </w:r>
      <w:r>
        <w:rPr>
          <w:rFonts w:ascii="仿宋" w:eastAsia="仿宋" w:hAnsi="仿宋" w:cs="仿宋" w:hint="eastAsia"/>
          <w:color w:val="000000"/>
          <w:kern w:val="0"/>
          <w:sz w:val="32"/>
          <w:szCs w:val="32"/>
          <w:shd w:val="clear" w:color="auto" w:fill="FFFFFF"/>
        </w:rPr>
        <w:t>7</w:t>
      </w:r>
      <w:r w:rsidRPr="002F6C10">
        <w:rPr>
          <w:rFonts w:ascii="仿宋" w:eastAsia="仿宋" w:hAnsi="仿宋" w:cs="仿宋" w:hint="eastAsia"/>
          <w:color w:val="000000"/>
          <w:kern w:val="0"/>
          <w:sz w:val="32"/>
          <w:szCs w:val="32"/>
          <w:shd w:val="clear" w:color="auto" w:fill="FFFFFF"/>
        </w:rPr>
        <w:t>人，</w:t>
      </w:r>
      <w:r>
        <w:rPr>
          <w:rFonts w:ascii="仿宋" w:eastAsia="仿宋" w:hAnsi="仿宋" w:cs="仿宋" w:hint="eastAsia"/>
          <w:color w:val="000000"/>
          <w:kern w:val="0"/>
          <w:sz w:val="32"/>
          <w:szCs w:val="32"/>
          <w:shd w:val="clear" w:color="auto" w:fill="FFFFFF"/>
        </w:rPr>
        <w:t>机关工勤人员1人，</w:t>
      </w:r>
      <w:r w:rsidRPr="002F6C10">
        <w:rPr>
          <w:rFonts w:ascii="仿宋" w:eastAsia="仿宋" w:hAnsi="仿宋" w:cs="仿宋" w:hint="eastAsia"/>
          <w:color w:val="000000"/>
          <w:kern w:val="0"/>
          <w:sz w:val="32"/>
          <w:szCs w:val="32"/>
          <w:shd w:val="clear" w:color="auto" w:fill="FFFFFF"/>
        </w:rPr>
        <w:t>全额人员</w:t>
      </w:r>
      <w:r>
        <w:rPr>
          <w:rFonts w:ascii="仿宋" w:eastAsia="仿宋" w:hAnsi="仿宋" w:cs="仿宋" w:hint="eastAsia"/>
          <w:color w:val="000000"/>
          <w:kern w:val="0"/>
          <w:sz w:val="32"/>
          <w:szCs w:val="32"/>
          <w:shd w:val="clear" w:color="auto" w:fill="FFFFFF"/>
        </w:rPr>
        <w:t>8</w:t>
      </w:r>
      <w:r w:rsidRPr="002F6C10">
        <w:rPr>
          <w:rFonts w:ascii="仿宋" w:eastAsia="仿宋" w:hAnsi="仿宋" w:cs="仿宋" w:hint="eastAsia"/>
          <w:color w:val="000000"/>
          <w:kern w:val="0"/>
          <w:sz w:val="32"/>
          <w:szCs w:val="32"/>
          <w:shd w:val="clear" w:color="auto" w:fill="FFFFFF"/>
        </w:rPr>
        <w:t>人）</w:t>
      </w:r>
      <w:r w:rsidRPr="00316D96">
        <w:rPr>
          <w:rFonts w:ascii="仿宋" w:eastAsia="仿宋" w:hAnsi="仿宋" w:cs="仿宋" w:hint="eastAsia"/>
          <w:color w:val="000000"/>
          <w:kern w:val="0"/>
          <w:sz w:val="32"/>
          <w:szCs w:val="32"/>
          <w:shd w:val="clear" w:color="auto" w:fill="FFFFFF"/>
        </w:rPr>
        <w:t>。</w:t>
      </w:r>
    </w:p>
    <w:p w:rsidR="003B7AE3" w:rsidRPr="003B7AE3" w:rsidRDefault="003B7AE3" w:rsidP="008B03F7">
      <w:pPr>
        <w:snapToGrid w:val="0"/>
        <w:spacing w:line="600" w:lineRule="exact"/>
        <w:ind w:firstLineChars="200" w:firstLine="640"/>
        <w:rPr>
          <w:rFonts w:ascii="仿宋" w:eastAsia="仿宋" w:hAnsi="仿宋"/>
          <w:sz w:val="32"/>
          <w:szCs w:val="32"/>
        </w:rPr>
      </w:pPr>
      <w:r w:rsidRPr="003B7AE3">
        <w:rPr>
          <w:rFonts w:ascii="仿宋" w:eastAsia="仿宋" w:hAnsi="仿宋" w:hint="eastAsia"/>
          <w:sz w:val="32"/>
          <w:szCs w:val="32"/>
        </w:rPr>
        <w:t>4、当年取得的主要事业成效。</w:t>
      </w:r>
    </w:p>
    <w:p w:rsidR="003B7AE3" w:rsidRPr="00180814" w:rsidRDefault="003B7AE3" w:rsidP="008B03F7">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Pr="00180814">
        <w:rPr>
          <w:rFonts w:ascii="仿宋" w:eastAsia="仿宋" w:hAnsi="仿宋" w:hint="eastAsia"/>
          <w:sz w:val="32"/>
          <w:szCs w:val="32"/>
        </w:rPr>
        <w:t>.考核指标有为有位</w:t>
      </w:r>
    </w:p>
    <w:p w:rsidR="003B7AE3" w:rsidRPr="00180814" w:rsidRDefault="003B7AE3" w:rsidP="008B03F7">
      <w:pPr>
        <w:pStyle w:val="Default"/>
        <w:spacing w:line="600" w:lineRule="exact"/>
        <w:ind w:firstLineChars="200" w:firstLine="640"/>
        <w:jc w:val="both"/>
        <w:rPr>
          <w:rFonts w:ascii="仿宋" w:eastAsia="仿宋" w:hAnsi="仿宋" w:hint="default"/>
          <w:color w:val="auto"/>
          <w:kern w:val="2"/>
          <w:sz w:val="32"/>
          <w:szCs w:val="32"/>
        </w:rPr>
      </w:pPr>
      <w:r w:rsidRPr="00180814">
        <w:rPr>
          <w:rFonts w:ascii="仿宋" w:eastAsia="仿宋" w:hAnsi="仿宋"/>
          <w:color w:val="auto"/>
          <w:kern w:val="2"/>
          <w:sz w:val="32"/>
          <w:szCs w:val="32"/>
        </w:rPr>
        <w:t>高质量7个考核指标在全市6县市中，6个指标居全市前列，预计总分排全市第一。三大绩效考核指标在全市排名居</w:t>
      </w:r>
      <w:r w:rsidRPr="00180814">
        <w:rPr>
          <w:rFonts w:ascii="仿宋" w:eastAsia="仿宋" w:hAnsi="仿宋"/>
          <w:color w:val="auto"/>
          <w:kern w:val="2"/>
          <w:sz w:val="32"/>
          <w:szCs w:val="32"/>
        </w:rPr>
        <w:lastRenderedPageBreak/>
        <w:t>前列。</w:t>
      </w:r>
    </w:p>
    <w:p w:rsidR="003B7AE3" w:rsidRPr="00180814" w:rsidRDefault="003B7AE3" w:rsidP="008B03F7">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Pr="00180814">
        <w:rPr>
          <w:rFonts w:ascii="仿宋" w:eastAsia="仿宋" w:hAnsi="仿宋" w:hint="eastAsia"/>
          <w:sz w:val="32"/>
          <w:szCs w:val="32"/>
        </w:rPr>
        <w:t>.“三大支撑力八项重点”工作成效显著</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动力方面：</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支持华容芥菜产业发展建设项目-中央引导地方发展专项（华容发酵蔬菜特色产业创新平台）。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十大技术攻关方面：</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----湖南沁峰智能充压机器人技术创新。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已成功认定为科技型中小企业，申报市级工程技术研究中心资料重新进行了归集。</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----恒兴建材光固化水性涂料技术创新。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恒兴建材有限公司申报湖南省工程技术研究中心，已完成申报资料的准备工作，并建议工信部门推荐该企业申报市级产业领军人才专项。</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----赛隆药业手性药物研究技术创新。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已完成手性药物研究技术创新，并已完成省科技厅创新创业技术投资项目验收工作。</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----宝丽纺织数码喷绘印花技术创新。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数码喷绘印花技术创新项目已完成，截至目前，产值达15032万元，出口额达到950多万美元。</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----建好潇湘科技要素大市场华容工作站和1家省级众创空间。</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政府常务会已审议通过潇湘科技要素大市场华容工作站建设方案；华容星灿众创空间已成功认定为省级众创空间。</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lastRenderedPageBreak/>
        <w:t>----东颂电子科技创新。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已成功申报科技型中小企业。</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----科创纺织高端牛仔智能化纺纱技术创新。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高端牛仔智能化纺纱技术创新已完成设备安装，现已正式投产。</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----洞庭明珠食品基于绿色及低盐益生菌发酵技术蔬菜的精深加工新工艺创新。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基于绿色及低盐益生菌发酵技术蔬菜的精深加工新工艺创新项目已申报省科技厅高新引领项目。</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----科力嘉纺织5万锭智能化纺纱生产技术创新。</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5万锭智能化纺纱生产技术创新主体设备已安装完毕，现已正式投产。</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----完成省科技企业孵化器建设和申报。</w:t>
      </w:r>
    </w:p>
    <w:p w:rsidR="003B7AE3" w:rsidRPr="00180814"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正在启动中。</w:t>
      </w:r>
    </w:p>
    <w:p w:rsidR="003B7AE3" w:rsidRPr="00180814" w:rsidRDefault="003B7AE3" w:rsidP="008B03F7">
      <w:pPr>
        <w:spacing w:line="600" w:lineRule="exact"/>
        <w:ind w:left="645"/>
        <w:rPr>
          <w:rFonts w:ascii="仿宋" w:eastAsia="仿宋" w:hAnsi="仿宋"/>
          <w:sz w:val="32"/>
          <w:szCs w:val="32"/>
        </w:rPr>
      </w:pPr>
      <w:r>
        <w:rPr>
          <w:rFonts w:ascii="仿宋" w:eastAsia="仿宋" w:hAnsi="仿宋" w:hint="eastAsia"/>
          <w:sz w:val="32"/>
          <w:szCs w:val="32"/>
        </w:rPr>
        <w:t>（3）</w:t>
      </w:r>
      <w:r w:rsidRPr="00180814">
        <w:rPr>
          <w:rFonts w:ascii="仿宋" w:eastAsia="仿宋" w:hAnsi="仿宋" w:hint="eastAsia"/>
          <w:sz w:val="32"/>
          <w:szCs w:val="32"/>
        </w:rPr>
        <w:t>.高新产业培育工作成效显著。</w:t>
      </w:r>
    </w:p>
    <w:p w:rsidR="003B7AE3" w:rsidRPr="003B7AE3" w:rsidRDefault="003B7AE3" w:rsidP="008B03F7">
      <w:pPr>
        <w:spacing w:line="600" w:lineRule="exact"/>
        <w:ind w:firstLineChars="200" w:firstLine="640"/>
        <w:rPr>
          <w:rFonts w:ascii="仿宋" w:eastAsia="仿宋" w:hAnsi="仿宋"/>
          <w:sz w:val="32"/>
          <w:szCs w:val="32"/>
        </w:rPr>
      </w:pPr>
      <w:r w:rsidRPr="00180814">
        <w:rPr>
          <w:rFonts w:ascii="仿宋" w:eastAsia="仿宋" w:hAnsi="仿宋" w:hint="eastAsia"/>
          <w:sz w:val="32"/>
          <w:szCs w:val="32"/>
        </w:rPr>
        <w:t>积极引导科技型中小企业评价入库，全年共入库66家科技型中小企业。全年共组织10家企业申报高新技术企业，今年全县高新技术企业有望达到34家。同时正在对相关企业进行培育，确保2023、2024年每年新认定高新技术企业10家以上。</w:t>
      </w:r>
    </w:p>
    <w:p w:rsidR="00535A2C" w:rsidRDefault="00535A2C" w:rsidP="008B03F7">
      <w:pPr>
        <w:pStyle w:val="a3"/>
        <w:widowControl/>
        <w:spacing w:line="600" w:lineRule="exact"/>
        <w:ind w:firstLine="640"/>
        <w:rPr>
          <w:rFonts w:ascii="Times New Roman" w:eastAsia="黑体" w:hAnsi="Times New Roman"/>
          <w:sz w:val="32"/>
          <w:szCs w:val="32"/>
        </w:rPr>
      </w:pPr>
      <w:r>
        <w:rPr>
          <w:rFonts w:ascii="Times New Roman" w:eastAsia="黑体" w:hAnsi="Times New Roman"/>
          <w:sz w:val="32"/>
          <w:szCs w:val="32"/>
        </w:rPr>
        <w:t>二、基本支出情况</w:t>
      </w:r>
    </w:p>
    <w:p w:rsidR="008805DE" w:rsidRPr="003B7AE3" w:rsidRDefault="003B7AE3" w:rsidP="008B03F7">
      <w:pPr>
        <w:spacing w:line="600" w:lineRule="exact"/>
        <w:ind w:firstLineChars="200" w:firstLine="640"/>
        <w:rPr>
          <w:rFonts w:ascii="仿宋" w:eastAsia="仿宋" w:hAnsi="仿宋" w:cs="仿宋"/>
          <w:sz w:val="32"/>
          <w:szCs w:val="32"/>
        </w:rPr>
      </w:pPr>
      <w:r w:rsidRPr="008B03F7">
        <w:rPr>
          <w:rFonts w:ascii="仿宋" w:eastAsia="仿宋" w:hAnsi="仿宋" w:hint="eastAsia"/>
          <w:sz w:val="32"/>
          <w:szCs w:val="32"/>
        </w:rPr>
        <w:t>全年整体收入1421.36万元，财政拨款1421.36万元。全年整体支出1421.36万元，其中人员支出</w:t>
      </w:r>
      <w:r w:rsidR="0085698B" w:rsidRPr="008B03F7">
        <w:rPr>
          <w:rFonts w:ascii="仿宋" w:eastAsia="仿宋" w:hAnsi="仿宋" w:hint="eastAsia"/>
          <w:sz w:val="32"/>
          <w:szCs w:val="32"/>
        </w:rPr>
        <w:t>190.65</w:t>
      </w:r>
      <w:r w:rsidRPr="008B03F7">
        <w:rPr>
          <w:rFonts w:ascii="仿宋" w:eastAsia="仿宋" w:hAnsi="仿宋" w:hint="eastAsia"/>
          <w:sz w:val="32"/>
          <w:szCs w:val="32"/>
        </w:rPr>
        <w:t>万元，</w:t>
      </w:r>
      <w:r w:rsidRPr="008B03F7">
        <w:rPr>
          <w:rFonts w:ascii="仿宋" w:eastAsia="仿宋" w:hAnsi="仿宋" w:hint="eastAsia"/>
          <w:sz w:val="32"/>
          <w:szCs w:val="32"/>
        </w:rPr>
        <w:lastRenderedPageBreak/>
        <w:t>商品和服务支出</w:t>
      </w:r>
      <w:r w:rsidR="0085698B" w:rsidRPr="008B03F7">
        <w:rPr>
          <w:rFonts w:ascii="仿宋" w:eastAsia="仿宋" w:hAnsi="仿宋" w:hint="eastAsia"/>
          <w:sz w:val="32"/>
          <w:szCs w:val="32"/>
        </w:rPr>
        <w:t>63.88</w:t>
      </w:r>
      <w:r w:rsidRPr="008B03F7">
        <w:rPr>
          <w:rFonts w:ascii="仿宋" w:eastAsia="仿宋" w:hAnsi="仿宋" w:hint="eastAsia"/>
          <w:sz w:val="32"/>
          <w:szCs w:val="32"/>
        </w:rPr>
        <w:t>万元，项目支出</w:t>
      </w:r>
      <w:r w:rsidR="0085698B" w:rsidRPr="008B03F7">
        <w:rPr>
          <w:rFonts w:ascii="仿宋" w:eastAsia="仿宋" w:hAnsi="仿宋" w:hint="eastAsia"/>
          <w:sz w:val="32"/>
          <w:szCs w:val="32"/>
        </w:rPr>
        <w:t>1166.83</w:t>
      </w:r>
      <w:r w:rsidRPr="008B03F7">
        <w:rPr>
          <w:rFonts w:ascii="仿宋" w:eastAsia="仿宋" w:hAnsi="仿宋" w:hint="eastAsia"/>
          <w:sz w:val="32"/>
          <w:szCs w:val="32"/>
        </w:rPr>
        <w:t>万元。其中2022年本年基本支出254.53万元，比上年基本支出</w:t>
      </w:r>
      <w:r w:rsidR="008B03F7">
        <w:rPr>
          <w:rFonts w:ascii="仿宋" w:eastAsia="仿宋" w:hAnsi="仿宋" w:hint="eastAsia"/>
          <w:sz w:val="32"/>
          <w:szCs w:val="32"/>
        </w:rPr>
        <w:t>216.38</w:t>
      </w:r>
      <w:r>
        <w:rPr>
          <w:rFonts w:ascii="仿宋" w:eastAsia="仿宋" w:hAnsi="仿宋" w:cs="仿宋" w:hint="eastAsia"/>
          <w:sz w:val="32"/>
          <w:szCs w:val="32"/>
        </w:rPr>
        <w:t>万元增加了</w:t>
      </w:r>
      <w:r w:rsidR="008B03F7">
        <w:rPr>
          <w:rFonts w:ascii="仿宋" w:eastAsia="仿宋" w:hAnsi="仿宋" w:cs="仿宋" w:hint="eastAsia"/>
          <w:sz w:val="32"/>
          <w:szCs w:val="32"/>
        </w:rPr>
        <w:t>38.15</w:t>
      </w:r>
      <w:r>
        <w:rPr>
          <w:rFonts w:ascii="仿宋" w:eastAsia="仿宋" w:hAnsi="仿宋" w:cs="仿宋" w:hint="eastAsia"/>
          <w:sz w:val="32"/>
          <w:szCs w:val="32"/>
        </w:rPr>
        <w:t>万元，增幅</w:t>
      </w:r>
      <w:r w:rsidR="008B03F7">
        <w:rPr>
          <w:rFonts w:ascii="仿宋" w:eastAsia="仿宋" w:hAnsi="仿宋" w:cs="仿宋" w:hint="eastAsia"/>
          <w:sz w:val="32"/>
          <w:szCs w:val="32"/>
        </w:rPr>
        <w:t>17.63</w:t>
      </w:r>
      <w:r>
        <w:rPr>
          <w:rFonts w:ascii="仿宋" w:eastAsia="仿宋" w:hAnsi="仿宋" w:cs="仿宋" w:hint="eastAsia"/>
          <w:sz w:val="32"/>
          <w:szCs w:val="32"/>
        </w:rPr>
        <w:t>%。其中人员支出</w:t>
      </w:r>
      <w:r w:rsidR="00CB00A2">
        <w:rPr>
          <w:rFonts w:ascii="仿宋" w:eastAsia="仿宋" w:hAnsi="仿宋" w:cs="仿宋" w:hint="eastAsia"/>
          <w:sz w:val="32"/>
          <w:szCs w:val="32"/>
        </w:rPr>
        <w:t>190.65</w:t>
      </w:r>
      <w:r>
        <w:rPr>
          <w:rFonts w:ascii="仿宋" w:eastAsia="仿宋" w:hAnsi="仿宋" w:cs="仿宋" w:hint="eastAsia"/>
          <w:sz w:val="32"/>
          <w:szCs w:val="32"/>
        </w:rPr>
        <w:t>万元，比2021年</w:t>
      </w:r>
      <w:r w:rsidR="00CB00A2">
        <w:rPr>
          <w:rFonts w:ascii="仿宋" w:eastAsia="仿宋" w:hAnsi="仿宋" w:cs="仿宋" w:hint="eastAsia"/>
          <w:sz w:val="32"/>
          <w:szCs w:val="32"/>
        </w:rPr>
        <w:t>182.29</w:t>
      </w:r>
      <w:r>
        <w:rPr>
          <w:rFonts w:ascii="仿宋" w:eastAsia="仿宋" w:hAnsi="仿宋" w:cs="仿宋" w:hint="eastAsia"/>
          <w:sz w:val="32"/>
          <w:szCs w:val="32"/>
        </w:rPr>
        <w:t>万元增加</w:t>
      </w:r>
      <w:r w:rsidR="00CB00A2">
        <w:rPr>
          <w:rFonts w:ascii="仿宋" w:eastAsia="仿宋" w:hAnsi="仿宋" w:cs="仿宋" w:hint="eastAsia"/>
          <w:sz w:val="32"/>
          <w:szCs w:val="32"/>
        </w:rPr>
        <w:t>8.36</w:t>
      </w:r>
      <w:r>
        <w:rPr>
          <w:rFonts w:ascii="仿宋" w:eastAsia="仿宋" w:hAnsi="仿宋" w:cs="仿宋" w:hint="eastAsia"/>
          <w:sz w:val="32"/>
          <w:szCs w:val="32"/>
        </w:rPr>
        <w:t>万元，增幅</w:t>
      </w:r>
      <w:r w:rsidR="002071B9">
        <w:rPr>
          <w:rFonts w:ascii="仿宋" w:eastAsia="仿宋" w:hAnsi="仿宋" w:cs="仿宋" w:hint="eastAsia"/>
          <w:sz w:val="32"/>
          <w:szCs w:val="32"/>
        </w:rPr>
        <w:t>4.58</w:t>
      </w:r>
      <w:r>
        <w:rPr>
          <w:rFonts w:ascii="仿宋" w:eastAsia="仿宋" w:hAnsi="仿宋" w:cs="仿宋" w:hint="eastAsia"/>
          <w:sz w:val="32"/>
          <w:szCs w:val="32"/>
        </w:rPr>
        <w:t>%，公用支出</w:t>
      </w:r>
      <w:r w:rsidR="002071B9">
        <w:rPr>
          <w:rFonts w:ascii="仿宋" w:eastAsia="仿宋" w:hAnsi="仿宋" w:cs="仿宋" w:hint="eastAsia"/>
          <w:sz w:val="32"/>
          <w:szCs w:val="32"/>
        </w:rPr>
        <w:t>63.88</w:t>
      </w:r>
      <w:r>
        <w:rPr>
          <w:rFonts w:ascii="仿宋" w:eastAsia="仿宋" w:hAnsi="仿宋" w:cs="仿宋" w:hint="eastAsia"/>
          <w:sz w:val="32"/>
          <w:szCs w:val="32"/>
        </w:rPr>
        <w:t>万元比2021年</w:t>
      </w:r>
      <w:r w:rsidR="002071B9">
        <w:rPr>
          <w:rFonts w:ascii="仿宋" w:eastAsia="仿宋" w:hAnsi="仿宋" w:cs="仿宋" w:hint="eastAsia"/>
          <w:sz w:val="32"/>
          <w:szCs w:val="32"/>
        </w:rPr>
        <w:t>34.09万元增加29.79万元，增</w:t>
      </w:r>
      <w:r>
        <w:rPr>
          <w:rFonts w:ascii="仿宋" w:eastAsia="仿宋" w:hAnsi="仿宋" w:cs="仿宋" w:hint="eastAsia"/>
          <w:sz w:val="32"/>
          <w:szCs w:val="32"/>
        </w:rPr>
        <w:t>幅</w:t>
      </w:r>
      <w:r w:rsidR="002071B9">
        <w:rPr>
          <w:rFonts w:ascii="仿宋" w:eastAsia="仿宋" w:hAnsi="仿宋" w:cs="仿宋" w:hint="eastAsia"/>
          <w:sz w:val="32"/>
          <w:szCs w:val="32"/>
        </w:rPr>
        <w:t>87.38</w:t>
      </w:r>
      <w:r>
        <w:rPr>
          <w:rFonts w:ascii="仿宋" w:eastAsia="仿宋" w:hAnsi="仿宋" w:cs="仿宋" w:hint="eastAsia"/>
          <w:sz w:val="32"/>
          <w:szCs w:val="32"/>
        </w:rPr>
        <w:t>%。</w:t>
      </w:r>
      <w:r w:rsidR="002071B9">
        <w:rPr>
          <w:rFonts w:ascii="仿宋" w:eastAsia="仿宋" w:hAnsi="仿宋" w:cs="仿宋" w:hint="eastAsia"/>
          <w:sz w:val="32"/>
          <w:szCs w:val="32"/>
        </w:rPr>
        <w:t>2022年度科技为争先创优做了大量工作，指导县企业进行高新技术申报，争创创新型县建设工作等</w:t>
      </w:r>
      <w:r>
        <w:rPr>
          <w:rFonts w:ascii="仿宋" w:eastAsia="仿宋" w:hAnsi="仿宋" w:cs="仿宋" w:hint="eastAsia"/>
          <w:sz w:val="32"/>
          <w:szCs w:val="32"/>
        </w:rPr>
        <w:t>。</w:t>
      </w:r>
    </w:p>
    <w:p w:rsidR="00535A2C" w:rsidRDefault="00535A2C" w:rsidP="008B03F7">
      <w:pPr>
        <w:pStyle w:val="a3"/>
        <w:widowControl/>
        <w:spacing w:line="600" w:lineRule="exact"/>
        <w:ind w:firstLine="640"/>
        <w:rPr>
          <w:rFonts w:ascii="Times New Roman" w:eastAsia="黑体" w:hAnsi="Times New Roman"/>
          <w:sz w:val="32"/>
          <w:szCs w:val="32"/>
        </w:rPr>
      </w:pPr>
      <w:r>
        <w:rPr>
          <w:rFonts w:ascii="Times New Roman" w:eastAsia="黑体" w:hAnsi="Times New Roman"/>
          <w:sz w:val="32"/>
          <w:szCs w:val="32"/>
        </w:rPr>
        <w:t>三、项目支出情况</w:t>
      </w:r>
    </w:p>
    <w:p w:rsidR="008805DE" w:rsidRDefault="003B7AE3" w:rsidP="008B03F7">
      <w:pPr>
        <w:pStyle w:val="a3"/>
        <w:widowControl/>
        <w:spacing w:line="600" w:lineRule="exact"/>
        <w:ind w:firstLine="640"/>
        <w:rPr>
          <w:rFonts w:ascii="Times New Roman" w:eastAsia="黑体" w:hAnsi="Times New Roman"/>
          <w:sz w:val="32"/>
          <w:szCs w:val="32"/>
        </w:rPr>
      </w:pPr>
      <w:r>
        <w:rPr>
          <w:rFonts w:ascii="仿宋" w:eastAsia="仿宋" w:hAnsi="仿宋" w:cs="仿宋" w:hint="eastAsia"/>
          <w:sz w:val="32"/>
          <w:szCs w:val="32"/>
        </w:rPr>
        <w:t>2022年本年项目支出1166.83万元，比上年项目支出</w:t>
      </w:r>
      <w:r w:rsidR="002071B9">
        <w:rPr>
          <w:rFonts w:ascii="仿宋" w:eastAsia="仿宋" w:hAnsi="仿宋" w:cs="仿宋" w:hint="eastAsia"/>
          <w:sz w:val="32"/>
          <w:szCs w:val="32"/>
        </w:rPr>
        <w:t>608.67</w:t>
      </w:r>
      <w:r>
        <w:rPr>
          <w:rFonts w:ascii="仿宋" w:eastAsia="仿宋" w:hAnsi="仿宋" w:cs="仿宋" w:hint="eastAsia"/>
          <w:sz w:val="32"/>
          <w:szCs w:val="32"/>
        </w:rPr>
        <w:t>万元增加了</w:t>
      </w:r>
      <w:r w:rsidR="002071B9">
        <w:rPr>
          <w:rFonts w:ascii="仿宋" w:eastAsia="仿宋" w:hAnsi="仿宋" w:cs="仿宋" w:hint="eastAsia"/>
          <w:sz w:val="32"/>
          <w:szCs w:val="32"/>
        </w:rPr>
        <w:t>558.16</w:t>
      </w:r>
      <w:r>
        <w:rPr>
          <w:rFonts w:ascii="仿宋" w:eastAsia="仿宋" w:hAnsi="仿宋" w:cs="仿宋" w:hint="eastAsia"/>
          <w:sz w:val="32"/>
          <w:szCs w:val="32"/>
        </w:rPr>
        <w:t>万元，增幅</w:t>
      </w:r>
      <w:r w:rsidR="002071B9">
        <w:rPr>
          <w:rFonts w:ascii="仿宋" w:eastAsia="仿宋" w:hAnsi="仿宋" w:cs="仿宋" w:hint="eastAsia"/>
          <w:sz w:val="32"/>
          <w:szCs w:val="32"/>
        </w:rPr>
        <w:t>91.7</w:t>
      </w:r>
      <w:r>
        <w:rPr>
          <w:rFonts w:ascii="仿宋" w:eastAsia="仿宋" w:hAnsi="仿宋" w:cs="仿宋" w:hint="eastAsia"/>
          <w:sz w:val="32"/>
          <w:szCs w:val="32"/>
        </w:rPr>
        <w:t>%。项目支出增加的主要原因是2022</w:t>
      </w:r>
      <w:r w:rsidR="00C13007">
        <w:rPr>
          <w:rFonts w:ascii="仿宋" w:eastAsia="仿宋" w:hAnsi="仿宋" w:cs="仿宋" w:hint="eastAsia"/>
          <w:sz w:val="32"/>
          <w:szCs w:val="32"/>
        </w:rPr>
        <w:t>上级研发奖补资金增加，县本级科技配套增加。</w:t>
      </w:r>
    </w:p>
    <w:p w:rsidR="00535A2C" w:rsidRDefault="00535A2C" w:rsidP="002071B9">
      <w:pPr>
        <w:widowControl/>
        <w:tabs>
          <w:tab w:val="left" w:pos="6313"/>
        </w:tabs>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、部门整体支出绩效情况</w:t>
      </w:r>
      <w:r w:rsidR="002071B9">
        <w:rPr>
          <w:rFonts w:eastAsia="黑体"/>
          <w:sz w:val="32"/>
          <w:szCs w:val="32"/>
        </w:rPr>
        <w:tab/>
      </w:r>
    </w:p>
    <w:p w:rsidR="00C146D8" w:rsidRPr="00C719C3" w:rsidRDefault="00C146D8" w:rsidP="008B03F7">
      <w:pPr>
        <w:spacing w:line="600" w:lineRule="exact"/>
        <w:ind w:firstLineChars="200" w:firstLine="640"/>
        <w:rPr>
          <w:rFonts w:ascii="仿宋" w:eastAsia="仿宋" w:hAnsi="仿宋" w:cs="宋体"/>
          <w:sz w:val="32"/>
          <w:szCs w:val="32"/>
        </w:rPr>
      </w:pPr>
      <w:r w:rsidRPr="00C719C3">
        <w:rPr>
          <w:rFonts w:ascii="仿宋" w:eastAsia="仿宋" w:hAnsi="仿宋" w:cs="宋体" w:hint="eastAsia"/>
          <w:sz w:val="32"/>
          <w:szCs w:val="32"/>
        </w:rPr>
        <w:t>2022年，根据该单位年初工作规划和重点工作，围绕县委、县政府的工作部署，积极履行职责，强化管理，较好地完成了年度工作目标，同时加强预算收支的管理，建立健全内部管理制度，严格内部管理流程，部门整体支出管理得到了提升。2022年度部门整体支出绩效情况如下：</w:t>
      </w:r>
    </w:p>
    <w:p w:rsidR="00C146D8" w:rsidRPr="00C719C3" w:rsidRDefault="00C146D8" w:rsidP="008B03F7">
      <w:pPr>
        <w:spacing w:line="600" w:lineRule="exact"/>
        <w:ind w:firstLineChars="200" w:firstLine="640"/>
        <w:rPr>
          <w:rFonts w:ascii="仿宋" w:eastAsia="仿宋" w:hAnsi="仿宋" w:cs="宋体"/>
          <w:sz w:val="32"/>
          <w:szCs w:val="32"/>
        </w:rPr>
      </w:pPr>
      <w:r w:rsidRPr="00C719C3">
        <w:rPr>
          <w:rFonts w:ascii="仿宋" w:eastAsia="仿宋" w:hAnsi="仿宋" w:cs="宋体" w:hint="eastAsia"/>
          <w:sz w:val="32"/>
          <w:szCs w:val="32"/>
        </w:rPr>
        <w:t>1.本年预算配置控制较好，财政供养人员控制在预算编制以内；“三公”经费支出总额较上年有减少。</w:t>
      </w:r>
    </w:p>
    <w:p w:rsidR="00C146D8" w:rsidRPr="00C719C3" w:rsidRDefault="00C146D8" w:rsidP="008B03F7">
      <w:pPr>
        <w:spacing w:line="600" w:lineRule="exact"/>
        <w:ind w:firstLineChars="200" w:firstLine="640"/>
        <w:rPr>
          <w:rFonts w:ascii="仿宋" w:eastAsia="仿宋" w:hAnsi="仿宋" w:cs="宋体"/>
          <w:sz w:val="32"/>
          <w:szCs w:val="32"/>
        </w:rPr>
      </w:pPr>
      <w:r w:rsidRPr="00C719C3">
        <w:rPr>
          <w:rFonts w:ascii="仿宋" w:eastAsia="仿宋" w:hAnsi="仿宋" w:cs="宋体" w:hint="eastAsia"/>
          <w:sz w:val="32"/>
          <w:szCs w:val="32"/>
        </w:rPr>
        <w:t>2.预算管理方面，科技局制定了切实有效的内部财务、资产内部管理制度，执行总体较为有效。</w:t>
      </w:r>
    </w:p>
    <w:p w:rsidR="00C719C3" w:rsidRPr="00C719C3" w:rsidRDefault="00C146D8" w:rsidP="008B03F7">
      <w:pPr>
        <w:spacing w:line="600" w:lineRule="exact"/>
        <w:ind w:firstLineChars="200" w:firstLine="640"/>
        <w:rPr>
          <w:rFonts w:ascii="仿宋" w:eastAsia="仿宋" w:hAnsi="仿宋" w:cs="宋体"/>
          <w:sz w:val="32"/>
          <w:szCs w:val="32"/>
        </w:rPr>
      </w:pPr>
      <w:r w:rsidRPr="00C719C3">
        <w:rPr>
          <w:rFonts w:ascii="仿宋" w:eastAsia="仿宋" w:hAnsi="仿宋" w:cs="宋体" w:hint="eastAsia"/>
          <w:sz w:val="32"/>
          <w:szCs w:val="32"/>
        </w:rPr>
        <w:t>3、</w:t>
      </w:r>
      <w:r w:rsidR="00C719C3" w:rsidRPr="00C719C3">
        <w:rPr>
          <w:rFonts w:ascii="仿宋" w:eastAsia="仿宋" w:hAnsi="仿宋" w:cs="仿宋_GB2312" w:hint="eastAsia"/>
          <w:sz w:val="32"/>
          <w:szCs w:val="32"/>
        </w:rPr>
        <w:t>固定资产管理情况分析：按照例行节约，物尽其用</w:t>
      </w:r>
      <w:r w:rsidR="00C719C3" w:rsidRPr="00C719C3">
        <w:rPr>
          <w:rFonts w:ascii="仿宋" w:eastAsia="仿宋" w:hAnsi="仿宋" w:cs="仿宋_GB2312" w:hint="eastAsia"/>
          <w:sz w:val="32"/>
          <w:szCs w:val="32"/>
        </w:rPr>
        <w:lastRenderedPageBreak/>
        <w:t>的原则，宣传部资产管理采取统一建账，统一核算管理，对每件固定资产使用明确保管职责，</w:t>
      </w:r>
      <w:r w:rsidR="00C719C3" w:rsidRPr="00C719C3">
        <w:rPr>
          <w:rFonts w:ascii="仿宋" w:eastAsia="仿宋" w:hAnsi="仿宋" w:cs="宋体" w:hint="eastAsia"/>
          <w:sz w:val="32"/>
          <w:szCs w:val="32"/>
        </w:rPr>
        <w:t>闲置的资产，由办公室统一调整，合理流动，发挥其效益。</w:t>
      </w:r>
    </w:p>
    <w:p w:rsidR="00C146D8" w:rsidRPr="00C719C3" w:rsidRDefault="00C146D8" w:rsidP="008B03F7">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r w:rsidRPr="00C719C3">
        <w:rPr>
          <w:rFonts w:ascii="仿宋" w:eastAsia="仿宋" w:hAnsi="仿宋" w:cs="宋体" w:hint="eastAsia"/>
          <w:sz w:val="32"/>
          <w:szCs w:val="32"/>
        </w:rPr>
        <w:t>部门整体结余情况：上年结余无，累计结余无。</w:t>
      </w:r>
    </w:p>
    <w:p w:rsidR="00535A2C" w:rsidRDefault="00535A2C" w:rsidP="008B03F7">
      <w:pPr>
        <w:pStyle w:val="a3"/>
        <w:widowControl/>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、存在的问题及原因分析</w:t>
      </w:r>
    </w:p>
    <w:p w:rsidR="00C146D8" w:rsidRPr="00C146D8" w:rsidRDefault="00C146D8" w:rsidP="008B03F7">
      <w:pPr>
        <w:spacing w:line="600" w:lineRule="exact"/>
        <w:ind w:firstLineChars="200" w:firstLine="640"/>
        <w:rPr>
          <w:rFonts w:ascii="仿宋" w:eastAsia="仿宋" w:hAnsi="仿宋" w:cs="宋体"/>
          <w:sz w:val="32"/>
          <w:szCs w:val="32"/>
        </w:rPr>
      </w:pPr>
      <w:r w:rsidRPr="00C146D8">
        <w:rPr>
          <w:rFonts w:ascii="仿宋" w:eastAsia="仿宋" w:hAnsi="仿宋" w:cs="仿宋" w:hint="eastAsia"/>
          <w:sz w:val="32"/>
          <w:szCs w:val="32"/>
        </w:rPr>
        <w:t>华容县科技局虽然贯彻落实及时到位，工作任务完成出色，但还存在很多不足</w:t>
      </w:r>
      <w:r>
        <w:rPr>
          <w:rFonts w:ascii="仿宋" w:eastAsia="仿宋" w:hAnsi="仿宋" w:cs="仿宋" w:hint="eastAsia"/>
          <w:sz w:val="32"/>
          <w:szCs w:val="32"/>
        </w:rPr>
        <w:t>：</w:t>
      </w:r>
      <w:r w:rsidRPr="00C146D8">
        <w:rPr>
          <w:rFonts w:ascii="仿宋" w:eastAsia="仿宋" w:hAnsi="仿宋" w:cs="仿宋" w:hint="eastAsia"/>
          <w:sz w:val="32"/>
          <w:szCs w:val="32"/>
        </w:rPr>
        <w:t>一是对工作人员的培训与学习不够全面、深入，需要制订系统规范的学习方案措施</w:t>
      </w:r>
      <w:r>
        <w:rPr>
          <w:rFonts w:ascii="仿宋" w:eastAsia="仿宋" w:hAnsi="仿宋" w:cs="仿宋" w:hint="eastAsia"/>
          <w:sz w:val="32"/>
          <w:szCs w:val="32"/>
        </w:rPr>
        <w:t>；</w:t>
      </w:r>
      <w:r w:rsidRPr="00C146D8">
        <w:rPr>
          <w:rFonts w:ascii="仿宋" w:eastAsia="仿宋" w:hAnsi="仿宋" w:cs="仿宋" w:hint="eastAsia"/>
          <w:sz w:val="32"/>
          <w:szCs w:val="32"/>
        </w:rPr>
        <w:t>二是</w:t>
      </w:r>
      <w:r>
        <w:rPr>
          <w:rFonts w:ascii="仿宋" w:eastAsia="仿宋" w:hAnsi="仿宋" w:cs="宋体" w:hint="eastAsia"/>
          <w:sz w:val="32"/>
          <w:szCs w:val="32"/>
        </w:rPr>
        <w:t>预算编制有待更严格执行，预算编制与实际支出项目有的存在差异；</w:t>
      </w:r>
      <w:r w:rsidRPr="00C146D8">
        <w:rPr>
          <w:rFonts w:ascii="仿宋" w:eastAsia="仿宋" w:hAnsi="仿宋" w:cs="仿宋_GB2312" w:hint="eastAsia"/>
          <w:sz w:val="32"/>
          <w:szCs w:val="32"/>
        </w:rPr>
        <w:t>三是对项目跟踪问效和进行有效管理指导等机制尚需逐步健全完善。</w:t>
      </w:r>
    </w:p>
    <w:p w:rsidR="00535A2C" w:rsidRDefault="00535A2C" w:rsidP="008B03F7">
      <w:pPr>
        <w:widowControl/>
        <w:spacing w:line="600" w:lineRule="exact"/>
        <w:ind w:firstLineChars="200" w:firstLine="640"/>
        <w:rPr>
          <w:rFonts w:eastAsia="黑体"/>
          <w:sz w:val="32"/>
          <w:szCs w:val="32"/>
        </w:rPr>
      </w:pPr>
      <w:r>
        <w:rPr>
          <w:rFonts w:eastAsia="黑体" w:hint="eastAsia"/>
          <w:sz w:val="32"/>
          <w:szCs w:val="32"/>
        </w:rPr>
        <w:t>六</w:t>
      </w:r>
      <w:r>
        <w:rPr>
          <w:rFonts w:eastAsia="黑体"/>
          <w:sz w:val="32"/>
          <w:szCs w:val="32"/>
        </w:rPr>
        <w:t>、下一步改进措施</w:t>
      </w:r>
    </w:p>
    <w:p w:rsidR="00C146D8" w:rsidRPr="00C146D8" w:rsidRDefault="00C146D8" w:rsidP="008B03F7">
      <w:pPr>
        <w:spacing w:after="150" w:line="600" w:lineRule="exact"/>
        <w:ind w:firstLineChars="200" w:firstLine="640"/>
        <w:rPr>
          <w:rFonts w:ascii="仿宋" w:eastAsia="仿宋" w:hAnsi="仿宋" w:cs="宋体"/>
          <w:sz w:val="32"/>
          <w:szCs w:val="32"/>
        </w:rPr>
      </w:pPr>
      <w:r w:rsidRPr="00C146D8">
        <w:rPr>
          <w:rFonts w:ascii="仿宋" w:eastAsia="仿宋" w:hAnsi="仿宋" w:cs="宋体" w:hint="eastAsia"/>
          <w:sz w:val="32"/>
          <w:szCs w:val="32"/>
        </w:rPr>
        <w:t>1.制定专项资金管理办法,合理安排资金。</w:t>
      </w:r>
    </w:p>
    <w:p w:rsidR="00C146D8" w:rsidRPr="00C146D8" w:rsidRDefault="00C146D8" w:rsidP="008B03F7">
      <w:pPr>
        <w:spacing w:after="150" w:line="600" w:lineRule="exact"/>
        <w:ind w:firstLineChars="200" w:firstLine="640"/>
        <w:rPr>
          <w:rFonts w:ascii="仿宋" w:eastAsia="仿宋" w:hAnsi="仿宋" w:cs="宋体"/>
          <w:sz w:val="32"/>
          <w:szCs w:val="32"/>
        </w:rPr>
      </w:pPr>
      <w:r w:rsidRPr="00C146D8">
        <w:rPr>
          <w:rFonts w:ascii="仿宋" w:eastAsia="仿宋" w:hAnsi="仿宋" w:cs="宋体" w:hint="eastAsia"/>
          <w:sz w:val="32"/>
          <w:szCs w:val="32"/>
        </w:rPr>
        <w:t>2.建立科普专项资金台账，规范会计核算。</w:t>
      </w:r>
    </w:p>
    <w:p w:rsidR="00535A2C" w:rsidRDefault="00535A2C" w:rsidP="008B03F7">
      <w:pPr>
        <w:widowControl/>
        <w:spacing w:line="600" w:lineRule="exact"/>
        <w:ind w:firstLineChars="200" w:firstLine="640"/>
        <w:rPr>
          <w:rFonts w:eastAsia="仿宋_GB2312"/>
          <w:sz w:val="32"/>
          <w:szCs w:val="32"/>
        </w:rPr>
      </w:pPr>
    </w:p>
    <w:p w:rsidR="00535A2C" w:rsidRDefault="00535A2C" w:rsidP="008B03F7">
      <w:pPr>
        <w:widowControl/>
        <w:spacing w:line="600" w:lineRule="exact"/>
        <w:ind w:firstLineChars="200" w:firstLine="640"/>
        <w:rPr>
          <w:rFonts w:eastAsia="仿宋_GB2312"/>
          <w:sz w:val="32"/>
          <w:szCs w:val="32"/>
        </w:rPr>
      </w:pPr>
    </w:p>
    <w:p w:rsidR="005B02F4" w:rsidRDefault="005B02F4" w:rsidP="008B03F7">
      <w:pPr>
        <w:spacing w:line="600" w:lineRule="exact"/>
      </w:pPr>
    </w:p>
    <w:sectPr w:rsidR="005B02F4" w:rsidSect="005B02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F9" w:rsidRDefault="00E54AF9" w:rsidP="008805DE">
      <w:r>
        <w:separator/>
      </w:r>
    </w:p>
  </w:endnote>
  <w:endnote w:type="continuationSeparator" w:id="0">
    <w:p w:rsidR="00E54AF9" w:rsidRDefault="00E54AF9" w:rsidP="00880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F9" w:rsidRDefault="00E54AF9" w:rsidP="008805DE">
      <w:r>
        <w:separator/>
      </w:r>
    </w:p>
  </w:footnote>
  <w:footnote w:type="continuationSeparator" w:id="0">
    <w:p w:rsidR="00E54AF9" w:rsidRDefault="00E54AF9" w:rsidP="008805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A2C"/>
    <w:rsid w:val="002071B9"/>
    <w:rsid w:val="003B7AE3"/>
    <w:rsid w:val="00535A2C"/>
    <w:rsid w:val="005B02F4"/>
    <w:rsid w:val="005C6F70"/>
    <w:rsid w:val="00817B5C"/>
    <w:rsid w:val="0085698B"/>
    <w:rsid w:val="008805DE"/>
    <w:rsid w:val="008B03F7"/>
    <w:rsid w:val="00A755D7"/>
    <w:rsid w:val="00C13007"/>
    <w:rsid w:val="00C146D8"/>
    <w:rsid w:val="00C719C3"/>
    <w:rsid w:val="00CB00A2"/>
    <w:rsid w:val="00E54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5A2C"/>
    <w:pPr>
      <w:ind w:firstLineChars="200" w:firstLine="420"/>
    </w:pPr>
    <w:rPr>
      <w:rFonts w:ascii="Calibri" w:hAnsi="Calibri"/>
      <w:szCs w:val="22"/>
    </w:rPr>
  </w:style>
  <w:style w:type="paragraph" w:styleId="a4">
    <w:name w:val="footnote text"/>
    <w:basedOn w:val="a"/>
    <w:link w:val="Char"/>
    <w:uiPriority w:val="99"/>
    <w:semiHidden/>
    <w:unhideWhenUsed/>
    <w:rsid w:val="00535A2C"/>
    <w:pPr>
      <w:snapToGrid w:val="0"/>
      <w:jc w:val="left"/>
    </w:pPr>
    <w:rPr>
      <w:sz w:val="18"/>
      <w:szCs w:val="18"/>
    </w:rPr>
  </w:style>
  <w:style w:type="character" w:customStyle="1" w:styleId="Char">
    <w:name w:val="脚注文本 Char"/>
    <w:basedOn w:val="a0"/>
    <w:link w:val="a4"/>
    <w:uiPriority w:val="99"/>
    <w:semiHidden/>
    <w:rsid w:val="00535A2C"/>
    <w:rPr>
      <w:rFonts w:ascii="Times New Roman" w:eastAsia="宋体" w:hAnsi="Times New Roman" w:cs="Times New Roman"/>
      <w:sz w:val="18"/>
      <w:szCs w:val="18"/>
    </w:rPr>
  </w:style>
  <w:style w:type="paragraph" w:styleId="a5">
    <w:name w:val="header"/>
    <w:basedOn w:val="a"/>
    <w:link w:val="Char0"/>
    <w:uiPriority w:val="99"/>
    <w:semiHidden/>
    <w:unhideWhenUsed/>
    <w:rsid w:val="008805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05DE"/>
    <w:rPr>
      <w:rFonts w:ascii="Times New Roman" w:eastAsia="宋体" w:hAnsi="Times New Roman" w:cs="Times New Roman"/>
      <w:sz w:val="18"/>
      <w:szCs w:val="18"/>
    </w:rPr>
  </w:style>
  <w:style w:type="paragraph" w:styleId="a6">
    <w:name w:val="footer"/>
    <w:basedOn w:val="a"/>
    <w:link w:val="Char1"/>
    <w:uiPriority w:val="99"/>
    <w:semiHidden/>
    <w:unhideWhenUsed/>
    <w:rsid w:val="008805D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05DE"/>
    <w:rPr>
      <w:rFonts w:ascii="Times New Roman" w:eastAsia="宋体" w:hAnsi="Times New Roman" w:cs="Times New Roman"/>
      <w:sz w:val="18"/>
      <w:szCs w:val="18"/>
    </w:rPr>
  </w:style>
  <w:style w:type="paragraph" w:styleId="a7">
    <w:name w:val="Normal (Web)"/>
    <w:basedOn w:val="a"/>
    <w:qFormat/>
    <w:rsid w:val="00C146D8"/>
    <w:pPr>
      <w:jc w:val="left"/>
    </w:pPr>
    <w:rPr>
      <w:kern w:val="0"/>
      <w:sz w:val="24"/>
    </w:rPr>
  </w:style>
  <w:style w:type="paragraph" w:customStyle="1" w:styleId="Default">
    <w:name w:val="Default"/>
    <w:uiPriority w:val="99"/>
    <w:unhideWhenUsed/>
    <w:qFormat/>
    <w:rsid w:val="003B7AE3"/>
    <w:pPr>
      <w:widowControl w:val="0"/>
      <w:autoSpaceDE w:val="0"/>
      <w:autoSpaceDN w:val="0"/>
      <w:adjustRightInd w:val="0"/>
    </w:pPr>
    <w:rPr>
      <w:rFonts w:ascii="Calibri" w:eastAsia="Times New Roman" w:hAnsi="Calibri" w:cs="Times New Roman" w:hint="eastAsia"/>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2023-07-14T08:51:00Z</dcterms:created>
  <dcterms:modified xsi:type="dcterms:W3CDTF">2023-07-19T02:53:00Z</dcterms:modified>
</cp:coreProperties>
</file>