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6"/>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433"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37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130</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135</w:t>
            </w:r>
            <w:bookmarkStart w:id="11" w:name="_GoBack"/>
            <w:bookmarkEnd w:id="11"/>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2161.11</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2495.26</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2482.99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1002.35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887.61</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887.61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.政协调研资金</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.信息化建设</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151.78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3.老旧小区改造</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32.43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4.财政专项资金</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310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5.债务管理工作经费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45.55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6.财政评审业务</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340.77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7.其他项目（乡财）</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default" w:ascii="Times New Roman" w:hAnsi="Times New Roman" w:eastAsia="仿宋_GB2312" w:cs="Times New Roman"/>
          <w:sz w:val="22"/>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周傲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2023.7.13</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 xml:space="preserve">0730-4211636 </w:t>
      </w:r>
      <w:r>
        <w:rPr>
          <w:rFonts w:hint="default" w:ascii="Times New Roman" w:hAnsi="Times New Roman" w:eastAsia="仿宋_GB2312" w:cs="Times New Roman"/>
          <w:sz w:val="22"/>
        </w:rPr>
        <w:t>单位负责人签字：</w:t>
      </w:r>
      <w:r>
        <w:rPr>
          <w:rFonts w:hint="eastAsia" w:eastAsia="仿宋_GB2312" w:cs="Times New Roman"/>
          <w:sz w:val="22"/>
          <w:lang w:eastAsia="zh-CN"/>
        </w:rPr>
        <w:t>杜云</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6"/>
        <w:tblW w:w="4996" w:type="pct"/>
        <w:jc w:val="center"/>
        <w:tblLayout w:type="fixed"/>
        <w:tblCellMar>
          <w:top w:w="0" w:type="dxa"/>
          <w:left w:w="108" w:type="dxa"/>
          <w:bottom w:w="0" w:type="dxa"/>
          <w:right w:w="108" w:type="dxa"/>
        </w:tblCellMar>
      </w:tblPr>
      <w:tblGrid>
        <w:gridCol w:w="1094"/>
        <w:gridCol w:w="876"/>
        <w:gridCol w:w="1037"/>
        <w:gridCol w:w="886"/>
        <w:gridCol w:w="1279"/>
        <w:gridCol w:w="1189"/>
        <w:gridCol w:w="793"/>
        <w:gridCol w:w="900"/>
        <w:gridCol w:w="1227"/>
      </w:tblGrid>
      <w:tr>
        <w:tblPrEx>
          <w:tblCellMar>
            <w:top w:w="0" w:type="dxa"/>
            <w:left w:w="108" w:type="dxa"/>
            <w:bottom w:w="0" w:type="dxa"/>
            <w:right w:w="108" w:type="dxa"/>
          </w:tblCellMar>
        </w:tblPrEx>
        <w:trPr>
          <w:trHeight w:val="1003" w:hRule="atLeast"/>
          <w:jc w:val="center"/>
        </w:trPr>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0"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华容县财政局</w:t>
            </w:r>
          </w:p>
        </w:tc>
      </w:tr>
      <w:tr>
        <w:tblPrEx>
          <w:tblCellMar>
            <w:top w:w="0" w:type="dxa"/>
            <w:left w:w="108" w:type="dxa"/>
            <w:bottom w:w="0" w:type="dxa"/>
            <w:right w:w="108" w:type="dxa"/>
          </w:tblCellMar>
        </w:tblPrEx>
        <w:trPr>
          <w:trHeight w:val="863" w:hRule="atLeast"/>
          <w:jc w:val="center"/>
        </w:trPr>
        <w:tc>
          <w:tcPr>
            <w:tcW w:w="589"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030"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9"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030"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1555</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3331.47</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3331.47</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3331.47</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3370.6</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3316.47</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2482.99</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5</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887.61</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10</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9"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9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1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96" w:type="pct"/>
            <w:gridSpan w:val="4"/>
            <w:tcBorders>
              <w:top w:val="single" w:color="auto" w:sz="4" w:space="0"/>
              <w:left w:val="nil"/>
              <w:bottom w:val="single" w:color="auto" w:sz="4" w:space="0"/>
              <w:right w:val="single" w:color="000000"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1：编制本县年度预决算草案并组织执行；</w:t>
            </w:r>
          </w:p>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2：制定财政和预算收入计划；</w:t>
            </w:r>
          </w:p>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3：管理县级财政公共支出和各项专款；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default" w:ascii="仿宋_GB2312" w:hAnsi="仿宋_GB2312" w:eastAsia="仿宋_GB2312" w:cs="仿宋_GB2312"/>
                <w:color w:val="000000"/>
                <w:kern w:val="0"/>
                <w:sz w:val="24"/>
                <w:szCs w:val="20"/>
                <w:lang w:val="en-US" w:eastAsia="zh-CN" w:bidi="hi-IN"/>
              </w:rPr>
              <w:t>4：管理和监督政府采购、社会保障、会计制度执行及国有资产工作等</w:t>
            </w:r>
          </w:p>
        </w:tc>
        <w:tc>
          <w:tcPr>
            <w:tcW w:w="221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b/>
                <w:bCs/>
                <w:color w:val="000000"/>
                <w:sz w:val="21"/>
                <w:szCs w:val="21"/>
              </w:rPr>
            </w:pPr>
            <w:r>
              <w:rPr>
                <w:rFonts w:hint="default" w:ascii="仿宋_GB2312" w:hAnsi="仿宋_GB2312" w:eastAsia="仿宋_GB2312" w:cs="仿宋_GB2312"/>
                <w:color w:val="000000"/>
                <w:kern w:val="0"/>
                <w:sz w:val="24"/>
                <w:szCs w:val="20"/>
                <w:lang w:val="en-US" w:eastAsia="zh-CN" w:bidi="hi-IN"/>
              </w:rPr>
              <w:t>积极组织财政收入，认真加强预算管理和财政监督；全面推进财政科学化、精细化管理水平；规范政府采购行为以及做好项目建设服务等相关工作，确保了财政各项经济指标的圆满完成。</w:t>
            </w:r>
          </w:p>
        </w:tc>
      </w:tr>
      <w:tr>
        <w:tblPrEx>
          <w:tblCellMar>
            <w:top w:w="0" w:type="dxa"/>
            <w:left w:w="108" w:type="dxa"/>
            <w:bottom w:w="0" w:type="dxa"/>
            <w:right w:w="108" w:type="dxa"/>
          </w:tblCellMar>
        </w:tblPrEx>
        <w:trPr>
          <w:trHeight w:val="850" w:hRule="atLeast"/>
          <w:jc w:val="center"/>
        </w:trPr>
        <w:tc>
          <w:tcPr>
            <w:tcW w:w="58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rPr>
            </w:pPr>
            <w:r>
              <w:rPr>
                <w:rFonts w:hint="eastAsia"/>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rPr>
            </w:pPr>
            <w:r>
              <w:rPr>
                <w:rFonts w:hint="eastAsia"/>
              </w:rPr>
              <w:t>指标</w:t>
            </w:r>
          </w:p>
          <w:p>
            <w:pPr>
              <w:pStyle w:val="2"/>
              <w:keepNext w:val="0"/>
              <w:keepLines w:val="0"/>
              <w:suppressLineNumbers w:val="0"/>
              <w:spacing w:before="0" w:beforeAutospacing="0" w:after="0" w:afterAutospacing="0"/>
              <w:ind w:left="0" w:right="0"/>
              <w:rPr>
                <w:rFonts w:hint="eastAsia" w:eastAsia="新宋体"/>
                <w:lang w:eastAsia="zh-CN"/>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27分）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rPr>
            </w:pPr>
            <w:r>
              <w:rPr>
                <w:rFonts w:hint="eastAsia" w:ascii="仿宋_GB2312" w:hAnsi="仿宋_GB2312" w:eastAsia="仿宋_GB2312" w:cs="仿宋_GB2312"/>
                <w:kern w:val="0"/>
                <w:sz w:val="18"/>
                <w:szCs w:val="18"/>
                <w:u w:val="none"/>
              </w:rPr>
              <w:t>培财源、抓收入</w:t>
            </w:r>
          </w:p>
          <w:p>
            <w:pPr>
              <w:pStyle w:val="2"/>
              <w:keepNext w:val="0"/>
              <w:keepLines w:val="0"/>
              <w:suppressLineNumbers w:val="0"/>
              <w:spacing w:before="0" w:beforeAutospacing="0" w:after="0" w:afterAutospacing="0"/>
              <w:ind w:left="0" w:right="0"/>
              <w:rPr>
                <w:rFonts w:hint="eastAsia" w:eastAsia="仿宋"/>
                <w:lang w:eastAsia="zh-CN"/>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仿宋_GB2312" w:cs="新宋体"/>
                <w:color w:val="000000"/>
                <w:sz w:val="21"/>
                <w:szCs w:val="21"/>
                <w:lang w:eastAsia="zh-CN"/>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rPr>
              <w:t>全年一般公共预算地方收入完成7.54亿元，同比增长11.3%，其中地方税收收入完成5.47亿元，同比增长15.3%，地方收入中税收占比72.6%，较上年同期提升2.5个百</w:t>
            </w:r>
            <w:r>
              <w:rPr>
                <w:rFonts w:hint="eastAsia" w:ascii="仿宋_GB2312" w:hAnsi="仿宋_GB2312" w:eastAsia="仿宋_GB2312" w:cs="仿宋_GB2312"/>
                <w:kern w:val="0"/>
                <w:sz w:val="18"/>
                <w:szCs w:val="18"/>
                <w:u w:val="none"/>
                <w:lang w:eastAsia="zh-CN"/>
              </w:rPr>
              <w:t>分</w:t>
            </w:r>
            <w:r>
              <w:rPr>
                <w:rFonts w:hint="eastAsia" w:ascii="仿宋_GB2312" w:hAnsi="仿宋_GB2312" w:eastAsia="仿宋_GB2312" w:cs="仿宋_GB2312"/>
                <w:kern w:val="0"/>
                <w:sz w:val="18"/>
                <w:szCs w:val="18"/>
                <w:u w:val="none"/>
              </w:rPr>
              <w:t>点</w:t>
            </w:r>
            <w:r>
              <w:rPr>
                <w:rFonts w:hint="eastAsia" w:ascii="仿宋_GB2312" w:hAnsi="仿宋_GB2312" w:eastAsia="仿宋_GB2312" w:cs="仿宋_GB2312"/>
                <w:kern w:val="0"/>
                <w:sz w:val="18"/>
                <w:szCs w:val="18"/>
                <w:u w:val="none"/>
                <w:lang w:eastAsia="zh-CN"/>
              </w:rPr>
              <w:t>。</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rPr>
              <w:t>全年一般公共预算地方收入完成7.54亿元，同比增长11.3%，其中地方税收收入完成5.47亿元，同比增长15.3%，地方收入中税收占比72.6%，较上年同期提升2.5个百</w:t>
            </w:r>
            <w:r>
              <w:rPr>
                <w:rFonts w:hint="eastAsia" w:ascii="仿宋_GB2312" w:hAnsi="仿宋_GB2312" w:eastAsia="仿宋_GB2312" w:cs="仿宋_GB2312"/>
                <w:kern w:val="0"/>
                <w:sz w:val="18"/>
                <w:szCs w:val="18"/>
                <w:u w:val="none"/>
                <w:lang w:eastAsia="zh-CN"/>
              </w:rPr>
              <w:t>分</w:t>
            </w:r>
            <w:r>
              <w:rPr>
                <w:rFonts w:hint="eastAsia" w:ascii="仿宋_GB2312" w:hAnsi="仿宋_GB2312" w:eastAsia="仿宋_GB2312" w:cs="仿宋_GB2312"/>
                <w:kern w:val="0"/>
                <w:sz w:val="18"/>
                <w:szCs w:val="18"/>
                <w:u w:val="none"/>
              </w:rPr>
              <w:t>点</w:t>
            </w:r>
            <w:r>
              <w:rPr>
                <w:rFonts w:hint="eastAsia" w:ascii="仿宋_GB2312" w:hAnsi="仿宋_GB2312" w:eastAsia="仿宋_GB2312" w:cs="仿宋_GB2312"/>
                <w:kern w:val="0"/>
                <w:sz w:val="18"/>
                <w:szCs w:val="18"/>
                <w:u w:val="none"/>
                <w:lang w:eastAsia="zh-CN"/>
              </w:rPr>
              <w:t>。</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保民生、促发展</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rPr>
              <w:t>　</w:t>
            </w:r>
            <w:r>
              <w:rPr>
                <w:rFonts w:hint="eastAsia" w:ascii="仿宋_GB2312" w:hAnsi="仿宋_GB2312" w:eastAsia="仿宋_GB2312" w:cs="仿宋_GB2312"/>
                <w:kern w:val="0"/>
                <w:sz w:val="18"/>
                <w:szCs w:val="18"/>
                <w:u w:val="none"/>
              </w:rPr>
              <w:t>全年财政民生支出36.34亿元，占一般公共预算支出的73%。</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18"/>
                <w:szCs w:val="18"/>
              </w:rPr>
              <w:t>　</w:t>
            </w:r>
            <w:r>
              <w:rPr>
                <w:rFonts w:hint="eastAsia" w:ascii="仿宋_GB2312" w:hAnsi="仿宋_GB2312" w:eastAsia="仿宋_GB2312" w:cs="仿宋_GB2312"/>
                <w:kern w:val="0"/>
                <w:sz w:val="18"/>
                <w:szCs w:val="18"/>
                <w:u w:val="none"/>
              </w:rPr>
              <w:t>全年财政民生支出36.34亿元，占一般公共预算支出的73%。</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抓化债</w:t>
            </w:r>
            <w:r>
              <w:rPr>
                <w:rFonts w:hint="eastAsia" w:ascii="仿宋" w:hAnsi="仿宋" w:eastAsia="仿宋" w:cs="仿宋_GB2312"/>
                <w:color w:val="000000"/>
                <w:sz w:val="18"/>
                <w:szCs w:val="18"/>
                <w:lang w:eastAsia="zh-CN"/>
              </w:rPr>
              <w:t>、</w:t>
            </w:r>
            <w:r>
              <w:rPr>
                <w:rFonts w:hint="eastAsia" w:ascii="仿宋" w:hAnsi="仿宋" w:eastAsia="仿宋" w:cs="仿宋_GB2312"/>
                <w:color w:val="000000"/>
                <w:sz w:val="18"/>
                <w:szCs w:val="18"/>
              </w:rPr>
              <w:t>防风险</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_GB2312" w:hAnsi="仿宋_GB2312" w:eastAsia="仿宋_GB2312" w:cs="仿宋_GB2312"/>
                <w:kern w:val="0"/>
                <w:sz w:val="21"/>
                <w:szCs w:val="21"/>
                <w:u w:val="none"/>
              </w:rPr>
              <w:t>　</w:t>
            </w:r>
            <w:r>
              <w:rPr>
                <w:rFonts w:hint="eastAsia" w:ascii="仿宋_GB2312" w:hAnsi="仿宋_GB2312" w:eastAsia="仿宋_GB2312" w:cs="仿宋_GB2312"/>
                <w:kern w:val="0"/>
                <w:sz w:val="18"/>
                <w:szCs w:val="18"/>
                <w:u w:val="none"/>
                <w:lang w:val="en-US" w:eastAsia="zh-CN"/>
              </w:rPr>
              <w:t>2022年县财政共偿还政府债务本息3.04亿元，化解率为49.28%。</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21"/>
                <w:szCs w:val="21"/>
                <w:u w:val="none"/>
              </w:rPr>
              <w:t>　</w:t>
            </w:r>
            <w:r>
              <w:rPr>
                <w:rFonts w:hint="eastAsia" w:ascii="仿宋_GB2312" w:hAnsi="仿宋_GB2312" w:eastAsia="仿宋_GB2312" w:cs="仿宋_GB2312"/>
                <w:kern w:val="0"/>
                <w:sz w:val="18"/>
                <w:szCs w:val="18"/>
                <w:u w:val="none"/>
                <w:lang w:val="en-US" w:eastAsia="zh-CN"/>
              </w:rPr>
              <w:t>2022年县财政共偿还政府债务本息3.04亿元，化解率为49.28%。</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8分）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 w:val="18"/>
                <w:szCs w:val="18"/>
              </w:rPr>
              <w:t>预算执行进展顺利，全面完成了全年地方财政收入任务。</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lang w:val="en-US" w:eastAsia="zh-CN"/>
              </w:rPr>
              <w:t>全县经济运行稳中有进，预算执行情况平稳有序。全年一般公共预算地方收入完成7.54亿元，同比增长11.3%。</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lang w:val="en-US" w:eastAsia="zh-CN"/>
              </w:rPr>
              <w:t>全县经济运行稳中有进，预算执行情况平稳有序。全年一般公共预算地方收入完成7.54亿元，同比增长11.3%。</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69"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8分）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24"/>
              </w:rPr>
              <w:t>经费按时落实到位</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经费按时落实到位</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经费按时落实到位</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7分）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24"/>
              </w:rPr>
              <w:t>严格将开支控制在预算成本内</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达标</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达标</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eastAsia" w:ascii="Times New Roman" w:hAnsi="Times New Roman" w:eastAsia="仿宋_GB2312" w:cs="Times New Roman"/>
                <w:color w:val="auto"/>
                <w:kern w:val="0"/>
                <w:sz w:val="18"/>
                <w:szCs w:val="18"/>
                <w:lang w:val="en-US" w:eastAsia="zh-CN" w:bidi="ar-SA"/>
              </w:rPr>
            </w:pPr>
            <w:r>
              <w:rPr>
                <w:rFonts w:hint="eastAsia" w:ascii="Times New Roman" w:hAnsi="Times New Roman" w:eastAsia="仿宋_GB2312" w:cs="Times New Roman"/>
                <w:color w:val="auto"/>
                <w:kern w:val="0"/>
                <w:sz w:val="18"/>
                <w:szCs w:val="18"/>
                <w:lang w:val="en-US" w:eastAsia="zh-CN" w:bidi="ar-SA"/>
              </w:rPr>
              <w:t>发挥财政资金引导作用及财政政策宏观调控作用，服务县域经济发展。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r>
              <w:rPr>
                <w:rFonts w:hint="default" w:ascii="仿宋_GB2312" w:hAnsi="仿宋_GB2312" w:eastAsia="仿宋_GB2312" w:cs="仿宋_GB2312"/>
                <w:color w:val="000000"/>
                <w:kern w:val="0"/>
                <w:sz w:val="18"/>
                <w:szCs w:val="18"/>
                <w:lang w:val="en-US" w:eastAsia="zh-CN" w:bidi="hi-IN"/>
              </w:rPr>
              <w:t>优化支出结构，着力保障改善民生。推进各项财政改革，加强预算绩效管理，提高财政资金使用效益。</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default" w:ascii="仿宋_GB2312" w:hAnsi="仿宋_GB2312" w:eastAsia="仿宋_GB2312" w:cs="仿宋_GB2312"/>
                <w:color w:val="000000"/>
                <w:kern w:val="0"/>
                <w:sz w:val="18"/>
                <w:szCs w:val="18"/>
                <w:lang w:val="en-US" w:eastAsia="zh-CN" w:bidi="hi-IN"/>
              </w:rPr>
              <w:t>优化支出结构，着力保障改善民生。推进各项财政改革，加强预算绩效管理，提高财政资金使用效益。</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eastAsia" w:ascii="仿宋" w:hAnsi="仿宋" w:eastAsia="仿宋" w:cs="仿宋_GB2312"/>
                <w:color w:val="000000"/>
                <w:kern w:val="2"/>
                <w:sz w:val="18"/>
                <w:szCs w:val="18"/>
                <w:lang w:val="en-US" w:eastAsia="zh-CN" w:bidi="ar-SA"/>
              </w:rPr>
            </w:pPr>
            <w:r>
              <w:rPr>
                <w:rFonts w:hint="eastAsia" w:ascii="仿宋" w:hAnsi="仿宋" w:eastAsia="仿宋" w:cs="仿宋_GB2312"/>
                <w:color w:val="000000"/>
                <w:kern w:val="2"/>
                <w:sz w:val="18"/>
                <w:szCs w:val="18"/>
                <w:lang w:val="en-US" w:eastAsia="zh-CN" w:bidi="ar-SA"/>
              </w:rPr>
              <w:t>统筹财政资金，控制压缩政府行政成本；保障教育、医疗、公共交通、养老助残等民生项目支出。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仿宋" w:hAnsi="仿宋" w:eastAsia="仿宋" w:cs="仿宋_GB2312"/>
                <w:color w:val="000000"/>
                <w:kern w:val="2"/>
                <w:sz w:val="18"/>
                <w:szCs w:val="18"/>
                <w:lang w:val="en-US" w:eastAsia="zh-CN" w:bidi="ar-SA"/>
              </w:rPr>
              <w:t>全年财政民生支出36.34亿元，占一般公共预算支出的73%。</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kern w:val="2"/>
                <w:sz w:val="18"/>
                <w:szCs w:val="18"/>
                <w:lang w:val="en-US" w:eastAsia="zh-CN" w:bidi="ar-SA"/>
              </w:rPr>
              <w:t>全年财政民生支出36.34亿元，占一般公共预算支出的73%。</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支持生态保护</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rPr>
              <w:t>　</w:t>
            </w:r>
            <w:r>
              <w:rPr>
                <w:rFonts w:hint="eastAsia" w:ascii="仿宋" w:hAnsi="仿宋" w:eastAsia="仿宋" w:cs="仿宋_GB2312"/>
                <w:color w:val="000000"/>
                <w:sz w:val="18"/>
                <w:szCs w:val="18"/>
              </w:rPr>
              <w:t>立足生态优先、绿色发展，多渠道筹措资金启动排渍口规范化整治，争取山水林田湖草生态修复项目上级投入近2亿元</w:t>
            </w:r>
            <w:r>
              <w:rPr>
                <w:rFonts w:hint="eastAsia" w:ascii="仿宋" w:hAnsi="仿宋" w:eastAsia="仿宋" w:cs="仿宋_GB2312"/>
                <w:color w:val="000000"/>
                <w:sz w:val="18"/>
                <w:szCs w:val="18"/>
                <w:lang w:val="en-US" w:eastAsia="zh-CN"/>
              </w:rPr>
              <w:t>。支持</w:t>
            </w:r>
            <w:r>
              <w:rPr>
                <w:rFonts w:hint="eastAsia" w:ascii="仿宋" w:hAnsi="仿宋" w:eastAsia="仿宋" w:cs="仿宋_GB2312"/>
                <w:color w:val="000000"/>
                <w:sz w:val="18"/>
                <w:szCs w:val="18"/>
              </w:rPr>
              <w:t>启动新一轮东湖水环境整治、生态养殖“三年行动”计划，扎实推进东湖系统整治、“夏季攻势”重点问题整改。</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18"/>
                <w:szCs w:val="18"/>
              </w:rPr>
              <w:t>立足生态优先、绿色发展，多渠道筹措资金启动排渍口规范化整治，争取山水林田湖草生态修复项目上级投入近2亿元</w:t>
            </w:r>
            <w:r>
              <w:rPr>
                <w:rFonts w:hint="eastAsia" w:ascii="仿宋" w:hAnsi="仿宋" w:eastAsia="仿宋" w:cs="仿宋_GB2312"/>
                <w:color w:val="000000"/>
                <w:sz w:val="18"/>
                <w:szCs w:val="18"/>
                <w:lang w:val="en-US" w:eastAsia="zh-CN"/>
              </w:rPr>
              <w:t>。支持</w:t>
            </w:r>
            <w:r>
              <w:rPr>
                <w:rFonts w:hint="eastAsia" w:ascii="仿宋" w:hAnsi="仿宋" w:eastAsia="仿宋" w:cs="仿宋_GB2312"/>
                <w:color w:val="000000"/>
                <w:sz w:val="18"/>
                <w:szCs w:val="18"/>
              </w:rPr>
              <w:t>启动新一轮东湖水环境整治、生态养殖“三年行动”计划，扎实推进东湖系统整治、“夏季攻势”重点问题整改。</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sz w:val="18"/>
                <w:szCs w:val="18"/>
              </w:rPr>
              <w:t>社会公众或服务对象满意度。</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_GB2312"/>
                <w:sz w:val="18"/>
                <w:szCs w:val="18"/>
              </w:rPr>
              <w:t>社会公众或服务对象满意度</w:t>
            </w:r>
            <w:r>
              <w:rPr>
                <w:rFonts w:hint="eastAsia" w:ascii="仿宋" w:hAnsi="仿宋" w:eastAsia="仿宋" w:cs="仿宋_GB2312"/>
                <w:sz w:val="18"/>
                <w:szCs w:val="18"/>
                <w:lang w:val="en-US" w:eastAsia="zh-CN"/>
              </w:rPr>
              <w:t>100%</w:t>
            </w:r>
            <w:r>
              <w:rPr>
                <w:rFonts w:hint="eastAsia" w:ascii="仿宋" w:hAnsi="仿宋" w:eastAsia="仿宋" w:cs="仿宋_GB2312"/>
                <w:sz w:val="18"/>
                <w:szCs w:val="18"/>
              </w:rPr>
              <w:t>。</w:t>
            </w:r>
          </w:p>
        </w:tc>
        <w:tc>
          <w:tcPr>
            <w:tcW w:w="640"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textAlignment w:val="center"/>
              <w:rPr>
                <w:rFonts w:hint="eastAsia" w:ascii="仿宋" w:hAnsi="仿宋" w:eastAsia="仿宋" w:cs="仿宋_GB2312"/>
                <w:sz w:val="18"/>
                <w:szCs w:val="18"/>
              </w:rPr>
            </w:pPr>
            <w:r>
              <w:rPr>
                <w:rFonts w:hint="eastAsia" w:ascii="新宋体" w:hAnsi="新宋体" w:eastAsia="新宋体" w:cs="新宋体"/>
                <w:color w:val="000000"/>
                <w:sz w:val="18"/>
                <w:szCs w:val="18"/>
              </w:rPr>
              <w:t>　</w:t>
            </w:r>
            <w:r>
              <w:rPr>
                <w:rFonts w:hint="eastAsia" w:ascii="仿宋" w:hAnsi="仿宋" w:eastAsia="仿宋" w:cs="仿宋_GB2312"/>
                <w:sz w:val="18"/>
                <w:szCs w:val="18"/>
              </w:rPr>
              <w:t>通过政府门户网站、12345公共服务热线、单位网站市长信箱等通道，及时反馈率达</w:t>
            </w:r>
            <w:r>
              <w:rPr>
                <w:rFonts w:hint="eastAsia" w:ascii="仿宋" w:hAnsi="仿宋" w:eastAsia="仿宋" w:cs="仿宋_GB2312"/>
                <w:sz w:val="18"/>
                <w:szCs w:val="18"/>
                <w:lang w:val="en-US" w:eastAsia="zh-CN"/>
              </w:rPr>
              <w:t>98</w:t>
            </w:r>
            <w:r>
              <w:rPr>
                <w:rFonts w:hint="eastAsia" w:ascii="仿宋" w:hAnsi="仿宋" w:eastAsia="仿宋" w:cs="仿宋_GB2312"/>
                <w:sz w:val="18"/>
                <w:szCs w:val="18"/>
              </w:rPr>
              <w:t>%，公众对我们的答复都给予了肯定。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426"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99</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周傲</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2023.7.13</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0730-421163</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杜云</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华容县财政局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 xml:space="preserve">2023 </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 xml:space="preserve">7 </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 xml:space="preserve">17 </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 w:hAnsi="仿宋" w:eastAsia="仿宋" w:cs="黑体"/>
          <w:bCs/>
          <w:sz w:val="28"/>
          <w:szCs w:val="28"/>
        </w:rPr>
      </w:pPr>
      <w:r>
        <w:rPr>
          <w:rFonts w:hint="eastAsia" w:ascii="仿宋_GB2312" w:hAnsi="仿宋_GB2312" w:eastAsia="仿宋_GB2312" w:cs="仿宋_GB2312"/>
          <w:b w:val="0"/>
          <w:bCs/>
          <w:color w:val="auto"/>
          <w:kern w:val="0"/>
          <w:sz w:val="28"/>
          <w:szCs w:val="28"/>
          <w:u w:val="none"/>
          <w:shd w:val="clear"/>
          <w:lang w:val="zh-CN" w:eastAsia="zh-CN" w:bidi="hi-IN"/>
        </w:rPr>
        <w:t>根据中共华容县委、华容县人民政府关于印发《华容县财政局职能配置、内设机构和人员编制规定》的通知（华委〔2019〕42号）</w:t>
      </w:r>
      <w:r>
        <w:rPr>
          <w:rFonts w:hint="eastAsia" w:ascii="仿宋" w:hAnsi="仿宋" w:eastAsia="仿宋" w:cs="黑体"/>
          <w:bCs/>
          <w:sz w:val="28"/>
          <w:szCs w:val="28"/>
        </w:rPr>
        <w:t>，</w:t>
      </w:r>
      <w:r>
        <w:rPr>
          <w:rFonts w:hint="eastAsia" w:ascii="仿宋" w:hAnsi="仿宋" w:eastAsia="仿宋" w:cs="黑体"/>
          <w:bCs/>
          <w:sz w:val="28"/>
          <w:szCs w:val="28"/>
          <w:lang w:eastAsia="zh-CN"/>
        </w:rPr>
        <w:t>县财</w:t>
      </w:r>
      <w:r>
        <w:rPr>
          <w:rFonts w:hint="eastAsia" w:ascii="仿宋" w:hAnsi="仿宋" w:eastAsia="仿宋" w:cs="黑体"/>
          <w:bCs/>
          <w:sz w:val="28"/>
          <w:szCs w:val="28"/>
        </w:rPr>
        <w:t>政局具有1</w:t>
      </w:r>
      <w:r>
        <w:rPr>
          <w:rFonts w:hint="eastAsia" w:ascii="仿宋" w:hAnsi="仿宋" w:eastAsia="仿宋" w:cs="黑体"/>
          <w:bCs/>
          <w:sz w:val="28"/>
          <w:szCs w:val="28"/>
          <w:lang w:val="en-US" w:eastAsia="zh-CN"/>
        </w:rPr>
        <w:t>9</w:t>
      </w:r>
      <w:r>
        <w:rPr>
          <w:rFonts w:hint="eastAsia" w:ascii="仿宋" w:hAnsi="仿宋" w:eastAsia="仿宋" w:cs="黑体"/>
          <w:bCs/>
          <w:sz w:val="28"/>
          <w:szCs w:val="28"/>
        </w:rPr>
        <w:t>项主要职责:</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0" w:name="bookmark7"/>
      <w:r>
        <w:rPr>
          <w:rFonts w:hint="eastAsia" w:ascii="仿宋_GB2312" w:hAnsi="仿宋_GB2312" w:eastAsia="仿宋_GB2312" w:cs="仿宋_GB2312"/>
          <w:b w:val="0"/>
          <w:bCs/>
          <w:color w:val="auto"/>
          <w:kern w:val="0"/>
          <w:sz w:val="28"/>
          <w:szCs w:val="28"/>
          <w:u w:val="none"/>
          <w:shd w:val="clear"/>
          <w:lang w:val="zh-CN" w:eastAsia="zh-CN" w:bidi="hi-IN"/>
        </w:rPr>
        <w:t>（</w:t>
      </w:r>
      <w:bookmarkEnd w:id="0"/>
      <w:r>
        <w:rPr>
          <w:rFonts w:hint="eastAsia" w:ascii="仿宋_GB2312" w:hAnsi="仿宋_GB2312" w:eastAsia="仿宋_GB2312" w:cs="仿宋_GB2312"/>
          <w:b w:val="0"/>
          <w:bCs/>
          <w:color w:val="auto"/>
          <w:kern w:val="0"/>
          <w:sz w:val="28"/>
          <w:szCs w:val="28"/>
          <w:u w:val="none"/>
          <w:shd w:val="clear"/>
          <w:lang w:val="zh-CN" w:eastAsia="zh-CN" w:bidi="hi-IN"/>
        </w:rPr>
        <w:t>一）贯彻执行国家财税方针政策，拟订全县财政、税收的发展战略、中长期规划及改革方案；分析预测经济形势，参与制定各项宏观经济政策,提出运用财税政策实施宏观调控和综合平衡社会财力的建议；拟订县、乡间财政体制分配政策，完善鼓励公益事业发展的财税政策；负责全县财政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1" w:name="bookmark8"/>
      <w:r>
        <w:rPr>
          <w:rFonts w:hint="eastAsia" w:ascii="仿宋_GB2312" w:hAnsi="仿宋_GB2312" w:eastAsia="仿宋_GB2312" w:cs="仿宋_GB2312"/>
          <w:b w:val="0"/>
          <w:bCs/>
          <w:color w:val="auto"/>
          <w:kern w:val="0"/>
          <w:sz w:val="28"/>
          <w:szCs w:val="28"/>
          <w:u w:val="none"/>
          <w:shd w:val="clear"/>
          <w:lang w:val="zh-CN" w:eastAsia="zh-CN" w:bidi="hi-IN"/>
        </w:rPr>
        <w:t>（</w:t>
      </w:r>
      <w:bookmarkEnd w:id="1"/>
      <w:r>
        <w:rPr>
          <w:rFonts w:hint="eastAsia" w:ascii="仿宋_GB2312" w:hAnsi="仿宋_GB2312" w:eastAsia="仿宋_GB2312" w:cs="仿宋_GB2312"/>
          <w:b w:val="0"/>
          <w:bCs/>
          <w:color w:val="auto"/>
          <w:kern w:val="0"/>
          <w:sz w:val="28"/>
          <w:szCs w:val="28"/>
          <w:u w:val="none"/>
          <w:shd w:val="clear"/>
          <w:lang w:val="zh-CN" w:eastAsia="zh-CN" w:bidi="hi-IN"/>
        </w:rPr>
        <w:t>二）拟定全县财政、财务、会计管理等地方性规范性文件和制度，研究我县经济社会中的财税重大问题，围绕县委、县政府中心工作提出改进和完善政府管理、提高财政资金使用效益的建议。</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2" w:name="bookmark9"/>
      <w:r>
        <w:rPr>
          <w:rFonts w:hint="eastAsia" w:ascii="仿宋_GB2312" w:hAnsi="仿宋_GB2312" w:eastAsia="仿宋_GB2312" w:cs="仿宋_GB2312"/>
          <w:b w:val="0"/>
          <w:bCs/>
          <w:color w:val="auto"/>
          <w:kern w:val="0"/>
          <w:sz w:val="28"/>
          <w:szCs w:val="28"/>
          <w:u w:val="none"/>
          <w:shd w:val="clear"/>
          <w:lang w:val="zh-CN" w:eastAsia="zh-CN" w:bidi="hi-IN"/>
        </w:rPr>
        <w:t>（</w:t>
      </w:r>
      <w:bookmarkEnd w:id="2"/>
      <w:r>
        <w:rPr>
          <w:rFonts w:hint="eastAsia" w:ascii="仿宋_GB2312" w:hAnsi="仿宋_GB2312" w:eastAsia="仿宋_GB2312" w:cs="仿宋_GB2312"/>
          <w:b w:val="0"/>
          <w:bCs/>
          <w:color w:val="auto"/>
          <w:kern w:val="0"/>
          <w:sz w:val="28"/>
          <w:szCs w:val="28"/>
          <w:u w:val="none"/>
          <w:shd w:val="clear"/>
          <w:lang w:val="zh-CN" w:eastAsia="zh-CN" w:bidi="hi-IN"/>
        </w:rPr>
        <w:t>三）统筹管理及编制县本级一般公共预算、政府性基金预算、国有资本经营预算、社会保险基金预算。</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3" w:name="bookmark10"/>
      <w:r>
        <w:rPr>
          <w:rFonts w:hint="eastAsia" w:ascii="仿宋_GB2312" w:hAnsi="仿宋_GB2312" w:eastAsia="仿宋_GB2312" w:cs="仿宋_GB2312"/>
          <w:b w:val="0"/>
          <w:bCs/>
          <w:color w:val="auto"/>
          <w:kern w:val="0"/>
          <w:sz w:val="28"/>
          <w:szCs w:val="28"/>
          <w:u w:val="none"/>
          <w:shd w:val="clear"/>
          <w:lang w:val="zh-CN" w:eastAsia="zh-CN" w:bidi="hi-IN"/>
        </w:rPr>
        <w:t>（</w:t>
      </w:r>
      <w:bookmarkEnd w:id="3"/>
      <w:r>
        <w:rPr>
          <w:rFonts w:hint="eastAsia" w:ascii="仿宋_GB2312" w:hAnsi="仿宋_GB2312" w:eastAsia="仿宋_GB2312" w:cs="仿宋_GB2312"/>
          <w:b w:val="0"/>
          <w:bCs/>
          <w:color w:val="auto"/>
          <w:kern w:val="0"/>
          <w:sz w:val="28"/>
          <w:szCs w:val="28"/>
          <w:u w:val="none"/>
          <w:shd w:val="clear"/>
          <w:lang w:val="zh-CN" w:eastAsia="zh-CN" w:bidi="hi-IN"/>
        </w:rPr>
        <w:t>四）负责管理县本级各项财政收支。编制年度县本级预算草案并组织执行，受县人民政府委托，向县人民代表大会及其常委会报告县本级和全县年度财政预算、执行和决算等情况。组织制定经费开支标准、定额，负责审核批复部门（单位）的年度预决算，完善转移支付制度，指导县、乡镇财政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4" w:name="bookmark11"/>
      <w:r>
        <w:rPr>
          <w:rFonts w:hint="eastAsia" w:ascii="仿宋_GB2312" w:hAnsi="仿宋_GB2312" w:eastAsia="仿宋_GB2312" w:cs="仿宋_GB2312"/>
          <w:b w:val="0"/>
          <w:bCs/>
          <w:color w:val="auto"/>
          <w:kern w:val="0"/>
          <w:sz w:val="28"/>
          <w:szCs w:val="28"/>
          <w:u w:val="none"/>
          <w:shd w:val="clear"/>
          <w:lang w:val="zh-CN" w:eastAsia="zh-CN" w:bidi="hi-IN"/>
        </w:rPr>
        <w:t>（</w:t>
      </w:r>
      <w:bookmarkEnd w:id="4"/>
      <w:r>
        <w:rPr>
          <w:rFonts w:hint="eastAsia" w:ascii="仿宋_GB2312" w:hAnsi="仿宋_GB2312" w:eastAsia="仿宋_GB2312" w:cs="仿宋_GB2312"/>
          <w:b w:val="0"/>
          <w:bCs/>
          <w:color w:val="auto"/>
          <w:kern w:val="0"/>
          <w:sz w:val="28"/>
          <w:szCs w:val="28"/>
          <w:u w:val="none"/>
          <w:shd w:val="clear"/>
          <w:lang w:val="zh-CN" w:eastAsia="zh-CN" w:bidi="hi-IN"/>
        </w:rPr>
        <w:t>五）贯彻执行国家税收法律、行政法规及有关政策，研究制定县管理权限内有关税收政策及税收政策调整方案并组织实施；会同税务部门贯彻执行税收政策，根据预算安排，确定财政收入计划并组织实施；负责政府性基金管理，按规定管理行政事业性收费；管理财政票据，按规定监督管理彩票市场和彩票资金。</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5" w:name="bookmark12"/>
      <w:r>
        <w:rPr>
          <w:rFonts w:hint="eastAsia" w:ascii="仿宋_GB2312" w:hAnsi="仿宋_GB2312" w:eastAsia="仿宋_GB2312" w:cs="仿宋_GB2312"/>
          <w:b w:val="0"/>
          <w:bCs/>
          <w:color w:val="auto"/>
          <w:kern w:val="0"/>
          <w:sz w:val="28"/>
          <w:szCs w:val="28"/>
          <w:u w:val="none"/>
          <w:shd w:val="clear"/>
          <w:lang w:val="zh-CN" w:eastAsia="zh-CN" w:bidi="hi-IN"/>
        </w:rPr>
        <w:t>（</w:t>
      </w:r>
      <w:bookmarkEnd w:id="5"/>
      <w:r>
        <w:rPr>
          <w:rFonts w:hint="eastAsia" w:ascii="仿宋_GB2312" w:hAnsi="仿宋_GB2312" w:eastAsia="仿宋_GB2312" w:cs="仿宋_GB2312"/>
          <w:b w:val="0"/>
          <w:bCs/>
          <w:color w:val="auto"/>
          <w:kern w:val="0"/>
          <w:sz w:val="28"/>
          <w:szCs w:val="28"/>
          <w:u w:val="none"/>
          <w:shd w:val="clear"/>
          <w:lang w:val="zh-CN" w:eastAsia="zh-CN" w:bidi="hi-IN"/>
        </w:rPr>
        <w:t>六）组织制定全县财政国库管理和国库集中收付制度，指导全县财政国库业务，按规定管理国库现金；负责制定政府采购制度并实施监督管理。</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6" w:name="bookmark13"/>
      <w:r>
        <w:rPr>
          <w:rFonts w:hint="eastAsia" w:ascii="仿宋_GB2312" w:hAnsi="仿宋_GB2312" w:eastAsia="仿宋_GB2312" w:cs="仿宋_GB2312"/>
          <w:b w:val="0"/>
          <w:bCs/>
          <w:color w:val="auto"/>
          <w:kern w:val="0"/>
          <w:sz w:val="28"/>
          <w:szCs w:val="28"/>
          <w:u w:val="none"/>
          <w:shd w:val="clear"/>
          <w:lang w:val="zh-CN" w:eastAsia="zh-CN" w:bidi="hi-IN"/>
        </w:rPr>
        <w:t>（</w:t>
      </w:r>
      <w:bookmarkEnd w:id="6"/>
      <w:r>
        <w:rPr>
          <w:rFonts w:hint="eastAsia" w:ascii="仿宋_GB2312" w:hAnsi="仿宋_GB2312" w:eastAsia="仿宋_GB2312" w:cs="仿宋_GB2312"/>
          <w:b w:val="0"/>
          <w:bCs/>
          <w:color w:val="auto"/>
          <w:kern w:val="0"/>
          <w:sz w:val="28"/>
          <w:szCs w:val="28"/>
          <w:u w:val="none"/>
          <w:shd w:val="clear"/>
          <w:lang w:val="zh-CN" w:eastAsia="zh-CN" w:bidi="hi-IN"/>
        </w:rPr>
        <w:t>七）负责办理财政经济发展支出、中央、省、市和县政府性投资项目的财政拨款，负责政府性投资基本建设财政财务管理，负责有关政策性补贴和专项储备资金财政管理工作。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7" w:name="bookmark14"/>
      <w:r>
        <w:rPr>
          <w:rFonts w:hint="eastAsia" w:ascii="仿宋_GB2312" w:hAnsi="仿宋_GB2312" w:eastAsia="仿宋_GB2312" w:cs="仿宋_GB2312"/>
          <w:b w:val="0"/>
          <w:bCs/>
          <w:color w:val="auto"/>
          <w:kern w:val="0"/>
          <w:sz w:val="28"/>
          <w:szCs w:val="28"/>
          <w:u w:val="none"/>
          <w:shd w:val="clear"/>
          <w:lang w:val="zh-CN" w:eastAsia="zh-CN" w:bidi="hi-IN"/>
        </w:rPr>
        <w:t>（</w:t>
      </w:r>
      <w:bookmarkEnd w:id="7"/>
      <w:r>
        <w:rPr>
          <w:rFonts w:hint="eastAsia" w:ascii="仿宋_GB2312" w:hAnsi="仿宋_GB2312" w:eastAsia="仿宋_GB2312" w:cs="仿宋_GB2312"/>
          <w:b w:val="0"/>
          <w:bCs/>
          <w:color w:val="auto"/>
          <w:kern w:val="0"/>
          <w:sz w:val="28"/>
          <w:szCs w:val="28"/>
          <w:u w:val="none"/>
          <w:shd w:val="clear"/>
          <w:lang w:val="zh-CN" w:eastAsia="zh-CN" w:bidi="hi-IN"/>
        </w:rPr>
        <w:t>八）负责拟订全县社会保障资金（基金）的财务管理制度及财务管理办法，编制全县社会保险基金预决算草案，管理社会保障资金，管理县级社保资金财政专户，会同有关部门管理县财政社会保障和就业及医疗卫生与健康等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8" w:name="bookmark15"/>
      <w:r>
        <w:rPr>
          <w:rFonts w:hint="eastAsia" w:ascii="仿宋_GB2312" w:hAnsi="仿宋_GB2312" w:eastAsia="仿宋_GB2312" w:cs="仿宋_GB2312"/>
          <w:b w:val="0"/>
          <w:bCs/>
          <w:color w:val="auto"/>
          <w:kern w:val="0"/>
          <w:sz w:val="28"/>
          <w:szCs w:val="28"/>
          <w:u w:val="none"/>
          <w:shd w:val="clear"/>
          <w:lang w:val="zh-CN" w:eastAsia="zh-CN" w:bidi="hi-IN"/>
        </w:rPr>
        <w:t>（</w:t>
      </w:r>
      <w:bookmarkEnd w:id="8"/>
      <w:r>
        <w:rPr>
          <w:rFonts w:hint="eastAsia" w:ascii="仿宋_GB2312" w:hAnsi="仿宋_GB2312" w:eastAsia="仿宋_GB2312" w:cs="仿宋_GB2312"/>
          <w:b w:val="0"/>
          <w:bCs/>
          <w:color w:val="auto"/>
          <w:kern w:val="0"/>
          <w:sz w:val="28"/>
          <w:szCs w:val="28"/>
          <w:u w:val="none"/>
          <w:shd w:val="clear"/>
          <w:lang w:val="zh-CN" w:eastAsia="zh-CN" w:bidi="hi-IN"/>
        </w:rPr>
        <w:t>九）贯彻执行国家、省政府债务及与政府相关的债务管理政策、制度，拟订全县政府债务及与政府相关的债务管理制度、办法并组织实施，监督管理全县政府债务及与政府相关的债务及使用、管理和监督偿还，防范财政风险。负责组织和管理国际金融组织和外国政府贷（赠）款项目相关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（十）代表县人民政府履行县属国有金融资本出资人职责，负责县属国有金融企业相关管理工作，组织落实财政金融相关政策等。负责农业保险保费补贴资金管理相关工作。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（十一）制定全县会计管理制度并组织实施，监督和规范会计行为。加强内部控制体系建设，承担会计信息质量检查、会计培训，指导和监督注册会计师和会计事务所的业务，依法查处会计违法违规行为。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（十二）全面实施预算绩效管理，将政府收支预算、部门和单位预算、政策和项目全面纳入绩效管理。</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（十三）承担财政投资评审及管理工作。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（十四）监督检查财税法律法规、政策的执行情况，反映财政收支管理中的重大问题，提出加强财政管理的政策和建议。</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（十五）组织实施企业财务制度。编制汇总县属企业财务报表和年度财务决算，收集、分析、反馈企业财务信息。管理财政扶持企业发展的各种专项资金。按规定收取县属国有企业国有资本收益。</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六）指导农村集体“三资”（资产、资源、资金）的监督管理；参与农民专业合作社、家庭农场等农村专业合作组织规范化建设的指导、管理与服务。负责全县涉农专项资金和惠农补贴资金的管理与服务，承担县农村综合改革领导小组的具体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（十七）负责本行业、领域安全生产和应急工作。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（十八）完成上级交办的其他任务。</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（十九）职能转变。</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1</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完善宏观调控体系，创新调控方式，构建发展规划、财政、金融等政策协调和工作协同机制，增强宏观调控前瞻性、针对性、协同性。</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9" w:name="bookmark16"/>
      <w:bookmarkEnd w:id="9"/>
      <w:r>
        <w:rPr>
          <w:rFonts w:hint="eastAsia" w:ascii="仿宋_GB2312" w:hAnsi="仿宋_GB2312" w:eastAsia="仿宋_GB2312" w:cs="仿宋_GB2312"/>
          <w:b w:val="0"/>
          <w:bCs/>
          <w:color w:val="auto"/>
          <w:kern w:val="0"/>
          <w:sz w:val="28"/>
          <w:szCs w:val="28"/>
          <w:u w:val="none"/>
          <w:shd w:val="clear"/>
          <w:lang w:val="zh-TW" w:eastAsia="zh-TW" w:bidi="hi-IN"/>
        </w:rPr>
        <w:t>2</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加快建立现代财政制度，推进财政事权和支出责任划分改革，理顺县乡收入划分，建立权责清晰、财力协调、均衡的县级和乡镇财政关系。完善转移支付制度，优化转移支付分类，规范转移支付项目，增强统筹能力。逐步统一预算分配，全面实施绩效管理，建立规范透明、标准科学、约束有力的预算制度。全面推行政府性基金和行政事业性收费清单管理，完善监督制度。</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default" w:ascii="仿宋_GB2312" w:hAnsi="仿宋_GB2312" w:eastAsia="仿宋_GB2312" w:cs="仿宋_GB2312"/>
          <w:b w:val="0"/>
          <w:bCs/>
          <w:color w:val="auto"/>
          <w:kern w:val="0"/>
          <w:sz w:val="28"/>
          <w:szCs w:val="28"/>
          <w:u w:val="none"/>
          <w:shd w:val="clear"/>
          <w:lang w:val="zh-CN" w:eastAsia="zh-CN" w:bidi="hi-IN"/>
        </w:rPr>
      </w:pPr>
      <w:bookmarkStart w:id="10" w:name="bookmark17"/>
      <w:bookmarkEnd w:id="10"/>
      <w:r>
        <w:rPr>
          <w:rFonts w:hint="eastAsia" w:ascii="仿宋_GB2312" w:hAnsi="仿宋_GB2312" w:eastAsia="仿宋_GB2312" w:cs="仿宋_GB2312"/>
          <w:b w:val="0"/>
          <w:bCs/>
          <w:color w:val="auto"/>
          <w:kern w:val="0"/>
          <w:sz w:val="28"/>
          <w:szCs w:val="28"/>
          <w:u w:val="none"/>
          <w:shd w:val="clear"/>
          <w:lang w:val="zh-TW" w:eastAsia="zh-TW" w:bidi="hi-IN"/>
        </w:rPr>
        <w:t>3</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防范化解政府债务风险。规范举债融资机制，构建“闭环”管理体系，严控法定限额内债务风险，着力防控隐性债务风险，牢牢守住不发生系统性风险的底线。</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pStyle w:val="13"/>
        <w:widowControl w:val="0"/>
        <w:suppressAutoHyphens w:val="0"/>
        <w:bidi w:val="0"/>
        <w:spacing w:before="0" w:after="0" w:line="640" w:lineRule="exact"/>
        <w:ind w:firstLine="560" w:firstLineChars="200"/>
        <w:jc w:val="left"/>
        <w:rPr>
          <w:rFonts w:hint="default" w:ascii="Times New Roman" w:hAnsi="Times New Roman" w:eastAsia="黑体" w:cs="Times New Roman"/>
          <w:kern w:val="2"/>
          <w:sz w:val="32"/>
          <w:szCs w:val="32"/>
          <w:lang w:val="en-US" w:eastAsia="zh-CN" w:bidi="ar-SA"/>
        </w:rPr>
      </w:pPr>
      <w:r>
        <w:rPr>
          <w:rFonts w:ascii="仿宋_GB2312" w:hAnsi="仿宋_GB2312" w:eastAsia="仿宋_GB2312" w:cs="仿宋_GB2312"/>
          <w:b w:val="0"/>
          <w:bCs/>
          <w:kern w:val="0"/>
          <w:sz w:val="28"/>
          <w:szCs w:val="28"/>
          <w:lang w:val="zh-CN" w:eastAsia="zh-CN" w:bidi="hi-IN"/>
        </w:rPr>
        <w:t>202</w:t>
      </w:r>
      <w:r>
        <w:rPr>
          <w:rFonts w:hint="eastAsia" w:ascii="仿宋_GB2312" w:hAnsi="仿宋_GB2312" w:eastAsia="仿宋_GB2312" w:cs="仿宋_GB2312"/>
          <w:b w:val="0"/>
          <w:bCs/>
          <w:kern w:val="0"/>
          <w:sz w:val="28"/>
          <w:szCs w:val="28"/>
          <w:lang w:val="en-US" w:eastAsia="zh-CN" w:bidi="hi-IN"/>
        </w:rPr>
        <w:t>2</w:t>
      </w:r>
      <w:r>
        <w:rPr>
          <w:rFonts w:ascii="仿宋_GB2312" w:hAnsi="仿宋_GB2312" w:eastAsia="仿宋_GB2312" w:cs="仿宋_GB2312"/>
          <w:b w:val="0"/>
          <w:bCs/>
          <w:kern w:val="0"/>
          <w:sz w:val="28"/>
          <w:szCs w:val="28"/>
          <w:lang w:val="zh-CN" w:eastAsia="zh-CN" w:bidi="hi-IN"/>
        </w:rPr>
        <w:t>年度</w:t>
      </w:r>
      <w:r>
        <w:rPr>
          <w:rFonts w:ascii="仿宋_GB2312" w:hAnsi="仿宋_GB2312" w:eastAsia="仿宋_GB2312" w:cs="仿宋_GB2312"/>
          <w:b w:val="0"/>
          <w:bCs/>
          <w:kern w:val="0"/>
          <w:sz w:val="28"/>
          <w:szCs w:val="28"/>
          <w:lang w:val="en-US" w:eastAsia="zh-CN" w:bidi="hi-IN"/>
        </w:rPr>
        <w:t>财政拨款基本支出</w:t>
      </w:r>
      <w:r>
        <w:rPr>
          <w:rFonts w:hint="eastAsia" w:ascii="仿宋_GB2312" w:hAnsi="仿宋_GB2312" w:eastAsia="仿宋_GB2312" w:cs="仿宋_GB2312"/>
          <w:b w:val="0"/>
          <w:bCs/>
          <w:kern w:val="0"/>
          <w:sz w:val="28"/>
          <w:szCs w:val="28"/>
          <w:lang w:val="en-US" w:eastAsia="zh-CN" w:bidi="hi-IN"/>
        </w:rPr>
        <w:t>2482.99</w:t>
      </w:r>
      <w:r>
        <w:rPr>
          <w:rFonts w:ascii="仿宋_GB2312" w:hAnsi="仿宋_GB2312" w:eastAsia="仿宋_GB2312" w:cs="仿宋_GB2312"/>
          <w:b w:val="0"/>
          <w:bCs/>
          <w:kern w:val="0"/>
          <w:sz w:val="28"/>
          <w:szCs w:val="28"/>
          <w:lang w:val="en-US" w:eastAsia="zh-CN" w:bidi="hi-IN"/>
        </w:rPr>
        <w:t>万元，其中:人员经费</w:t>
      </w:r>
      <w:r>
        <w:rPr>
          <w:rFonts w:hint="eastAsia" w:ascii="仿宋_GB2312" w:hAnsi="仿宋_GB2312" w:eastAsia="仿宋_GB2312" w:cs="仿宋_GB2312"/>
          <w:b w:val="0"/>
          <w:bCs/>
          <w:kern w:val="0"/>
          <w:sz w:val="28"/>
          <w:szCs w:val="28"/>
          <w:lang w:val="en-US" w:eastAsia="zh-CN" w:bidi="hi-IN"/>
        </w:rPr>
        <w:t>1694.88</w:t>
      </w:r>
      <w:r>
        <w:rPr>
          <w:rFonts w:ascii="仿宋_GB2312" w:hAnsi="仿宋_GB2312" w:eastAsia="仿宋_GB2312" w:cs="仿宋_GB2312"/>
          <w:b w:val="0"/>
          <w:bCs/>
          <w:kern w:val="0"/>
          <w:sz w:val="28"/>
          <w:szCs w:val="28"/>
          <w:lang w:val="en-US" w:eastAsia="zh-CN" w:bidi="hi-IN"/>
        </w:rPr>
        <w:t>万元，占基本支出</w:t>
      </w:r>
      <w:r>
        <w:rPr>
          <w:rFonts w:hint="eastAsia" w:ascii="仿宋_GB2312" w:hAnsi="仿宋_GB2312" w:eastAsia="仿宋_GB2312" w:cs="仿宋_GB2312"/>
          <w:b w:val="0"/>
          <w:bCs/>
          <w:kern w:val="0"/>
          <w:sz w:val="28"/>
          <w:szCs w:val="28"/>
          <w:lang w:val="en-US" w:eastAsia="zh-CN" w:bidi="hi-IN"/>
        </w:rPr>
        <w:t>68.26</w:t>
      </w:r>
      <w:r>
        <w:rPr>
          <w:rFonts w:ascii="仿宋_GB2312" w:hAnsi="仿宋_GB2312" w:eastAsia="仿宋_GB2312" w:cs="仿宋_GB2312"/>
          <w:b w:val="0"/>
          <w:bCs/>
          <w:kern w:val="0"/>
          <w:sz w:val="28"/>
          <w:szCs w:val="28"/>
          <w:lang w:val="en-US" w:eastAsia="zh-CN" w:bidi="hi-IN"/>
        </w:rPr>
        <w:t>%，主要包括基本工资、津贴补贴、</w:t>
      </w:r>
      <w:r>
        <w:rPr>
          <w:rFonts w:ascii="仿宋_GB2312" w:hAnsi="仿宋_GB2312" w:eastAsia="仿宋_GB2312" w:cs="仿宋_GB2312"/>
          <w:b w:val="0"/>
          <w:bCs/>
          <w:kern w:val="0"/>
          <w:sz w:val="28"/>
          <w:szCs w:val="28"/>
          <w:lang w:val="zh-CN" w:eastAsia="zh-CN" w:bidi="hi-IN"/>
        </w:rPr>
        <w:t>奖金、伙食补助费、绩效工资、机关事业单位基本养老保险缴费、职业年金缴费、职工基本医疗保险缴费、公务员医疗补助缴费、其他社会保障缴费、住房公积金、医疗费、其他工资福利支出、离休费、退休费、抚恤金、生活补助、医疗费补助、奖励金、其他对个人和家庭的补助；</w:t>
      </w:r>
      <w:r>
        <w:rPr>
          <w:rFonts w:ascii="仿宋_GB2312" w:hAnsi="仿宋_GB2312" w:eastAsia="仿宋_GB2312" w:cs="仿宋_GB2312"/>
          <w:b w:val="0"/>
          <w:bCs/>
          <w:kern w:val="0"/>
          <w:sz w:val="28"/>
          <w:szCs w:val="28"/>
          <w:lang w:val="en-US" w:eastAsia="zh-CN" w:bidi="hi-IN"/>
        </w:rPr>
        <w:t>公用经费</w:t>
      </w:r>
      <w:r>
        <w:rPr>
          <w:rFonts w:hint="eastAsia" w:ascii="仿宋_GB2312" w:hAnsi="仿宋_GB2312" w:eastAsia="仿宋_GB2312" w:cs="仿宋_GB2312"/>
          <w:b w:val="0"/>
          <w:bCs/>
          <w:kern w:val="0"/>
          <w:sz w:val="28"/>
          <w:szCs w:val="28"/>
          <w:lang w:val="en-US" w:eastAsia="zh-CN" w:bidi="hi-IN"/>
        </w:rPr>
        <w:t>788.11</w:t>
      </w:r>
      <w:r>
        <w:rPr>
          <w:rFonts w:ascii="仿宋_GB2312" w:hAnsi="仿宋_GB2312" w:eastAsia="仿宋_GB2312" w:cs="仿宋_GB2312"/>
          <w:b w:val="0"/>
          <w:bCs/>
          <w:kern w:val="0"/>
          <w:sz w:val="28"/>
          <w:szCs w:val="28"/>
          <w:lang w:val="en-US" w:eastAsia="zh-CN" w:bidi="hi-IN"/>
        </w:rPr>
        <w:t>万元，占基本支出</w:t>
      </w:r>
      <w:r>
        <w:rPr>
          <w:rFonts w:hint="eastAsia" w:ascii="仿宋_GB2312" w:hAnsi="仿宋_GB2312" w:eastAsia="仿宋_GB2312" w:cs="仿宋_GB2312"/>
          <w:b w:val="0"/>
          <w:bCs/>
          <w:kern w:val="0"/>
          <w:sz w:val="28"/>
          <w:szCs w:val="28"/>
          <w:lang w:val="en-US" w:eastAsia="zh-CN" w:bidi="hi-IN"/>
        </w:rPr>
        <w:t>31.74</w:t>
      </w:r>
      <w:r>
        <w:rPr>
          <w:rFonts w:ascii="仿宋_GB2312" w:hAnsi="仿宋_GB2312" w:eastAsia="仿宋_GB2312" w:cs="仿宋_GB2312"/>
          <w:b w:val="0"/>
          <w:bCs/>
          <w:kern w:val="0"/>
          <w:sz w:val="28"/>
          <w:szCs w:val="28"/>
          <w:lang w:val="en-US" w:eastAsia="zh-CN" w:bidi="hi-IN"/>
        </w:rPr>
        <w:t>%，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其他商品和服务支出、办公设备购置、专用设备购置、信息网络及软件购置更新、公务用车购置、无形资产购置、其他资本性支出。</w:t>
      </w:r>
    </w:p>
    <w:p>
      <w:pPr>
        <w:pStyle w:val="12"/>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eastAsia="黑体" w:cs="Times New Roman"/>
          <w:sz w:val="32"/>
          <w:szCs w:val="32"/>
          <w:lang w:eastAsia="zh-CN"/>
        </w:rPr>
      </w:pPr>
      <w:r>
        <w:rPr>
          <w:rFonts w:hint="eastAsia" w:ascii="仿宋_GB2312" w:hAnsi="仿宋_GB2312" w:eastAsia="仿宋_GB2312" w:cs="仿宋_GB2312"/>
          <w:b w:val="0"/>
          <w:bCs/>
          <w:kern w:val="0"/>
          <w:sz w:val="28"/>
          <w:szCs w:val="28"/>
          <w:lang w:val="en-US" w:eastAsia="zh-CN" w:bidi="hi-IN"/>
        </w:rPr>
        <w:t>项目支出887.61万元，主要包括财政评审业务、老旧小区改造、预算改革业务、债务管理业务、信息化建设、其他财政业务等。</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1、执行了预算政策要求。我局工作经费安排严格按照预算来执行，有效防止了超预算；认真学习财经法规，严格执行财经纪律，防止了违法违纪行为的发生；认真落实了有关资金要求，主动及时上缴了年度结转结余资金。</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2、保障了机关有效运转。严格按照厉行节约的要求，精打细算，规范机关事务管理工作，提高服务质量，降低运行成本，合理配置，提高保障能力。保障了干部待遇按政策发放落实。</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3、加强了干部队伍建设。我局党组认真贯彻落实从严治党各项要求，始终坚持把纪律规矩挺在最前面。不定期开展党风廉政建设专题党课活动，全面贯彻落实习近平新时代中国特色社会主义思想和党的</w:t>
      </w:r>
      <w:r>
        <w:rPr>
          <w:rFonts w:hint="eastAsia" w:ascii="仿宋" w:hAnsi="仿宋" w:eastAsia="仿宋" w:cs="黑体"/>
          <w:bCs/>
          <w:sz w:val="28"/>
          <w:szCs w:val="28"/>
          <w:lang w:eastAsia="zh-CN"/>
        </w:rPr>
        <w:t>二</w:t>
      </w:r>
      <w:r>
        <w:rPr>
          <w:rFonts w:hint="eastAsia" w:ascii="仿宋" w:hAnsi="仿宋" w:eastAsia="仿宋" w:cs="黑体"/>
          <w:bCs/>
          <w:sz w:val="28"/>
          <w:szCs w:val="28"/>
        </w:rPr>
        <w:t>十大精神，深化推进党风廉政建设和反腐败工作纵深发展。</w:t>
      </w:r>
    </w:p>
    <w:p>
      <w:pPr>
        <w:pStyle w:val="12"/>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黑体"/>
          <w:bCs/>
          <w:sz w:val="28"/>
          <w:szCs w:val="28"/>
        </w:rPr>
      </w:pPr>
      <w:r>
        <w:rPr>
          <w:rFonts w:hint="eastAsia" w:ascii="仿宋" w:hAnsi="仿宋" w:eastAsia="仿宋" w:cs="黑体"/>
          <w:bCs/>
          <w:sz w:val="28"/>
          <w:szCs w:val="28"/>
        </w:rPr>
        <w:t>4、强化了财政职能工作。顺利推进了税制改革、预算改革、PPP工作、政府购买服务等。积极化解了财政风险，强化了债务风险。进一步摸清了全</w:t>
      </w:r>
      <w:r>
        <w:rPr>
          <w:rFonts w:hint="eastAsia" w:ascii="仿宋" w:hAnsi="仿宋" w:eastAsia="仿宋" w:cs="黑体"/>
          <w:bCs/>
          <w:sz w:val="28"/>
          <w:szCs w:val="28"/>
          <w:lang w:eastAsia="zh-CN"/>
        </w:rPr>
        <w:t>县</w:t>
      </w:r>
      <w:r>
        <w:rPr>
          <w:rFonts w:hint="eastAsia" w:ascii="仿宋" w:hAnsi="仿宋" w:eastAsia="仿宋" w:cs="黑体"/>
          <w:bCs/>
          <w:sz w:val="28"/>
          <w:szCs w:val="28"/>
        </w:rPr>
        <w:t>债务情况，规范了地方政府债务管理，综合债务率逐年下降；积极强化了财政监管，提升了管理水平。</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pStyle w:val="12"/>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黑体"/>
          <w:bCs/>
          <w:kern w:val="2"/>
          <w:sz w:val="28"/>
          <w:szCs w:val="28"/>
          <w:lang w:val="en-US" w:eastAsia="zh-CN" w:bidi="ar-SA"/>
        </w:rPr>
      </w:pPr>
      <w:r>
        <w:rPr>
          <w:rFonts w:hint="eastAsia" w:ascii="仿宋" w:hAnsi="仿宋" w:eastAsia="仿宋" w:cs="黑体"/>
          <w:bCs/>
          <w:kern w:val="2"/>
          <w:sz w:val="28"/>
          <w:szCs w:val="28"/>
          <w:lang w:val="en-US" w:eastAsia="zh-CN" w:bidi="ar-SA"/>
        </w:rPr>
        <w:t>监督管理机制有待加强，绩效目标管理有待提升。</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spacing w:line="560" w:lineRule="exact"/>
        <w:ind w:firstLine="560" w:firstLineChars="200"/>
        <w:rPr>
          <w:rFonts w:hint="default"/>
        </w:rPr>
      </w:pPr>
      <w:r>
        <w:rPr>
          <w:rFonts w:hint="eastAsia" w:ascii="仿宋" w:hAnsi="仿宋" w:eastAsia="仿宋" w:cs="黑体"/>
          <w:bCs/>
          <w:sz w:val="28"/>
          <w:szCs w:val="28"/>
        </w:rPr>
        <w:t>加强预算绩效管理，进一步加强各</w:t>
      </w:r>
      <w:r>
        <w:rPr>
          <w:rFonts w:hint="eastAsia" w:ascii="仿宋" w:hAnsi="仿宋" w:eastAsia="仿宋" w:cs="黑体"/>
          <w:bCs/>
          <w:sz w:val="28"/>
          <w:szCs w:val="28"/>
          <w:lang w:eastAsia="zh-CN"/>
        </w:rPr>
        <w:t>项</w:t>
      </w:r>
      <w:r>
        <w:rPr>
          <w:rFonts w:hint="eastAsia" w:ascii="仿宋" w:hAnsi="仿宋" w:eastAsia="仿宋" w:cs="黑体"/>
          <w:bCs/>
          <w:sz w:val="28"/>
          <w:szCs w:val="28"/>
        </w:rPr>
        <w:t>预算资金管理，对预算的事前、事中、事后进行全过程控制，在对预算编制与执行的监督管理力度，提高预算资金使用效率。</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ilvl w:val="0"/>
          <w:numId w:val="0"/>
        </w:numPr>
        <w:ind w:firstLine="560" w:firstLineChars="200"/>
        <w:rPr>
          <w:rFonts w:hint="eastAsia" w:ascii="仿宋" w:hAnsi="仿宋" w:eastAsia="仿宋" w:cs="黑体"/>
          <w:bCs/>
          <w:kern w:val="2"/>
          <w:sz w:val="28"/>
          <w:szCs w:val="28"/>
          <w:lang w:val="en-US" w:eastAsia="zh-CN" w:bidi="ar-SA"/>
        </w:rPr>
      </w:pPr>
      <w:r>
        <w:rPr>
          <w:rFonts w:hint="eastAsia" w:ascii="仿宋" w:hAnsi="仿宋" w:eastAsia="仿宋" w:cs="黑体"/>
          <w:bCs/>
          <w:kern w:val="2"/>
          <w:sz w:val="28"/>
          <w:szCs w:val="28"/>
          <w:lang w:val="en-US" w:eastAsia="zh-CN" w:bidi="ar-SA"/>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黑体"/>
          <w:bCs/>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6"/>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kern w:val="0"/>
                <w:sz w:val="24"/>
              </w:rPr>
            </w:pP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b/>
                <w:bCs/>
                <w:kern w:val="0"/>
                <w:sz w:val="24"/>
              </w:rPr>
            </w:pP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(一)项目概况。包括项目背景、主要内容及实施情况、资金投入和使用情况等。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(二)项目绩效目标。包括总体目标和阶段性目标。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(二)项目过程情况。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9E5BEB-F7DE-4B35-AE97-F7A541E7665B}"/>
  </w:font>
  <w:font w:name="Arial">
    <w:panose1 w:val="020B0604020202020204"/>
    <w:charset w:val="01"/>
    <w:family w:val="swiss"/>
    <w:pitch w:val="default"/>
    <w:sig w:usb0="E0002AFF" w:usb1="C0007843" w:usb2="00000009" w:usb3="00000000" w:csb0="400001FF" w:csb1="FFFF0000"/>
    <w:embedRegular r:id="rId2" w:fontKey="{B0527C7B-DD57-436B-820E-971AD694F27C}"/>
  </w:font>
  <w:font w:name="黑体">
    <w:panose1 w:val="02010609060101010101"/>
    <w:charset w:val="86"/>
    <w:family w:val="auto"/>
    <w:pitch w:val="default"/>
    <w:sig w:usb0="800002BF" w:usb1="38CF7CFA" w:usb2="00000016" w:usb3="00000000" w:csb0="00040001" w:csb1="00000000"/>
    <w:embedRegular r:id="rId3" w:fontKey="{184BEF3D-221C-448F-B959-AB86B0437940}"/>
  </w:font>
  <w:font w:name="Courier New">
    <w:panose1 w:val="02070309020205020404"/>
    <w:charset w:val="01"/>
    <w:family w:val="modern"/>
    <w:pitch w:val="default"/>
    <w:sig w:usb0="E0002AFF" w:usb1="C0007843" w:usb2="00000009" w:usb3="00000000" w:csb0="400001FF" w:csb1="FFFF0000"/>
    <w:embedRegular r:id="rId4" w:fontKey="{33B089B4-2B12-4CC9-B59D-019A9838ED6D}"/>
  </w:font>
  <w:font w:name="Symbol">
    <w:panose1 w:val="05050102010706020507"/>
    <w:charset w:val="02"/>
    <w:family w:val="roman"/>
    <w:pitch w:val="default"/>
    <w:sig w:usb0="00000000" w:usb1="00000000" w:usb2="00000000" w:usb3="00000000" w:csb0="80000000" w:csb1="00000000"/>
    <w:embedRegular r:id="rId5" w:fontKey="{A940E37B-E91B-402D-AAE3-D8E1A806FE89}"/>
  </w:font>
  <w:font w:name="Calibri">
    <w:panose1 w:val="020F0502020204030204"/>
    <w:charset w:val="00"/>
    <w:family w:val="swiss"/>
    <w:pitch w:val="default"/>
    <w:sig w:usb0="E00002FF" w:usb1="4000ACFF" w:usb2="00000001" w:usb3="00000000" w:csb0="2000019F" w:csb1="00000000"/>
    <w:embedRegular r:id="rId6" w:fontKey="{5DC79AB6-5DD2-4919-85D6-480A0A5877AC}"/>
  </w:font>
  <w:font w:name="方正小标宋简体">
    <w:panose1 w:val="02000000000000000000"/>
    <w:charset w:val="86"/>
    <w:family w:val="auto"/>
    <w:pitch w:val="default"/>
    <w:sig w:usb0="00000001" w:usb1="08000000" w:usb2="00000000" w:usb3="00000000" w:csb0="00040000" w:csb1="00000000"/>
    <w:embedRegular r:id="rId7" w:fontKey="{A0E9F756-9984-45AE-9C00-696BC30C937D}"/>
  </w:font>
  <w:font w:name="新宋体">
    <w:panose1 w:val="02010609030101010101"/>
    <w:charset w:val="86"/>
    <w:family w:val="auto"/>
    <w:pitch w:val="default"/>
    <w:sig w:usb0="00000003" w:usb1="288F0000" w:usb2="00000006" w:usb3="00000000" w:csb0="00040001" w:csb1="00000000"/>
    <w:embedRegular r:id="rId8" w:fontKey="{B86C9C95-2A74-4637-93D3-808BE895B293}"/>
  </w:font>
  <w:font w:name="仿宋_GB2312">
    <w:panose1 w:val="02010609030101010101"/>
    <w:charset w:val="86"/>
    <w:family w:val="auto"/>
    <w:pitch w:val="default"/>
    <w:sig w:usb0="00000001" w:usb1="080E0000" w:usb2="00000000" w:usb3="00000000" w:csb0="00040000" w:csb1="00000000"/>
    <w:embedRegular r:id="rId9" w:fontKey="{324BB7CF-8CA2-4A0F-A6DC-B9EF4CC8E35E}"/>
  </w:font>
  <w:font w:name="仿宋">
    <w:panose1 w:val="02010609060101010101"/>
    <w:charset w:val="86"/>
    <w:family w:val="modern"/>
    <w:pitch w:val="default"/>
    <w:sig w:usb0="800002BF" w:usb1="38CF7CFA" w:usb2="00000016" w:usb3="00000000" w:csb0="00040001" w:csb1="00000000"/>
    <w:embedRegular r:id="rId10" w:fontKey="{F2F358B9-22E6-4241-B91F-49A21ABCD4D3}"/>
  </w:font>
  <w:font w:name="方正小标宋_GBK">
    <w:panose1 w:val="03000509000000000000"/>
    <w:charset w:val="86"/>
    <w:family w:val="script"/>
    <w:pitch w:val="default"/>
    <w:sig w:usb0="00000001" w:usb1="080E0000" w:usb2="00000000" w:usb3="00000000" w:csb0="00040000" w:csb1="00000000"/>
    <w:embedRegular r:id="rId11" w:fontKey="{8FE6CF5F-4110-4F6D-9E8D-D87A55CCD4E2}"/>
  </w:font>
  <w:font w:name="楷体_GB2312">
    <w:panose1 w:val="02010609030101010101"/>
    <w:charset w:val="86"/>
    <w:family w:val="auto"/>
    <w:pitch w:val="default"/>
    <w:sig w:usb0="00000001" w:usb1="080E0000" w:usb2="00000000" w:usb3="00000000" w:csb0="00040000" w:csb1="00000000"/>
    <w:embedRegular r:id="rId12" w:fontKey="{B4BA1328-6466-41CD-B9B6-102078796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F2BD91"/>
    <w:multiLevelType w:val="singleLevel"/>
    <w:tmpl w:val="3AF2BD91"/>
    <w:lvl w:ilvl="0" w:tentative="0">
      <w:start w:val="6"/>
      <w:numFmt w:val="chineseCounting"/>
      <w:suff w:val="nothing"/>
      <w:lvlText w:val="%1、"/>
      <w:lvlJc w:val="left"/>
      <w:rPr>
        <w:rFonts w:hint="eastAsia"/>
      </w:rPr>
    </w:lvl>
  </w:abstractNum>
  <w:abstractNum w:abstractNumId="1">
    <w:nsid w:val="5EAE684E"/>
    <w:multiLevelType w:val="singleLevel"/>
    <w:tmpl w:val="5EAE684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zMTYxZTFmYzhkZWQ5YWYyMDVhZjk1ODM0NTc5M2QifQ=="/>
  </w:docVars>
  <w:rsids>
    <w:rsidRoot w:val="0CCB7736"/>
    <w:rsid w:val="00047FEF"/>
    <w:rsid w:val="000A3906"/>
    <w:rsid w:val="001776F1"/>
    <w:rsid w:val="006F0A16"/>
    <w:rsid w:val="00773328"/>
    <w:rsid w:val="00821883"/>
    <w:rsid w:val="00917857"/>
    <w:rsid w:val="00A755C2"/>
    <w:rsid w:val="016A347B"/>
    <w:rsid w:val="025D60EE"/>
    <w:rsid w:val="026003DA"/>
    <w:rsid w:val="026953D4"/>
    <w:rsid w:val="027E4FEB"/>
    <w:rsid w:val="02B50488"/>
    <w:rsid w:val="0338470A"/>
    <w:rsid w:val="034101BC"/>
    <w:rsid w:val="034822A9"/>
    <w:rsid w:val="03D86621"/>
    <w:rsid w:val="041A02DA"/>
    <w:rsid w:val="049862AC"/>
    <w:rsid w:val="04EE6171"/>
    <w:rsid w:val="05395EA9"/>
    <w:rsid w:val="05CE75A7"/>
    <w:rsid w:val="08F31465"/>
    <w:rsid w:val="0A8E14AD"/>
    <w:rsid w:val="0ABD557B"/>
    <w:rsid w:val="0BBB5A8D"/>
    <w:rsid w:val="0C104906"/>
    <w:rsid w:val="0CCB7736"/>
    <w:rsid w:val="0D9E0E8D"/>
    <w:rsid w:val="0EAB7397"/>
    <w:rsid w:val="0EF755B3"/>
    <w:rsid w:val="0F17035E"/>
    <w:rsid w:val="0F4E168D"/>
    <w:rsid w:val="102C1B2C"/>
    <w:rsid w:val="11404466"/>
    <w:rsid w:val="114A5A7D"/>
    <w:rsid w:val="11963ADD"/>
    <w:rsid w:val="11EB0F5C"/>
    <w:rsid w:val="11F20483"/>
    <w:rsid w:val="136F31F8"/>
    <w:rsid w:val="138750E0"/>
    <w:rsid w:val="150373D5"/>
    <w:rsid w:val="15A620D3"/>
    <w:rsid w:val="16A3369E"/>
    <w:rsid w:val="178536BD"/>
    <w:rsid w:val="17F65611"/>
    <w:rsid w:val="18BA2933"/>
    <w:rsid w:val="18DF60A5"/>
    <w:rsid w:val="19516372"/>
    <w:rsid w:val="19575CC2"/>
    <w:rsid w:val="19A80228"/>
    <w:rsid w:val="19AA0461"/>
    <w:rsid w:val="19E46372"/>
    <w:rsid w:val="1A101464"/>
    <w:rsid w:val="1AB74849"/>
    <w:rsid w:val="1AC52FF2"/>
    <w:rsid w:val="1AE6175D"/>
    <w:rsid w:val="1AEB18AC"/>
    <w:rsid w:val="1AF95B35"/>
    <w:rsid w:val="1B742AA7"/>
    <w:rsid w:val="1BFD51C0"/>
    <w:rsid w:val="1CA34935"/>
    <w:rsid w:val="1D5A640E"/>
    <w:rsid w:val="1E0A09D1"/>
    <w:rsid w:val="1ED4202B"/>
    <w:rsid w:val="1F3E0E79"/>
    <w:rsid w:val="1F7640EC"/>
    <w:rsid w:val="20545A28"/>
    <w:rsid w:val="20D76C5F"/>
    <w:rsid w:val="20D95019"/>
    <w:rsid w:val="21057490"/>
    <w:rsid w:val="214A230E"/>
    <w:rsid w:val="21B052C4"/>
    <w:rsid w:val="22E16CE3"/>
    <w:rsid w:val="22FF5445"/>
    <w:rsid w:val="238D0E57"/>
    <w:rsid w:val="24256710"/>
    <w:rsid w:val="251E7983"/>
    <w:rsid w:val="25FC3DF2"/>
    <w:rsid w:val="260D5D83"/>
    <w:rsid w:val="284A2254"/>
    <w:rsid w:val="292F1467"/>
    <w:rsid w:val="29786927"/>
    <w:rsid w:val="297B51B4"/>
    <w:rsid w:val="29803CD8"/>
    <w:rsid w:val="29E40467"/>
    <w:rsid w:val="29F527E2"/>
    <w:rsid w:val="2B5B5A5F"/>
    <w:rsid w:val="2BF35971"/>
    <w:rsid w:val="2C487650"/>
    <w:rsid w:val="2D6F2CE4"/>
    <w:rsid w:val="2E4F43C0"/>
    <w:rsid w:val="2E864BA1"/>
    <w:rsid w:val="2EC7368E"/>
    <w:rsid w:val="30FB4B41"/>
    <w:rsid w:val="31621165"/>
    <w:rsid w:val="323C5548"/>
    <w:rsid w:val="34510CB0"/>
    <w:rsid w:val="35FD3F7A"/>
    <w:rsid w:val="36714388"/>
    <w:rsid w:val="37450F88"/>
    <w:rsid w:val="37D6106F"/>
    <w:rsid w:val="38F862EB"/>
    <w:rsid w:val="39343807"/>
    <w:rsid w:val="39887BBC"/>
    <w:rsid w:val="39B527DE"/>
    <w:rsid w:val="3A53023B"/>
    <w:rsid w:val="3AF42D2D"/>
    <w:rsid w:val="3B3A041F"/>
    <w:rsid w:val="3BAE6BF9"/>
    <w:rsid w:val="3CCA47F2"/>
    <w:rsid w:val="3CDE0708"/>
    <w:rsid w:val="3D5877DF"/>
    <w:rsid w:val="3D6F2940"/>
    <w:rsid w:val="3DC55CAA"/>
    <w:rsid w:val="3DD556CA"/>
    <w:rsid w:val="3F450429"/>
    <w:rsid w:val="40053278"/>
    <w:rsid w:val="40226C80"/>
    <w:rsid w:val="40752FAD"/>
    <w:rsid w:val="40C451A5"/>
    <w:rsid w:val="4156470B"/>
    <w:rsid w:val="41943ACE"/>
    <w:rsid w:val="42554B5E"/>
    <w:rsid w:val="425D4066"/>
    <w:rsid w:val="429F227D"/>
    <w:rsid w:val="43173FD4"/>
    <w:rsid w:val="44143822"/>
    <w:rsid w:val="44654A12"/>
    <w:rsid w:val="457C5F26"/>
    <w:rsid w:val="47304BF8"/>
    <w:rsid w:val="49CF255F"/>
    <w:rsid w:val="49E53FF4"/>
    <w:rsid w:val="4A4335A0"/>
    <w:rsid w:val="4ADF590D"/>
    <w:rsid w:val="4B2C5DCD"/>
    <w:rsid w:val="4B7D1173"/>
    <w:rsid w:val="4C150E22"/>
    <w:rsid w:val="4C6A38FC"/>
    <w:rsid w:val="4CE74BC3"/>
    <w:rsid w:val="4CF5000E"/>
    <w:rsid w:val="4DB17672"/>
    <w:rsid w:val="50AC44C4"/>
    <w:rsid w:val="50EA6DB9"/>
    <w:rsid w:val="511D349B"/>
    <w:rsid w:val="51CA7471"/>
    <w:rsid w:val="521C2FA3"/>
    <w:rsid w:val="522529B2"/>
    <w:rsid w:val="52815EC7"/>
    <w:rsid w:val="53910AF4"/>
    <w:rsid w:val="555952B3"/>
    <w:rsid w:val="556B5A36"/>
    <w:rsid w:val="55AF40BB"/>
    <w:rsid w:val="56BE6D1E"/>
    <w:rsid w:val="56F72F7C"/>
    <w:rsid w:val="586243BF"/>
    <w:rsid w:val="58FC58DC"/>
    <w:rsid w:val="58FD3402"/>
    <w:rsid w:val="5AAF7799"/>
    <w:rsid w:val="5B5C1753"/>
    <w:rsid w:val="5D543F38"/>
    <w:rsid w:val="5DF11787"/>
    <w:rsid w:val="5E134100"/>
    <w:rsid w:val="5F7A1C50"/>
    <w:rsid w:val="5FA82319"/>
    <w:rsid w:val="601C4AB5"/>
    <w:rsid w:val="604556D3"/>
    <w:rsid w:val="60BE691E"/>
    <w:rsid w:val="61067D4B"/>
    <w:rsid w:val="613F0A5C"/>
    <w:rsid w:val="61444403"/>
    <w:rsid w:val="61B96CB2"/>
    <w:rsid w:val="620669D6"/>
    <w:rsid w:val="62265BDF"/>
    <w:rsid w:val="624F2F20"/>
    <w:rsid w:val="62E1699A"/>
    <w:rsid w:val="63703B59"/>
    <w:rsid w:val="637349EC"/>
    <w:rsid w:val="64147F0D"/>
    <w:rsid w:val="64D66362"/>
    <w:rsid w:val="65860217"/>
    <w:rsid w:val="663D3CCC"/>
    <w:rsid w:val="667E0AA1"/>
    <w:rsid w:val="66CA526B"/>
    <w:rsid w:val="68FB17C3"/>
    <w:rsid w:val="695F12F9"/>
    <w:rsid w:val="69636C3A"/>
    <w:rsid w:val="69CF7B2C"/>
    <w:rsid w:val="69F06D97"/>
    <w:rsid w:val="6A0B0004"/>
    <w:rsid w:val="6B025FEE"/>
    <w:rsid w:val="6BA1010E"/>
    <w:rsid w:val="6CE47E41"/>
    <w:rsid w:val="6CED5810"/>
    <w:rsid w:val="6CF92413"/>
    <w:rsid w:val="6D3E606B"/>
    <w:rsid w:val="6DFE5E04"/>
    <w:rsid w:val="6E87203D"/>
    <w:rsid w:val="6EC65B97"/>
    <w:rsid w:val="6F9278BB"/>
    <w:rsid w:val="709520F0"/>
    <w:rsid w:val="71572F19"/>
    <w:rsid w:val="719B7427"/>
    <w:rsid w:val="724A6793"/>
    <w:rsid w:val="727822FF"/>
    <w:rsid w:val="741F26FA"/>
    <w:rsid w:val="74363F40"/>
    <w:rsid w:val="74470DF8"/>
    <w:rsid w:val="75887668"/>
    <w:rsid w:val="75BB5CE8"/>
    <w:rsid w:val="75FD1676"/>
    <w:rsid w:val="76D419EA"/>
    <w:rsid w:val="76EB0092"/>
    <w:rsid w:val="77410BC0"/>
    <w:rsid w:val="77E02B9B"/>
    <w:rsid w:val="796719E7"/>
    <w:rsid w:val="799536BA"/>
    <w:rsid w:val="7B170752"/>
    <w:rsid w:val="7B2A5E81"/>
    <w:rsid w:val="7B8F681B"/>
    <w:rsid w:val="7BC57958"/>
    <w:rsid w:val="7C084414"/>
    <w:rsid w:val="7DD96C0E"/>
    <w:rsid w:val="7E474F7B"/>
    <w:rsid w:val="7E8F7AC1"/>
    <w:rsid w:val="7F7122D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 w:type="paragraph" w:customStyle="1" w:styleId="13">
    <w:name w:val="正文1"/>
    <w:qFormat/>
    <w:uiPriority w:val="0"/>
    <w:pPr>
      <w:widowControl w:val="0"/>
      <w:suppressAutoHyphens w:val="0"/>
      <w:bidi w:val="0"/>
      <w:spacing w:before="0" w:after="0"/>
      <w:jc w:val="both"/>
    </w:pPr>
    <w:rPr>
      <w:rFonts w:ascii="Times New Roman" w:hAnsi="Times New Roman" w:eastAsia="宋体" w:cs="Times New Roman"/>
      <w:color w:val="auto"/>
      <w:kern w:val="2"/>
      <w:sz w:val="21"/>
      <w:szCs w:val="24"/>
      <w:lang w:val="en-US" w:eastAsia="zh-CN" w:bidi="ar-SA"/>
    </w:rPr>
  </w:style>
  <w:style w:type="paragraph" w:customStyle="1" w:styleId="14">
    <w:name w:val="Body text|2"/>
    <w:basedOn w:val="1"/>
    <w:qFormat/>
    <w:uiPriority w:val="0"/>
    <w:pPr>
      <w:widowControl w:val="0"/>
      <w:shd w:val="clear" w:color="auto" w:fill="auto"/>
      <w:spacing w:after="410"/>
      <w:jc w:val="center"/>
    </w:pPr>
    <w:rPr>
      <w:rFonts w:ascii="宋体" w:hAnsi="宋体" w:eastAsia="宋体" w:cs="宋体"/>
      <w:sz w:val="38"/>
      <w:szCs w:val="38"/>
      <w:u w:val="none"/>
      <w:shd w:val="clear" w:color="auto" w:fill="auto"/>
      <w:lang w:val="zh-TW" w:eastAsia="zh-TW" w:bidi="zh-TW"/>
    </w:rPr>
  </w:style>
  <w:style w:type="paragraph" w:customStyle="1" w:styleId="15">
    <w:name w:val="Body text|1"/>
    <w:basedOn w:val="1"/>
    <w:qFormat/>
    <w:uiPriority w:val="0"/>
    <w:pPr>
      <w:widowControl w:val="0"/>
      <w:shd w:val="clear" w:color="auto" w:fill="auto"/>
      <w:spacing w:line="410"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17</Pages>
  <Words>6914</Words>
  <Characters>7389</Characters>
  <Lines>0</Lines>
  <Paragraphs>0</Paragraphs>
  <TotalTime>287</TotalTime>
  <ScaleCrop>false</ScaleCrop>
  <LinksUpToDate>false</LinksUpToDate>
  <CharactersWithSpaces>7724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雨中人</cp:lastModifiedBy>
  <cp:lastPrinted>2023-07-18T07:12:00Z</cp:lastPrinted>
  <dcterms:modified xsi:type="dcterms:W3CDTF">2023-07-18T09:24:35Z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