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_GBK" w:hAnsi="宋体" w:eastAsia="方正小标宋_GBK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_GBK" w:hAnsi="宋体" w:eastAsia="方正小标宋_GBK" w:cs="宋体"/>
                <w:color w:val="000000"/>
                <w:kern w:val="0"/>
                <w:sz w:val="40"/>
                <w:szCs w:val="40"/>
              </w:rPr>
              <w:t>岳阳市生态环境局华容分局2022年度单位预算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t>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第一部分  2022年单位预算说明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第二部分  2022年单位预算公开表格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2" w:hRule="atLeast"/>
        </w:trPr>
        <w:tc>
          <w:tcPr>
            <w:tcW w:w="50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1、收支总表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2、收入总表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3、支出总表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4、支出预算分类汇总表（按政府预算经济分类）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5、支出预算分类汇总表（按部门预算经济分类）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6、财政拨款收支总表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7、一般公共预算支出表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8、一般公共预算基本支出表-人员经费（工资福利支出）（按政府预算经济分类）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9、一般公共预算基本支出表-人员经费（工资福利支出）（按部门预算经济分类）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10、一般公共预算基本支出表-人员经费（对个人和家庭的补助）（按政府预算经济分类）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11、一般公共预算基本支出表-人员经费（对个人和家庭的补助）（按部门预算经济分类）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12、一般公共预算基本支出表-人员经费（商品和服务支出）（按政府预算经济分类）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13、一般公共预算基本支出表-人员经费（商品和服务支出）（按部门预算经济分类）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14、一般公共预算“三公”经费支出表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15、政府性基金预算支出表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16、政府性基金预算支出分类汇总表（按政府预算经济分类）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17、政府性基金预算支出分类汇总表（按部门预算经济分类）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18、国有资本经营预算支出表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19、财政专户管理资金预算支出表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20、专项资金预算汇总表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21、项目支出绩效目标表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22、整体支出绩效目标表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注：以上单位预算公开报表中，空表表示本单位无相关收支情况。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2" w:hRule="atLeast"/>
        </w:trPr>
        <w:tc>
          <w:tcPr>
            <w:tcW w:w="5000" w:type="pct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</w:rPr>
              <w:t>第一部分  2022年单位预算说明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一、单位基本概况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（一）职能职责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贯彻执行国家、省和市有关生态环境的法律法规和政策，根据职责和授权拟订生态环境保护规范性文件并监督实施。负责生态环境保护方面的制度建设；协调和监督管理辖区内生态环境保护工作；监督管理减排目标的落实；环境污染防治的监督管理；指导协调和监督生态保护修复工作；辐射环境安全的监督管理；生态环境准入的监督管理；生态环境监测工作；承担生态环境保护综合执法工作；组织开展生态环境科技工作；会同有关部门管理生态环境保护有关资金项目；组织开展和指导生态环境宣传教育工作；完成市生态环境局交办的其他任务，协助华容县委、县政府开展生态环境保护工作，指导辖区内乡镇（街道）的生态环境保护工作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（二）机构设置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我局属于参照公务员管理的事业单位，现有编制数62人，其中行政编制13人，参公编制36人，事业编制13人。现有在职在编人员62人，退休人员20人。内设办公室、生态环境监督股、法制宣教股、土壤生态股、水生态环境股、大气环境与应对气候变化股、固体废物股、行政审批股、规划与财务股、人事股。下设县生态环境保护综合行政执法大队、岳阳市华容生态环境监测站两个二级机构（二级机构财务上未独立核算）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二、单位预算单位构成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本单位预算仅含本级预算。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三、单位收支总体情况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（一）收入预算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包括一般公共预算、政府性基金、国有资本经营预算等财政拨款收入，以及经营收入、事业收入等单位资金。2022年本单位收入预算1659.52万元，其中，一般公共预算拨款1659.52万元，政府性基金预算拨款0万元，所以公开的附件15-17（政府性基金预算）为空,国有资本经营预算拨款0万元，所以公开的附表18（国有资本经营预算）为空,财政专户管理资金0万元，所以公开的附表19表（财政专户管理资金预算）为空，上级补助收入0万元，事业单位经营收入0万元，上年结转结余0万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420" w:firstLineChars="150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收入较去年减少38.6万元，主要是业务量增加导致基本支出中公用经费增加24.2万元，厉行节约，压减项目支出62.8万元。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（二）支出预算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2022年本单位支出预算1659.52万元，其中，社会保障和就业支出60.53万元，占比3.65%，卫生健康支出40.25万元，占比2.43%，节能环保支出1513.33万元，占比91.19%，住房保障支出45.4万元，占比2.74%。支出较去年减少38.6万元，其中基本支出增加24.2万元，项目支出减少62.8万元。其中基本支出较上年增加主要是因为业务量增加导致公用经费增加，项目支出减少主要是因为厉行节约，压减项目支出62.8万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四、一般公共预算拨款支出预算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2022年本单位一般公共预算拨款支出预算1659.52万元，其中，社会保障和就业支出60.53万元，占比3.65%，卫生健康支出40.25万元，占比2.43%，节能环保支出1513.33万元，占比91.19%，住房保障支出45.4万元，占比2.74%。具体安排情况如下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（一）基本支出：2022年基本支出年初预算数为671.54万元（数据来源见表7），是指为保障单位机构正常运转、完成日常工作任务而发生的各项支出，包括用于基本工资、津贴补贴等人员经费以及办公费、印刷费、水电费、差旅费等日常公用经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（二）项目支出：2022年项目支出年初预算数为987.98万元，是指单位为完成特定行政工作任务或事业发展目标而发生的支出，包括有关业务工作经费、运行维护经费等。其中：工会经费补助专项支出24.6万元、环境监测、监控及监察能力建设专项支出345万元、环境监察、监测运行经费专项支出381.06万元、伙食补助专项支出32.8万元、物业服务补贴专项支出29.52万元、预安排综合绩效奖和平安岳阳建设奖专项支出164万元、办案费专项支出11万元，主要用于办案费、食堂、委托业务、专业设备购置、差旅费、其他交通费、印刷费等方面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五、政府性基金预算支出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2022年度本单位无政府性基金安排的支出，所以公开的附件15-17（政府性基金预算）为空。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六、其他重要事项的情况说明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（一）机关运行经费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本单位2022年机关运行经费当年一般公共预算拨款140.68万元，比上一年增加20.38万元，增加16.9%。主要原因是因为业务量增加导致公用经费增加。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（二）“三公”经费预算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本单位2022年“三公”经费预算数10万元，其中，公务接待费7万元，因公出国（境）费0万元，公务用车购置及运行费3万元，其中公务用车购置费0万元，公务用车运行费3万元。比上一年增加4万元，增加66.7%，主要原因是业务量增加导致公务接待支出增加3万元，公务用车运行费与去年持平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（三）一般性支出情况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2022年度本单位未计划安排会议、培训，未计划举办节庆、晚会、论坛、赛事活动。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（四）政府采购情况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本单位2022年政府采购预算总额646.1万元，其中工程类0万元，货物类41.9万元，服务类604.2万元。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（五）国有资产占有使用及新增资产配置情况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截至上一年12月底，本单位共有车辆1辆，其中领导干部用车0辆，一般公务用车0辆，其他用车1辆。单位价值50万元以上通用设备0台，单位价值100万元以上专用设备0台。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2022年拟报废处置公务用车0辆，拟新增配置车辆0辆，其中领导干部用车0辆，一般公务用车0辆，其他用车0辆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。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2022年拟新增配备领导干部用车0辆，一般公务用车0辆，其他用车0辆，新增配备单位价值50万元以上通用设备0台，单位价值100万元以上专用设备0台。2022年度本单位未计划处置或新增车辆、设备等。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（六）预算绩效目标说明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本单位所有支出实行绩效目标管理。纳入2022年部门整体支出绩效目标的金额为1659.52万元，其中，基本支出671.54万元，项目支出987.98万元，详见文尾附表中单位预算公开表格的表21-22。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七、名词解释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  2、“三公”经费：纳入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</w:rPr>
              <w:t>第二部分  2022年单位预算公开表格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1、收支总表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2、收入总表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3、支出总表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4、支出预算分类汇总表（按政府预算经济分类）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5、支出预算分类汇总表（按部门预算经济分类）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6、财政拨款收支总表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7、一般公共预算支出表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8、一般公共预算基本支出表-人员经费（工资福利支出）（按政府预算经济分类）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9、一般公共预算基本支出表-人员经费（工资福利支出）（按部门预算经济分类）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10、一般公共预算基本支出表-人员经费（对个人和家庭的补助）（按政府预算经济分类）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11、一般公共预算基本支出表-人员经费（对个人和家庭的补助）（按部门预算经济分类）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12、一般公共预算基本支出表-人员经费（商品和服务支出）（按政府预算经济分类）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13、一般公共预算基本支出表-人员经费（商品和服务支出）（按部门预算经济分类）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14、一般公共预算“三公”经费支出表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15、政府性基金预算支出表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16、政府性基金预算支出分类汇总表（按政府预算经济分类）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17、政府性基金预算支出分类汇总表（按部门预算经济分类）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18、国有资本经营预算支出表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19、财政专户管理资金预算支出表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20、专项资金预算汇总表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21、项目支出绩效目标表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22、整体支出绩效目标表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注：以上单位预算公开报表中，空表表示本单位无相关收支情况。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MzMTIyM2ZlZTljZDMzZWNjNTFiZjkxOTY0M2NmZWUifQ=="/>
  </w:docVars>
  <w:rsids>
    <w:rsidRoot w:val="00AD1DF5"/>
    <w:rsid w:val="00062444"/>
    <w:rsid w:val="00AD1DF5"/>
    <w:rsid w:val="35FF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9</Pages>
  <Words>3457</Words>
  <Characters>3755</Characters>
  <Lines>27</Lines>
  <Paragraphs>7</Paragraphs>
  <TotalTime>6</TotalTime>
  <ScaleCrop>false</ScaleCrop>
  <LinksUpToDate>false</LinksUpToDate>
  <CharactersWithSpaces>3814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2023-06-08T02:15:00Z</dcterms:created>
  <dc:creator>微软用户</dc:creator>
  <cp:lastModifiedBy>瑛～</cp:lastModifiedBy>
  <dcterms:modified xsi:type="dcterms:W3CDTF">2023-07-10T07:16:45Z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9632ADD275BE495880FB290A9B87F05D_12</vt:lpwstr>
  </property>
</Properties>
</file>