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华容县北景港财政所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430623103</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 年10月 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易相国</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13974083132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pStyle w:val="6"/>
              <w:widowControl/>
              <w:shd w:val="clear" w:color="auto" w:fill="FFFFFF"/>
              <w:spacing w:beforeAutospacing="0" w:afterAutospacing="0" w:line="33" w:lineRule="atLeast"/>
              <w:ind w:firstLine="320" w:firstLineChars="100"/>
              <w:jc w:val="both"/>
              <w:rPr>
                <w:rFonts w:ascii="仿宋" w:hAnsi="仿宋" w:eastAsia="仿宋" w:cs="仿宋"/>
                <w:kern w:val="2"/>
                <w:sz w:val="32"/>
                <w:szCs w:val="32"/>
              </w:rPr>
            </w:pPr>
            <w:r>
              <w:rPr>
                <w:rFonts w:hint="eastAsia" w:ascii="仿宋" w:hAnsi="仿宋" w:eastAsia="仿宋" w:cs="仿宋"/>
                <w:kern w:val="2"/>
                <w:sz w:val="32"/>
                <w:szCs w:val="32"/>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pStyle w:val="6"/>
              <w:widowControl/>
              <w:numPr>
                <w:ilvl w:val="0"/>
                <w:numId w:val="1"/>
              </w:numPr>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规范预算资金管理</w:t>
            </w:r>
          </w:p>
          <w:p>
            <w:pPr>
              <w:rPr>
                <w:rFonts w:ascii="仿宋" w:hAnsi="仿宋" w:eastAsia="仿宋" w:cs="仿宋"/>
                <w:sz w:val="32"/>
                <w:szCs w:val="32"/>
              </w:rPr>
            </w:pPr>
            <w:r>
              <w:rPr>
                <w:rFonts w:hint="eastAsia" w:ascii="仿宋" w:hAnsi="仿宋" w:eastAsia="仿宋" w:cs="仿宋"/>
                <w:sz w:val="32"/>
                <w:szCs w:val="32"/>
              </w:rPr>
              <w:t>2、加强财政资金监管，提高财政资金使用效益</w:t>
            </w:r>
          </w:p>
          <w:p>
            <w:pPr>
              <w:rPr>
                <w:rFonts w:ascii="仿宋" w:hAnsi="仿宋" w:eastAsia="仿宋" w:cs="仿宋"/>
                <w:sz w:val="32"/>
                <w:szCs w:val="32"/>
              </w:rPr>
            </w:pPr>
            <w:r>
              <w:rPr>
                <w:rFonts w:hint="eastAsia" w:ascii="仿宋" w:hAnsi="仿宋" w:eastAsia="仿宋" w:cs="仿宋"/>
                <w:sz w:val="32"/>
                <w:szCs w:val="32"/>
              </w:rPr>
              <w:t>3、扎实认真做好惠农补贴发放</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4、规范村账乡代理工作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pStyle w:val="6"/>
              <w:widowControl/>
              <w:shd w:val="clear" w:color="auto" w:fill="FFFFFF"/>
              <w:spacing w:beforeAutospacing="0" w:afterAutospacing="0" w:line="33" w:lineRule="atLeas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2021年，在县财政局和镇党委政府领导下，我们以“高度的责任感、扎实的工作态度、谦虚谨慎的心态”，团结一心、扎实工作，牢固树立为民理财、依法理财、文明理财、廉政理财的阳光财政思想，全面完成了全年工作任务。</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ind w:firstLine="3840" w:firstLineChars="16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58.14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58.14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16.86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37.31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37.31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37.31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37.31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压缩三公经费、一般消费性支出,限制招待费入帐,确保上级各项专项支出,坚持做到拨款有预算,支出有计划。继续巩固“零户统管”工作,加强预算内外资金管理力度</w:t>
            </w:r>
          </w:p>
          <w:p/>
        </w:tc>
        <w:tc>
          <w:tcPr>
            <w:tcW w:w="4585" w:type="dxa"/>
            <w:gridSpan w:val="9"/>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坚持做到拨款有预算,支出有计划。</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压缩三公经费、一般消费性支出,限制招待费入帐,</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代理11村、1个社区的村账乡代理工作</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2021年年底前</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财政补助收入</w:t>
            </w:r>
          </w:p>
        </w:tc>
        <w:tc>
          <w:tcPr>
            <w:tcW w:w="2684" w:type="dxa"/>
            <w:gridSpan w:val="6"/>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上级补助收入</w:t>
            </w:r>
          </w:p>
        </w:tc>
        <w:tc>
          <w:tcPr>
            <w:tcW w:w="2684" w:type="dxa"/>
            <w:gridSpan w:val="6"/>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有效制止了部门资金乱收乱支的不良现象，增强了政府统揽经济的能力。</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群众满意</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jc w:val="center"/>
              <w:rPr>
                <w:rFonts w:ascii="仿宋" w:hAnsi="仿宋" w:eastAsia="仿宋" w:cs="仿宋"/>
                <w:color w:val="000000"/>
                <w:sz w:val="24"/>
              </w:rPr>
            </w:pPr>
            <w:r>
              <w:rPr>
                <w:rFonts w:hint="eastAsia" w:ascii="仿宋" w:hAnsi="仿宋" w:eastAsia="仿宋" w:cs="仿宋"/>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lang w:val="en-US" w:eastAsia="zh-CN"/>
              </w:rPr>
            </w:pPr>
            <w:r>
              <w:rPr>
                <w:rFonts w:hint="eastAsia"/>
                <w:lang w:val="en-US" w:eastAsia="zh-CN"/>
              </w:rPr>
              <w:t>莫志强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所长</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韩思瑶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孟玉莹</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易相国</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13974083132</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华容县北景港镇财政所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华容县北景港镇财政所共有财政所1个独立核算工作机构。现有人员编制5名（其中：行政编制2名，事业全额编制3名），实有在职干部、职工5人。</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ascii="仿宋_GB2312" w:hAnsi="仿宋_GB2312" w:eastAsia="仿宋" w:cs="仿宋_GB2312"/>
                <w:bCs/>
                <w:sz w:val="28"/>
                <w:szCs w:val="28"/>
              </w:rPr>
            </w:pPr>
            <w:r>
              <w:rPr>
                <w:rFonts w:hint="eastAsia" w:ascii="仿宋" w:hAnsi="仿宋" w:eastAsia="仿宋" w:cs="仿宋"/>
                <w:sz w:val="32"/>
                <w:szCs w:val="32"/>
              </w:rPr>
              <w:t xml:space="preserve"> 2021年，县财政下达我单位预算总收入75.00万元，其中：一般公共预算财政拨款收入75.00万元；预算总支出75.00万元；年末无结余，预算收支平衡。预算拨款总额比2020年增加3.00万元，主要原因为人员经费的增加。其中工资福利支出58.14万元，一般商品和服务支出16.86万元，资金主要用于：人员经费和机关的公用经费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：2021年预算总收入75.00万元。其中：经费拨款75.00万元。预算总支出75.00万元。预算收支平衡。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：2021年预算总支出75.00万元。其中：工资福利支出58.14万元，一般商品和服务支出16.86万元。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：2021年华容县北景港镇财政所“三公经费”实际开支0.32万元。其中公务接待费0.32万元。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华容县北景港镇财政所资产管理采取统一建账，统一核算管理，对每件固定资产使用明确保管职责，闲置的资产，由办公室统一调整，合理流动，发挥其效益；至2021年12月有固定资产37.31万元，全部在用，保证了资产的安全高效，防止资产流失。</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pStyle w:val="2"/>
              <w:rPr>
                <w:rFonts w:ascii="仿宋" w:hAnsi="仿宋" w:eastAsia="仿宋" w:cs="仿宋"/>
                <w:sz w:val="32"/>
                <w:szCs w:val="32"/>
              </w:rPr>
            </w:pPr>
            <w:r>
              <w:rPr>
                <w:rFonts w:hint="eastAsia" w:ascii="仿宋_GB2312" w:hAnsi="仿宋_GB2312" w:eastAsia="仿宋_GB2312" w:cs="仿宋_GB2312"/>
                <w:bCs/>
                <w:sz w:val="28"/>
                <w:szCs w:val="28"/>
              </w:rPr>
              <w:t xml:space="preserve">    </w:t>
            </w:r>
            <w:r>
              <w:rPr>
                <w:rFonts w:hint="eastAsia" w:ascii="仿宋" w:hAnsi="仿宋" w:eastAsia="仿宋" w:cs="仿宋"/>
                <w:sz w:val="32"/>
                <w:szCs w:val="32"/>
              </w:rPr>
              <w:t>华容县北景港镇财政所无项目支出。</w:t>
            </w:r>
          </w:p>
          <w:p>
            <w:pPr>
              <w:spacing w:line="560" w:lineRule="exact"/>
              <w:ind w:firstLine="560" w:firstLineChars="200"/>
              <w:rPr>
                <w:rFonts w:ascii="仿宋" w:hAnsi="仿宋" w:eastAsia="仿宋" w:cs="黑体"/>
                <w:b/>
                <w:bCs/>
                <w:sz w:val="32"/>
                <w:szCs w:val="32"/>
              </w:rPr>
            </w:pPr>
            <w:r>
              <w:rPr>
                <w:rFonts w:hint="eastAsia" w:ascii="黑体" w:hAnsi="黑体" w:eastAsia="黑体" w:cs="黑体"/>
                <w:bCs/>
                <w:sz w:val="28"/>
                <w:szCs w:val="28"/>
              </w:rPr>
              <w:t xml:space="preserve"> 三、</w:t>
            </w:r>
            <w:r>
              <w:rPr>
                <w:rFonts w:hint="eastAsia" w:ascii="仿宋" w:hAnsi="仿宋" w:eastAsia="仿宋" w:cs="黑体"/>
                <w:b/>
                <w:bCs/>
                <w:sz w:val="32"/>
                <w:szCs w:val="32"/>
              </w:rPr>
              <w:t>部门专项组织实施情况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（一）专项组织情况分析，主要包括项目招投标、调整、竣工验收等情况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6"/>
              <w:widowControl/>
              <w:shd w:val="clear" w:color="auto" w:fill="FFFFFF"/>
              <w:spacing w:beforeAutospacing="0" w:afterAutospacing="0" w:line="510" w:lineRule="atLeast"/>
              <w:ind w:firstLine="420"/>
              <w:jc w:val="both"/>
              <w:rPr>
                <w:rFonts w:ascii="仿宋" w:hAnsi="仿宋" w:eastAsia="仿宋" w:cs="仿宋"/>
                <w:b/>
                <w:bCs/>
                <w:kern w:val="2"/>
                <w:sz w:val="32"/>
                <w:szCs w:val="32"/>
              </w:rPr>
            </w:pPr>
            <w:r>
              <w:rPr>
                <w:rFonts w:hint="eastAsia" w:ascii="楷体" w:hAnsi="楷体" w:eastAsia="楷体" w:cs="仿宋"/>
                <w:b/>
                <w:bCs/>
                <w:kern w:val="2"/>
                <w:sz w:val="32"/>
                <w:szCs w:val="32"/>
              </w:rPr>
              <w:t>（二）</w:t>
            </w:r>
            <w:r>
              <w:rPr>
                <w:rFonts w:hint="eastAsia" w:ascii="仿宋" w:hAnsi="仿宋" w:eastAsia="仿宋" w:cs="仿宋"/>
                <w:b/>
                <w:bCs/>
                <w:kern w:val="2"/>
                <w:sz w:val="32"/>
                <w:szCs w:val="32"/>
              </w:rPr>
              <w:t>专项管理情况分析，主要包括项目管理制度建设、日常检查监督管理等情况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部门整体支出绩效情况</w:t>
            </w:r>
          </w:p>
          <w:p>
            <w:pPr>
              <w:ind w:firstLine="643" w:firstLineChars="200"/>
              <w:rPr>
                <w:rFonts w:ascii="仿宋" w:hAnsi="仿宋" w:eastAsia="仿宋"/>
                <w:b/>
                <w:sz w:val="32"/>
                <w:szCs w:val="32"/>
              </w:rPr>
            </w:pPr>
            <w:r>
              <w:rPr>
                <w:rFonts w:hint="eastAsia" w:ascii="仿宋" w:hAnsi="仿宋" w:eastAsia="仿宋"/>
                <w:b/>
                <w:sz w:val="32"/>
                <w:szCs w:val="32"/>
              </w:rPr>
              <w:t>一、</w:t>
            </w:r>
            <w:r>
              <w:rPr>
                <w:rFonts w:hint="eastAsia" w:ascii="仿宋" w:hAnsi="仿宋" w:eastAsia="仿宋"/>
                <w:b/>
                <w:spacing w:val="-6"/>
                <w:sz w:val="32"/>
                <w:szCs w:val="32"/>
              </w:rPr>
              <w:t>严格按新《预算法》推进预算管理，规范财务核算</w:t>
            </w:r>
          </w:p>
          <w:p>
            <w:pPr>
              <w:ind w:firstLine="640" w:firstLineChars="200"/>
              <w:rPr>
                <w:rFonts w:ascii="仿宋" w:hAnsi="仿宋" w:eastAsia="仿宋"/>
                <w:sz w:val="32"/>
                <w:szCs w:val="32"/>
              </w:rPr>
            </w:pPr>
            <w:r>
              <w:rPr>
                <w:rFonts w:hint="eastAsia" w:ascii="仿宋" w:hAnsi="仿宋" w:eastAsia="仿宋"/>
                <w:sz w:val="32"/>
                <w:szCs w:val="32"/>
              </w:rPr>
              <w:t>今年，我们按照党的十九届四中全会提出的“六稳”“六保”要求和新《预算法》，实施“零基预算”，深入细致的调查研究，以保工资、保运转、保民生为重点安排预算支出，贯彻“两上两下”预算编审程序，量入为出，细化数据，编制并下达到机关和部门单位。在预算执行过程中，强化预算刚性，确保财政资金向民生、村（社区）运转、农村公益事业、脱贫攻坚等方面倾斜。同时，我们加强对机关及部门、村（社区）财务规范管理，严控“三公经费”等非生产性支出，并按公开公示要求，每月在政府门户网站、财务公示栏公开，接受群众监督。</w:t>
            </w:r>
          </w:p>
          <w:p>
            <w:pPr>
              <w:ind w:firstLine="643" w:firstLineChars="200"/>
              <w:rPr>
                <w:rFonts w:ascii="仿宋" w:hAnsi="仿宋" w:eastAsia="仿宋"/>
                <w:b/>
                <w:sz w:val="32"/>
                <w:szCs w:val="32"/>
              </w:rPr>
            </w:pPr>
            <w:r>
              <w:rPr>
                <w:rFonts w:hint="eastAsia" w:ascii="仿宋" w:hAnsi="仿宋" w:eastAsia="仿宋"/>
                <w:b/>
                <w:sz w:val="32"/>
                <w:szCs w:val="32"/>
              </w:rPr>
              <w:t>二、加强财政资金监管，提高财政资金使用效益</w:t>
            </w:r>
          </w:p>
          <w:p>
            <w:pPr>
              <w:ind w:firstLine="640" w:firstLineChars="200"/>
              <w:rPr>
                <w:rFonts w:ascii="仿宋" w:hAnsi="仿宋" w:eastAsia="仿宋"/>
                <w:sz w:val="32"/>
                <w:szCs w:val="32"/>
              </w:rPr>
            </w:pPr>
            <w:r>
              <w:rPr>
                <w:rFonts w:hint="eastAsia" w:ascii="仿宋" w:hAnsi="仿宋" w:eastAsia="仿宋"/>
                <w:sz w:val="32"/>
                <w:szCs w:val="32"/>
              </w:rPr>
              <w:t>为保证财政资金使用安全高效，我们认真学习项目资金管理政策并宣传政策，全程参与资金监管，让每一分财政专项资金都用在刀刃上。严格执行《湖南省乡镇财政资金监管办法》，全面对基本支出、补助支出、项目支出进行监督，贯彻落实公开公示制度、抽查巡查制度、信息通达制度，对每一笔专项资金实行全方位监管；同时，明确了各资金使用单位监管职责和信息员岗位责任，做到了“事前、事中、事后”全过程监管，登记分类专项资金台账，做到了财政资金监管“四到位”即公开公示到位、实施效果到位、报账规范到位、资料组卷到位。</w:t>
            </w:r>
          </w:p>
          <w:p>
            <w:pPr>
              <w:ind w:firstLine="643" w:firstLineChars="200"/>
              <w:rPr>
                <w:rFonts w:ascii="仿宋" w:hAnsi="仿宋" w:eastAsia="仿宋"/>
                <w:b/>
                <w:sz w:val="32"/>
                <w:szCs w:val="32"/>
              </w:rPr>
            </w:pPr>
            <w:r>
              <w:rPr>
                <w:rFonts w:hint="eastAsia" w:ascii="仿宋" w:hAnsi="仿宋" w:eastAsia="仿宋"/>
                <w:b/>
                <w:sz w:val="32"/>
                <w:szCs w:val="32"/>
              </w:rPr>
              <w:t>三、扎实认真做好惠农补贴发放</w:t>
            </w:r>
          </w:p>
          <w:p>
            <w:pPr>
              <w:ind w:firstLine="640" w:firstLineChars="200"/>
              <w:rPr>
                <w:rFonts w:ascii="仿宋" w:hAnsi="仿宋" w:eastAsia="仿宋"/>
                <w:sz w:val="32"/>
                <w:szCs w:val="32"/>
              </w:rPr>
            </w:pPr>
            <w:r>
              <w:rPr>
                <w:rFonts w:hint="eastAsia" w:ascii="仿宋" w:hAnsi="仿宋" w:eastAsia="仿宋"/>
                <w:sz w:val="32"/>
                <w:szCs w:val="32"/>
              </w:rPr>
              <w:t>做好惠农补贴发放工作，是落实党的“三农”政策基本要求，是我们财政人为民服务的目标。北景港镇有耕地5万多亩，涉及补贴农户近万户。2021年，我们发放各类补贴81项，累计4.22万（人、户、次），金额总计2214.47万元。按“群众满意、领导满意、自己满意” 要求，进一步加强了与各村（社区）和各部门联系、沟通，拓宽了为民服务的通道，在惠农政策宣传、基础数据采集及大户筛选核查、公开公示、录入上报，接待来访等方面，做好了耕地地力保护补贴、民政救助资金等方面的惠农补贴发放工作，纸质与影像资料规范齐全，信息数据准确。确保各项惠农补贴资金通过“一卡通”发放及时、安全、高效。</w:t>
            </w:r>
          </w:p>
          <w:p>
            <w:pPr>
              <w:ind w:firstLine="643" w:firstLineChars="200"/>
              <w:rPr>
                <w:rFonts w:ascii="仿宋" w:hAnsi="仿宋" w:eastAsia="仿宋"/>
                <w:b/>
                <w:sz w:val="32"/>
                <w:szCs w:val="32"/>
              </w:rPr>
            </w:pPr>
            <w:r>
              <w:rPr>
                <w:rFonts w:hint="eastAsia" w:ascii="仿宋" w:hAnsi="仿宋" w:eastAsia="仿宋"/>
                <w:b/>
                <w:sz w:val="32"/>
                <w:szCs w:val="32"/>
              </w:rPr>
              <w:t>四、规范村账乡代理工作</w:t>
            </w:r>
          </w:p>
          <w:p>
            <w:pPr>
              <w:ind w:firstLine="640" w:firstLineChars="200"/>
              <w:rPr>
                <w:rFonts w:ascii="仿宋" w:hAnsi="仿宋" w:eastAsia="仿宋"/>
                <w:sz w:val="32"/>
                <w:szCs w:val="32"/>
              </w:rPr>
            </w:pPr>
            <w:r>
              <w:rPr>
                <w:rFonts w:hint="eastAsia" w:ascii="仿宋" w:hAnsi="仿宋" w:eastAsia="仿宋"/>
                <w:sz w:val="32"/>
                <w:szCs w:val="32"/>
              </w:rPr>
              <w:t>北景港镇共有11个村，1个社区，我们坚持依法依规、民主自愿、四不变、五统一原则，切实加强村账乡代理，每年与各村场签订委托代理协议，明确双方的权利与义务，同时，按“互联网+监督”要求，上传原始凭证，做好每季度财务报表公开公示工作，并留存影像资料。在核算方面，我们从收支管理、票证、民主理财、债权债务、现金和集体资产、监督等着手，规范了报账流程，强化对原始凭证审核、财务公示，确保会计核算准确和公示到位，确保了12个村（社区）所有原始票据规范、报送及时。</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 xml:space="preserve"> 1、预算编制工作有待细化。预算编制不够明确和细化，预算编制的合理性需要提高，预算执行力度还要进一步加强。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2、公用经费控制有一定难度，基本为刚性支出。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针对上述存在的问题及对外整体支出管理工作的需要，拟实施的改进措施如下：</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cs="仿宋"/>
                <w:color w:val="000000"/>
                <w:kern w:val="2"/>
                <w:sz w:val="32"/>
                <w:szCs w:val="32"/>
                <w:shd w:val="clear" w:color="auto" w:fill="FFFFFF"/>
              </w:rPr>
              <w:t>1、</w:t>
            </w:r>
            <w:r>
              <w:rPr>
                <w:rFonts w:hint="eastAsia" w:ascii="仿宋" w:hAnsi="仿宋" w:eastAsia="仿宋"/>
                <w:kern w:val="2"/>
                <w:sz w:val="32"/>
                <w:szCs w:val="32"/>
              </w:rPr>
              <w:t>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Lines="50" w:line="760" w:lineRule="exact"/>
        <w:ind w:firstLine="420" w:firstLineChars="150"/>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12</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632953B"/>
    <w:multiLevelType w:val="singleLevel"/>
    <w:tmpl w:val="4632953B"/>
    <w:lvl w:ilvl="0" w:tentative="0">
      <w:start w:val="4"/>
      <w:numFmt w:val="chineseCounting"/>
      <w:suff w:val="nothing"/>
      <w:lvlText w:val="%1、"/>
      <w:lvlJc w:val="left"/>
      <w:rPr>
        <w:rFonts w:hint="eastAsia"/>
      </w:rPr>
    </w:lvl>
  </w:abstractNum>
  <w:abstractNum w:abstractNumId="2">
    <w:nsid w:val="7BAD934E"/>
    <w:multiLevelType w:val="singleLevel"/>
    <w:tmpl w:val="7BAD934E"/>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A1DE8"/>
    <w:rsid w:val="000C63E3"/>
    <w:rsid w:val="000D58E8"/>
    <w:rsid w:val="003B4333"/>
    <w:rsid w:val="003F1FA8"/>
    <w:rsid w:val="004D3D14"/>
    <w:rsid w:val="00570070"/>
    <w:rsid w:val="007B2063"/>
    <w:rsid w:val="008016BA"/>
    <w:rsid w:val="009252E1"/>
    <w:rsid w:val="00986FF1"/>
    <w:rsid w:val="00A628D9"/>
    <w:rsid w:val="00B54394"/>
    <w:rsid w:val="00C64E0B"/>
    <w:rsid w:val="083749E7"/>
    <w:rsid w:val="0CB679B8"/>
    <w:rsid w:val="0D7534D7"/>
    <w:rsid w:val="0DE528CD"/>
    <w:rsid w:val="10054735"/>
    <w:rsid w:val="1336279F"/>
    <w:rsid w:val="18725427"/>
    <w:rsid w:val="19235F91"/>
    <w:rsid w:val="1A294AF4"/>
    <w:rsid w:val="254E2FC7"/>
    <w:rsid w:val="25B607B7"/>
    <w:rsid w:val="263C173A"/>
    <w:rsid w:val="289D055E"/>
    <w:rsid w:val="2A62674D"/>
    <w:rsid w:val="2A770606"/>
    <w:rsid w:val="2BE53992"/>
    <w:rsid w:val="2C9F197B"/>
    <w:rsid w:val="2CA33441"/>
    <w:rsid w:val="2CE55C20"/>
    <w:rsid w:val="2F287302"/>
    <w:rsid w:val="30426D13"/>
    <w:rsid w:val="34A86256"/>
    <w:rsid w:val="3A43255A"/>
    <w:rsid w:val="3D6201A1"/>
    <w:rsid w:val="3EC46785"/>
    <w:rsid w:val="3F8A6044"/>
    <w:rsid w:val="40425B94"/>
    <w:rsid w:val="42C208CA"/>
    <w:rsid w:val="43A702D9"/>
    <w:rsid w:val="440E02F9"/>
    <w:rsid w:val="44592EA4"/>
    <w:rsid w:val="447C2952"/>
    <w:rsid w:val="477245B4"/>
    <w:rsid w:val="49617FA5"/>
    <w:rsid w:val="4BAD6FBB"/>
    <w:rsid w:val="4D171D42"/>
    <w:rsid w:val="4E4F0BB0"/>
    <w:rsid w:val="53473E3E"/>
    <w:rsid w:val="551D2488"/>
    <w:rsid w:val="59901014"/>
    <w:rsid w:val="5B10249C"/>
    <w:rsid w:val="5BE95901"/>
    <w:rsid w:val="5E031417"/>
    <w:rsid w:val="5F662405"/>
    <w:rsid w:val="64A3472B"/>
    <w:rsid w:val="6A0A15CD"/>
    <w:rsid w:val="6A553A9E"/>
    <w:rsid w:val="6A702E61"/>
    <w:rsid w:val="6D452F22"/>
    <w:rsid w:val="6DC85BA0"/>
    <w:rsid w:val="6DF352BD"/>
    <w:rsid w:val="70551034"/>
    <w:rsid w:val="705E3E6D"/>
    <w:rsid w:val="71C1048A"/>
    <w:rsid w:val="7396188C"/>
    <w:rsid w:val="739F5544"/>
    <w:rsid w:val="73A6715E"/>
    <w:rsid w:val="73F35F5B"/>
    <w:rsid w:val="75EB6DA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5580</Words>
  <Characters>5895</Characters>
  <Lines>50</Lines>
  <Paragraphs>14</Paragraphs>
  <TotalTime>0</TotalTime>
  <ScaleCrop>false</ScaleCrop>
  <LinksUpToDate>false</LinksUpToDate>
  <CharactersWithSpaces>6429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2022-11-04T01:48:34Z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