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华容县老干部活动中心</w:t>
      </w:r>
      <w:r>
        <w:rPr>
          <w:rFonts w:hint="eastAsia" w:eastAsia="仿宋_GB2312"/>
          <w:sz w:val="32"/>
          <w:szCs w:val="32"/>
          <w:u w:val="single"/>
        </w:rPr>
        <w:t xml:space="preserve">            </w:t>
      </w:r>
    </w:p>
    <w:p>
      <w:pPr>
        <w:spacing w:before="301" w:beforeLines="50" w:line="348" w:lineRule="auto"/>
        <w:ind w:firstLine="476" w:firstLineChars="150"/>
        <w:rPr>
          <w:rFonts w:hint="default" w:eastAsia="仿宋_GB2312"/>
          <w:spacing w:val="20"/>
          <w:sz w:val="32"/>
          <w:szCs w:val="32"/>
          <w:lang w:val="en-US" w:eastAsia="zh-CN"/>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119001</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5</w:t>
      </w:r>
      <w:r>
        <w:rPr>
          <w:rFonts w:hint="eastAsia" w:eastAsia="仿宋_GB2312"/>
          <w:sz w:val="32"/>
        </w:rPr>
        <w:t>月</w:t>
      </w:r>
      <w:r>
        <w:rPr>
          <w:rFonts w:hint="eastAsia" w:eastAsia="仿宋_GB2312"/>
          <w:sz w:val="32"/>
          <w:lang w:val="en-US" w:eastAsia="zh-CN"/>
        </w:rPr>
        <w:t>31</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484"/>
        <w:gridCol w:w="2029"/>
        <w:gridCol w:w="196"/>
        <w:gridCol w:w="259"/>
        <w:gridCol w:w="248"/>
        <w:gridCol w:w="832"/>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237"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付欣</w:t>
            </w:r>
          </w:p>
        </w:tc>
        <w:tc>
          <w:tcPr>
            <w:tcW w:w="27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177" w:type="dxa"/>
            <w:gridSpan w:val="5"/>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18073035580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237"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w:t>
            </w:r>
          </w:p>
        </w:tc>
        <w:tc>
          <w:tcPr>
            <w:tcW w:w="27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177" w:type="dxa"/>
            <w:gridSpan w:val="5"/>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ind w:firstLine="480" w:firstLineChars="200"/>
              <w:jc w:val="left"/>
              <w:textAlignment w:val="center"/>
              <w:rPr>
                <w:rFonts w:ascii="仿宋" w:hAnsi="仿宋" w:eastAsia="仿宋" w:cs="仿宋_GB2312"/>
                <w:color w:val="000000"/>
                <w:sz w:val="24"/>
              </w:rPr>
            </w:pPr>
            <w:r>
              <w:rPr>
                <w:rFonts w:hint="eastAsia" w:ascii="仿宋_GB2312" w:hAnsi="仿宋_GB2312" w:eastAsia="仿宋_GB2312" w:cs="仿宋_GB2312"/>
                <w:color w:val="000000"/>
                <w:sz w:val="24"/>
                <w:lang w:val="en-US" w:eastAsia="zh-CN"/>
              </w:rPr>
              <w:t xml:space="preserve"> </w:t>
            </w:r>
            <w:r>
              <w:rPr>
                <w:rFonts w:hint="eastAsia" w:ascii="仿宋" w:hAnsi="仿宋" w:eastAsia="仿宋" w:cs="仿宋_GB2312"/>
                <w:color w:val="000000"/>
                <w:sz w:val="24"/>
              </w:rPr>
              <w:t>宣传贯彻执行党和政府关于老干部工作的方针、政策和法规，落实老干部待遇，为县委、县政府制定相关政策规定提供情况和依据。</w:t>
            </w:r>
          </w:p>
          <w:p>
            <w:pPr>
              <w:autoSpaceDN w:val="0"/>
              <w:spacing w:line="320" w:lineRule="exact"/>
              <w:ind w:firstLine="480" w:firstLineChars="200"/>
              <w:jc w:val="left"/>
              <w:textAlignment w:val="center"/>
              <w:rPr>
                <w:rFonts w:ascii="仿宋" w:hAnsi="仿宋" w:eastAsia="仿宋" w:cs="仿宋_GB2312"/>
                <w:color w:val="000000"/>
                <w:sz w:val="24"/>
              </w:rPr>
            </w:pPr>
            <w:r>
              <w:rPr>
                <w:rFonts w:hint="eastAsia" w:ascii="仿宋" w:hAnsi="仿宋" w:eastAsia="仿宋" w:cs="仿宋_GB2312"/>
                <w:color w:val="000000"/>
                <w:sz w:val="24"/>
              </w:rPr>
              <w:t>建设、运行、维护、管理老干部活动场所，打造安全舒适的老干部活动之家。</w:t>
            </w:r>
          </w:p>
          <w:p>
            <w:pPr>
              <w:autoSpaceDN w:val="0"/>
              <w:spacing w:line="320" w:lineRule="exact"/>
              <w:ind w:firstLine="480" w:firstLineChars="200"/>
              <w:jc w:val="left"/>
              <w:textAlignment w:val="center"/>
              <w:rPr>
                <w:rFonts w:ascii="仿宋" w:hAnsi="仿宋" w:eastAsia="仿宋" w:cs="仿宋_GB2312"/>
                <w:color w:val="000000"/>
                <w:sz w:val="24"/>
              </w:rPr>
            </w:pPr>
            <w:r>
              <w:rPr>
                <w:rFonts w:hint="eastAsia" w:ascii="仿宋" w:hAnsi="仿宋" w:eastAsia="仿宋" w:cs="仿宋_GB2312"/>
                <w:color w:val="000000"/>
                <w:sz w:val="24"/>
              </w:rPr>
              <w:t>服务全县老年群团组织开展活动，做好老干部的接待工作和信访工作。</w:t>
            </w:r>
          </w:p>
          <w:p>
            <w:pPr>
              <w:autoSpaceDN w:val="0"/>
              <w:spacing w:line="320" w:lineRule="exact"/>
              <w:ind w:firstLine="480" w:firstLineChars="200"/>
              <w:jc w:val="left"/>
              <w:textAlignment w:val="center"/>
              <w:rPr>
                <w:rFonts w:ascii="仿宋" w:hAnsi="仿宋" w:eastAsia="仿宋" w:cs="仿宋_GB2312"/>
                <w:color w:val="000000"/>
                <w:sz w:val="24"/>
              </w:rPr>
            </w:pPr>
            <w:r>
              <w:rPr>
                <w:rFonts w:hint="eastAsia" w:ascii="仿宋" w:hAnsi="仿宋" w:eastAsia="仿宋" w:cs="仿宋_GB2312"/>
                <w:color w:val="000000"/>
                <w:sz w:val="24"/>
              </w:rPr>
              <w:t>协助离退休干部工作委员会开展老干部思想政治建设和党建工作。</w:t>
            </w:r>
          </w:p>
          <w:p>
            <w:pPr>
              <w:autoSpaceDN w:val="0"/>
              <w:spacing w:line="320" w:lineRule="exact"/>
              <w:ind w:firstLine="480" w:firstLineChars="200"/>
              <w:jc w:val="left"/>
              <w:textAlignment w:val="center"/>
              <w:rPr>
                <w:rFonts w:hint="eastAsia" w:ascii="仿宋" w:hAnsi="仿宋" w:eastAsia="仿宋" w:cs="仿宋_GB2312"/>
                <w:color w:val="000000"/>
                <w:sz w:val="24"/>
              </w:rPr>
            </w:pPr>
            <w:r>
              <w:rPr>
                <w:rFonts w:hint="eastAsia" w:ascii="仿宋" w:hAnsi="仿宋" w:eastAsia="仿宋" w:cs="仿宋_GB2312"/>
                <w:color w:val="000000"/>
                <w:sz w:val="24"/>
              </w:rPr>
              <w:t>负责国有资产的管理与监督、安全生产和应急管理工作，发展老干部事业。</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 w:hAnsi="仿宋" w:eastAsia="仿宋" w:cs="仿宋_GB2312"/>
                <w:color w:val="000000"/>
                <w:sz w:val="24"/>
                <w:lang w:eastAsia="zh-CN"/>
              </w:rPr>
              <w:t>承办县委、县政府和县组织部交办的其他事项。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eastAsia="zh-CN"/>
              </w:rPr>
              <w:t>离休干部待遇保障贴心入微，经济待遇及时，政治待遇畅通；</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eastAsia="zh-CN"/>
              </w:rPr>
              <w:t>党史教育扎实有新意；</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任务3</w:t>
            </w:r>
            <w:r>
              <w:rPr>
                <w:rFonts w:hint="eastAsia" w:ascii="仿宋_GB2312" w:hAnsi="仿宋_GB2312" w:eastAsia="仿宋_GB2312" w:cs="仿宋_GB2312"/>
                <w:color w:val="000000"/>
                <w:sz w:val="24"/>
                <w:lang w:eastAsia="zh-CN"/>
              </w:rPr>
              <w:t>：积极开展落实“活动组织年”计划</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4：打造“美在金秋”品牌建设</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任务5：</w:t>
            </w:r>
            <w:r>
              <w:rPr>
                <w:rFonts w:hint="eastAsia" w:ascii="仿宋_GB2312" w:hAnsi="仿宋_GB2312" w:eastAsia="仿宋_GB2312" w:cs="仿宋_GB2312"/>
                <w:color w:val="000000"/>
                <w:sz w:val="24"/>
              </w:rPr>
              <w:t>优化</w:t>
            </w:r>
            <w:r>
              <w:rPr>
                <w:rFonts w:hint="eastAsia" w:ascii="仿宋_GB2312" w:hAnsi="仿宋_GB2312" w:eastAsia="仿宋_GB2312" w:cs="仿宋_GB2312"/>
                <w:color w:val="000000"/>
                <w:sz w:val="24"/>
                <w:lang w:eastAsia="zh-CN"/>
              </w:rPr>
              <w:t>规范</w:t>
            </w:r>
            <w:r>
              <w:rPr>
                <w:rFonts w:hint="eastAsia" w:ascii="仿宋_GB2312" w:hAnsi="仿宋_GB2312" w:eastAsia="仿宋_GB2312" w:cs="仿宋_GB2312"/>
                <w:color w:val="000000"/>
                <w:sz w:val="24"/>
              </w:rPr>
              <w:t>机关党建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top"/>
          </w:tcPr>
          <w:p>
            <w:pPr>
              <w:numPr>
                <w:ilvl w:val="0"/>
                <w:numId w:val="1"/>
              </w:numPr>
              <w:autoSpaceDN w:val="0"/>
              <w:spacing w:line="320" w:lineRule="exact"/>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离休干部各类生活待遇经费、医疗费报销、抚恤费办理、按照省市文件调标增发资金等，全部按时发放到位；</w:t>
            </w:r>
            <w:r>
              <w:rPr>
                <w:rFonts w:hint="eastAsia" w:ascii="仿宋_GB2312" w:hAnsi="仿宋_GB2312" w:eastAsia="仿宋_GB2312" w:cs="仿宋_GB2312"/>
                <w:color w:val="000000"/>
                <w:sz w:val="24"/>
              </w:rPr>
              <w:t>老干部政治学习、阅读文件、通报情况、参加重要会议和重大活动实现常态化。</w:t>
            </w:r>
          </w:p>
          <w:p>
            <w:pPr>
              <w:numPr>
                <w:ilvl w:val="0"/>
                <w:numId w:val="1"/>
              </w:numPr>
              <w:autoSpaceDN w:val="0"/>
              <w:spacing w:line="320" w:lineRule="exact"/>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组织全体干部职工认真开展了“送学上门”、“我为群众办实事”、红色家书诵读等活动，拍摄制作了《南下干部在华容》宣传片，点击率超过5000人次。</w:t>
            </w:r>
          </w:p>
          <w:p>
            <w:pPr>
              <w:numPr>
                <w:ilvl w:val="0"/>
                <w:numId w:val="1"/>
              </w:numPr>
              <w:autoSpaceDN w:val="0"/>
              <w:spacing w:line="320" w:lineRule="exact"/>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高水平完成年初确定的十项活动任务</w:t>
            </w:r>
            <w:r>
              <w:rPr>
                <w:rFonts w:hint="eastAsia" w:ascii="仿宋_GB2312" w:hAnsi="仿宋_GB2312" w:eastAsia="仿宋_GB2312" w:cs="仿宋_GB2312"/>
                <w:color w:val="000000"/>
                <w:sz w:val="24"/>
                <w:lang w:eastAsia="zh-CN"/>
              </w:rPr>
              <w:t>，协会活动标准高。</w:t>
            </w:r>
          </w:p>
          <w:p>
            <w:pPr>
              <w:numPr>
                <w:ilvl w:val="0"/>
                <w:numId w:val="1"/>
              </w:numPr>
              <w:autoSpaceDN w:val="0"/>
              <w:spacing w:line="320" w:lineRule="exact"/>
              <w:jc w:val="both"/>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美在金秋”老党员之家</w:t>
            </w:r>
            <w:r>
              <w:rPr>
                <w:rFonts w:hint="eastAsia" w:ascii="仿宋_GB2312" w:hAnsi="仿宋_GB2312" w:eastAsia="仿宋_GB2312" w:cs="仿宋_GB2312"/>
                <w:color w:val="000000"/>
                <w:sz w:val="24"/>
                <w:lang w:eastAsia="zh-CN"/>
              </w:rPr>
              <w:t>打造精品，</w:t>
            </w:r>
            <w:r>
              <w:rPr>
                <w:rFonts w:hint="eastAsia" w:ascii="仿宋_GB2312" w:hAnsi="仿宋_GB2312" w:eastAsia="仿宋_GB2312" w:cs="仿宋_GB2312"/>
                <w:color w:val="000000"/>
                <w:sz w:val="24"/>
              </w:rPr>
              <w:t>得到了蔡力峰、陈奇达等省市老领导和市委组织部、老干部局领导的充分肯定</w:t>
            </w:r>
            <w:r>
              <w:rPr>
                <w:rFonts w:hint="eastAsia" w:ascii="仿宋_GB2312" w:hAnsi="仿宋_GB2312" w:eastAsia="仿宋_GB2312" w:cs="仿宋_GB2312"/>
                <w:color w:val="000000"/>
                <w:sz w:val="24"/>
                <w:lang w:eastAsia="zh-CN"/>
              </w:rPr>
              <w:t>；老年大学新时代文明实践志愿服务队成为华容精神文明建设中的“一张名牌”；节约型机关创建和垃圾分类工作顺利通过市里验收。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75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202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521.5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5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521.5</w:t>
            </w:r>
          </w:p>
        </w:tc>
        <w:tc>
          <w:tcPr>
            <w:tcW w:w="202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w:t>
            </w:r>
          </w:p>
        </w:tc>
        <w:tc>
          <w:tcPr>
            <w:tcW w:w="180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521.5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56"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513.6</w:t>
            </w:r>
          </w:p>
        </w:tc>
        <w:tc>
          <w:tcPr>
            <w:tcW w:w="202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w:t>
            </w:r>
          </w:p>
        </w:tc>
        <w:tc>
          <w:tcPr>
            <w:tcW w:w="180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5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02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0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5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02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0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5"/>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gridSpan w:val="2"/>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5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48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521.5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521.5</w:t>
            </w:r>
          </w:p>
        </w:tc>
        <w:tc>
          <w:tcPr>
            <w:tcW w:w="756"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445.21</w:t>
            </w:r>
          </w:p>
        </w:tc>
        <w:tc>
          <w:tcPr>
            <w:tcW w:w="2484"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76.3</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521.5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521.5</w:t>
            </w:r>
          </w:p>
        </w:tc>
        <w:tc>
          <w:tcPr>
            <w:tcW w:w="756"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445.21</w:t>
            </w:r>
          </w:p>
        </w:tc>
        <w:tc>
          <w:tcPr>
            <w:tcW w:w="248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76.3</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5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8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5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8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75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48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0.18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0.18</w:t>
            </w:r>
          </w:p>
        </w:tc>
        <w:tc>
          <w:tcPr>
            <w:tcW w:w="75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8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0.18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0.18</w:t>
            </w:r>
          </w:p>
        </w:tc>
        <w:tc>
          <w:tcPr>
            <w:tcW w:w="75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8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5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8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5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84"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11"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968"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274.4</w:t>
            </w:r>
          </w:p>
        </w:tc>
        <w:tc>
          <w:tcPr>
            <w:tcW w:w="2111"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274.4</w:t>
            </w:r>
          </w:p>
        </w:tc>
        <w:tc>
          <w:tcPr>
            <w:tcW w:w="3968"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274.4</w:t>
            </w:r>
          </w:p>
        </w:tc>
        <w:tc>
          <w:tcPr>
            <w:tcW w:w="2111"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274.4</w:t>
            </w:r>
          </w:p>
        </w:tc>
        <w:tc>
          <w:tcPr>
            <w:tcW w:w="3968"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11"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968"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11"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968"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450"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909"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450"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离休干部经济待遇足额及时支付，政治活动组织参与不漏人不漏项；</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党史教育常规开展全面落实，探索创新教育形式与活动；</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eastAsia="zh-CN"/>
              </w:rPr>
              <w:t>积极开展落实“活动组织年”计划</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4:打造“美在金秋”品牌建设</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w:t>
            </w:r>
            <w:r>
              <w:rPr>
                <w:rFonts w:hint="eastAsia" w:ascii="仿宋_GB2312" w:hAnsi="仿宋_GB2312" w:eastAsia="仿宋_GB2312" w:cs="仿宋_GB2312"/>
                <w:color w:val="000000"/>
                <w:sz w:val="24"/>
                <w:lang w:val="en-US" w:eastAsia="zh-CN"/>
              </w:rPr>
              <w:t>标5：优化规范机关党建</w:t>
            </w:r>
          </w:p>
        </w:tc>
        <w:tc>
          <w:tcPr>
            <w:tcW w:w="4909" w:type="dxa"/>
            <w:gridSpan w:val="9"/>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政治待遇离休干部参与率</w:t>
            </w:r>
            <w:r>
              <w:rPr>
                <w:rFonts w:hint="eastAsia" w:ascii="仿宋_GB2312" w:hAnsi="仿宋_GB2312" w:eastAsia="仿宋_GB2312" w:cs="仿宋_GB2312"/>
                <w:color w:val="000000"/>
                <w:sz w:val="24"/>
                <w:lang w:val="en-US" w:eastAsia="zh-CN"/>
              </w:rPr>
              <w:t>&gt;90%</w:t>
            </w:r>
          </w:p>
        </w:tc>
        <w:tc>
          <w:tcPr>
            <w:tcW w:w="2684" w:type="dxa"/>
            <w:gridSpan w:val="7"/>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经济待遇保障率</w:t>
            </w:r>
            <w:r>
              <w:rPr>
                <w:rFonts w:hint="eastAsia" w:ascii="仿宋_GB2312" w:hAnsi="仿宋_GB2312" w:eastAsia="仿宋_GB2312" w:cs="仿宋_GB2312"/>
                <w:color w:val="000000"/>
                <w:sz w:val="24"/>
                <w:lang w:val="en-US" w:eastAsia="zh-CN"/>
              </w:rPr>
              <w:t>=100%</w:t>
            </w:r>
          </w:p>
        </w:tc>
        <w:tc>
          <w:tcPr>
            <w:tcW w:w="2684" w:type="dxa"/>
            <w:gridSpan w:val="7"/>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举办党史学教活动</w:t>
            </w:r>
            <w:r>
              <w:rPr>
                <w:rFonts w:hint="eastAsia" w:ascii="仿宋_GB2312" w:hAnsi="仿宋_GB2312" w:eastAsia="仿宋_GB2312" w:cs="仿宋_GB2312"/>
                <w:color w:val="000000"/>
                <w:sz w:val="24"/>
                <w:lang w:val="en-US" w:eastAsia="zh-CN"/>
              </w:rPr>
              <w:t>&gt;20次</w:t>
            </w:r>
          </w:p>
        </w:tc>
        <w:tc>
          <w:tcPr>
            <w:tcW w:w="2684" w:type="dxa"/>
            <w:gridSpan w:val="7"/>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举办大型老干部活动</w:t>
            </w:r>
            <w:r>
              <w:rPr>
                <w:rFonts w:hint="eastAsia" w:ascii="仿宋_GB2312" w:hAnsi="仿宋_GB2312" w:eastAsia="仿宋_GB2312" w:cs="仿宋_GB2312"/>
                <w:color w:val="000000"/>
                <w:sz w:val="24"/>
                <w:lang w:val="en-US" w:eastAsia="zh-CN"/>
              </w:rPr>
              <w:t>&gt;10次</w:t>
            </w:r>
          </w:p>
        </w:tc>
        <w:tc>
          <w:tcPr>
            <w:tcW w:w="2684" w:type="dxa"/>
            <w:gridSpan w:val="7"/>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eastAsia="zh-CN"/>
              </w:rPr>
              <w:t>：老年大学招收学员</w:t>
            </w:r>
            <w:r>
              <w:rPr>
                <w:rFonts w:hint="eastAsia" w:ascii="仿宋_GB2312" w:hAnsi="仿宋_GB2312" w:eastAsia="仿宋_GB2312" w:cs="仿宋_GB2312"/>
                <w:color w:val="000000"/>
                <w:sz w:val="24"/>
                <w:lang w:val="en-US" w:eastAsia="zh-CN"/>
              </w:rPr>
              <w:t>&gt;900人次</w:t>
            </w:r>
          </w:p>
        </w:tc>
        <w:tc>
          <w:tcPr>
            <w:tcW w:w="2684" w:type="dxa"/>
            <w:gridSpan w:val="7"/>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资金到位时效</w:t>
            </w:r>
          </w:p>
        </w:tc>
        <w:tc>
          <w:tcPr>
            <w:tcW w:w="2684" w:type="dxa"/>
            <w:gridSpan w:val="7"/>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&gt;90%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资金下达时效</w:t>
            </w:r>
          </w:p>
        </w:tc>
        <w:tc>
          <w:tcPr>
            <w:tcW w:w="2684" w:type="dxa"/>
            <w:gridSpan w:val="7"/>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资金到位3日内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人员保障经费</w:t>
            </w:r>
          </w:p>
        </w:tc>
        <w:tc>
          <w:tcPr>
            <w:tcW w:w="2684" w:type="dxa"/>
            <w:gridSpan w:val="7"/>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&gt;116万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离休干部待遇保障经费</w:t>
            </w:r>
          </w:p>
        </w:tc>
        <w:tc>
          <w:tcPr>
            <w:tcW w:w="2684" w:type="dxa"/>
            <w:gridSpan w:val="7"/>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&gt;200万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群团组织经费</w:t>
            </w:r>
          </w:p>
        </w:tc>
        <w:tc>
          <w:tcPr>
            <w:tcW w:w="2684" w:type="dxa"/>
            <w:gridSpan w:val="7"/>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&gt;100万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老年人志愿者参与人次</w:t>
            </w:r>
          </w:p>
        </w:tc>
        <w:tc>
          <w:tcPr>
            <w:tcW w:w="2684" w:type="dxa"/>
            <w:gridSpan w:val="7"/>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&gt;90人次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68"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老年大学、老年体协创收</w:t>
            </w:r>
          </w:p>
        </w:tc>
        <w:tc>
          <w:tcPr>
            <w:tcW w:w="2684" w:type="dxa"/>
            <w:gridSpan w:val="7"/>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&gt;15万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老干部满意度</w:t>
            </w:r>
          </w:p>
        </w:tc>
        <w:tc>
          <w:tcPr>
            <w:tcW w:w="2684" w:type="dxa"/>
            <w:gridSpan w:val="7"/>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&gt;90%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237"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27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177"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jc w:val="center"/>
              <w:rPr>
                <w:rFonts w:hint="eastAsia" w:ascii="仿宋_GB2312" w:hAnsi="仿宋_GB2312" w:eastAsia="仿宋_GB2312" w:cs="仿宋_GB2312"/>
                <w:color w:val="000000"/>
                <w:sz w:val="24"/>
              </w:rPr>
            </w:pPr>
            <w:r>
              <w:rPr>
                <w:rFonts w:hint="eastAsia" w:eastAsia="仿宋_GB2312"/>
                <w:sz w:val="24"/>
                <w:lang w:eastAsia="zh-CN"/>
              </w:rPr>
              <w:t>石来新</w:t>
            </w:r>
          </w:p>
        </w:tc>
        <w:tc>
          <w:tcPr>
            <w:tcW w:w="3237" w:type="dxa"/>
            <w:gridSpan w:val="6"/>
            <w:noWrap w:val="0"/>
            <w:vAlign w:val="center"/>
          </w:tcPr>
          <w:p>
            <w:pPr>
              <w:jc w:val="center"/>
              <w:rPr>
                <w:rFonts w:hint="eastAsia" w:ascii="仿宋_GB2312" w:hAnsi="仿宋_GB2312" w:eastAsia="仿宋_GB2312" w:cs="仿宋_GB2312"/>
                <w:color w:val="000000"/>
                <w:sz w:val="24"/>
              </w:rPr>
            </w:pPr>
            <w:r>
              <w:rPr>
                <w:rFonts w:hint="eastAsia" w:eastAsia="仿宋_GB2312"/>
                <w:sz w:val="24"/>
                <w:lang w:eastAsia="zh-CN"/>
              </w:rPr>
              <w:t>副主任</w:t>
            </w:r>
          </w:p>
        </w:tc>
        <w:tc>
          <w:tcPr>
            <w:tcW w:w="2732" w:type="dxa"/>
            <w:gridSpan w:val="4"/>
            <w:noWrap w:val="0"/>
            <w:vAlign w:val="center"/>
          </w:tcPr>
          <w:p>
            <w:pPr>
              <w:jc w:val="center"/>
              <w:rPr>
                <w:rFonts w:hint="eastAsia" w:ascii="仿宋_GB2312" w:hAnsi="仿宋_GB2312" w:eastAsia="仿宋_GB2312" w:cs="仿宋_GB2312"/>
                <w:color w:val="000000"/>
                <w:sz w:val="24"/>
              </w:rPr>
            </w:pPr>
            <w:r>
              <w:rPr>
                <w:rFonts w:hint="eastAsia" w:eastAsia="仿宋_GB2312"/>
                <w:sz w:val="24"/>
                <w:lang w:eastAsia="zh-CN"/>
              </w:rPr>
              <w:t>华容县老干部活动中心</w:t>
            </w:r>
          </w:p>
        </w:tc>
        <w:tc>
          <w:tcPr>
            <w:tcW w:w="2177" w:type="dxa"/>
            <w:gridSpan w:val="5"/>
            <w:noWrap w:val="0"/>
            <w:vAlign w:val="center"/>
          </w:tcPr>
          <w:p>
            <w:pPr>
              <w:jc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jc w:val="center"/>
              <w:rPr>
                <w:rFonts w:hint="eastAsia" w:ascii="仿宋_GB2312" w:hAnsi="仿宋_GB2312" w:eastAsia="仿宋_GB2312" w:cs="仿宋_GB2312"/>
                <w:color w:val="000000"/>
                <w:sz w:val="24"/>
              </w:rPr>
            </w:pPr>
            <w:r>
              <w:rPr>
                <w:rFonts w:hint="eastAsia" w:eastAsia="仿宋_GB2312"/>
                <w:sz w:val="24"/>
                <w:lang w:eastAsia="zh-CN"/>
              </w:rPr>
              <w:t>白祖付</w:t>
            </w:r>
          </w:p>
        </w:tc>
        <w:tc>
          <w:tcPr>
            <w:tcW w:w="3237" w:type="dxa"/>
            <w:gridSpan w:val="6"/>
            <w:noWrap w:val="0"/>
            <w:vAlign w:val="center"/>
          </w:tcPr>
          <w:p>
            <w:pPr>
              <w:jc w:val="center"/>
              <w:rPr>
                <w:rFonts w:hint="eastAsia" w:ascii="仿宋_GB2312" w:hAnsi="仿宋_GB2312" w:eastAsia="仿宋_GB2312" w:cs="仿宋_GB2312"/>
                <w:color w:val="000000"/>
                <w:sz w:val="24"/>
              </w:rPr>
            </w:pPr>
            <w:r>
              <w:rPr>
                <w:rFonts w:hint="eastAsia" w:eastAsia="仿宋_GB2312"/>
                <w:sz w:val="24"/>
                <w:lang w:eastAsia="zh-CN"/>
              </w:rPr>
              <w:t>办公室主任</w:t>
            </w:r>
          </w:p>
        </w:tc>
        <w:tc>
          <w:tcPr>
            <w:tcW w:w="2732" w:type="dxa"/>
            <w:gridSpan w:val="4"/>
            <w:noWrap w:val="0"/>
            <w:vAlign w:val="center"/>
          </w:tcPr>
          <w:p>
            <w:pPr>
              <w:jc w:val="center"/>
              <w:rPr>
                <w:rFonts w:hint="eastAsia" w:ascii="仿宋_GB2312" w:hAnsi="仿宋_GB2312" w:eastAsia="仿宋_GB2312" w:cs="仿宋_GB2312"/>
                <w:color w:val="000000"/>
                <w:sz w:val="24"/>
              </w:rPr>
            </w:pPr>
            <w:r>
              <w:rPr>
                <w:rFonts w:hint="eastAsia" w:eastAsia="仿宋_GB2312"/>
                <w:sz w:val="24"/>
                <w:lang w:eastAsia="zh-CN"/>
              </w:rPr>
              <w:t>华容县老干部活动中心</w:t>
            </w:r>
          </w:p>
        </w:tc>
        <w:tc>
          <w:tcPr>
            <w:tcW w:w="2177" w:type="dxa"/>
            <w:gridSpan w:val="5"/>
            <w:noWrap w:val="0"/>
            <w:vAlign w:val="center"/>
          </w:tcPr>
          <w:p>
            <w:pPr>
              <w:jc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jc w:val="center"/>
              <w:rPr>
                <w:rFonts w:hint="eastAsia" w:ascii="仿宋_GB2312" w:hAnsi="仿宋_GB2312" w:eastAsia="仿宋_GB2312" w:cs="仿宋_GB2312"/>
                <w:color w:val="000000"/>
                <w:sz w:val="24"/>
              </w:rPr>
            </w:pPr>
            <w:r>
              <w:rPr>
                <w:rFonts w:hint="eastAsia" w:eastAsia="仿宋_GB2312"/>
                <w:sz w:val="24"/>
                <w:lang w:eastAsia="zh-CN"/>
              </w:rPr>
              <w:t>付欣</w:t>
            </w:r>
          </w:p>
        </w:tc>
        <w:tc>
          <w:tcPr>
            <w:tcW w:w="3237" w:type="dxa"/>
            <w:gridSpan w:val="6"/>
            <w:noWrap w:val="0"/>
            <w:vAlign w:val="center"/>
          </w:tcPr>
          <w:p>
            <w:pPr>
              <w:jc w:val="center"/>
              <w:rPr>
                <w:rFonts w:hint="eastAsia" w:ascii="仿宋_GB2312" w:hAnsi="仿宋_GB2312" w:eastAsia="仿宋_GB2312" w:cs="仿宋_GB2312"/>
                <w:color w:val="000000"/>
                <w:sz w:val="24"/>
              </w:rPr>
            </w:pPr>
            <w:r>
              <w:rPr>
                <w:rFonts w:hint="eastAsia" w:eastAsia="仿宋_GB2312"/>
                <w:sz w:val="24"/>
                <w:lang w:eastAsia="zh-CN"/>
              </w:rPr>
              <w:t>会计</w:t>
            </w:r>
          </w:p>
        </w:tc>
        <w:tc>
          <w:tcPr>
            <w:tcW w:w="2732" w:type="dxa"/>
            <w:gridSpan w:val="4"/>
            <w:noWrap w:val="0"/>
            <w:vAlign w:val="center"/>
          </w:tcPr>
          <w:p>
            <w:pPr>
              <w:jc w:val="center"/>
              <w:rPr>
                <w:rFonts w:hint="eastAsia" w:ascii="仿宋_GB2312" w:hAnsi="仿宋_GB2312" w:eastAsia="仿宋_GB2312" w:cs="仿宋_GB2312"/>
                <w:color w:val="000000"/>
                <w:sz w:val="24"/>
              </w:rPr>
            </w:pPr>
            <w:r>
              <w:rPr>
                <w:rFonts w:hint="eastAsia" w:eastAsia="仿宋_GB2312"/>
                <w:sz w:val="24"/>
                <w:lang w:eastAsia="zh-CN"/>
              </w:rPr>
              <w:t>华容县老干部活动中心</w:t>
            </w:r>
          </w:p>
        </w:tc>
        <w:tc>
          <w:tcPr>
            <w:tcW w:w="2177" w:type="dxa"/>
            <w:gridSpan w:val="5"/>
            <w:noWrap w:val="0"/>
            <w:vAlign w:val="center"/>
          </w:tcPr>
          <w:p>
            <w:pPr>
              <w:jc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                          联系电话：</w:t>
      </w:r>
      <w:r>
        <w:rPr>
          <w:rFonts w:hint="eastAsia" w:eastAsia="仿宋_GB2312" w:cs="仿宋_GB2312"/>
          <w:bCs/>
          <w:sz w:val="28"/>
          <w:szCs w:val="28"/>
          <w:lang w:val="en-US" w:eastAsia="zh-CN"/>
        </w:rPr>
        <w:t>18073035580</w:t>
      </w:r>
    </w:p>
    <w:tbl>
      <w:tblPr>
        <w:tblStyle w:val="7"/>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eastAsia="仿宋_GB2312"/>
                <w:sz w:val="32"/>
                <w:szCs w:val="32"/>
              </w:rPr>
            </w:pPr>
            <w:r>
              <w:rPr>
                <w:rFonts w:hint="eastAsia" w:ascii="黑体" w:hAnsi="黑体" w:eastAsia="黑体" w:cs="黑体"/>
                <w:bCs/>
                <w:sz w:val="28"/>
                <w:szCs w:val="28"/>
              </w:rPr>
              <w:t>五、评价报告综述（文字部分）</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年，我单位设股室4个。县老干部活动中心现有人员编制1</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名，(其中：事业全额编制</w:t>
            </w:r>
            <w:r>
              <w:rPr>
                <w:rFonts w:hint="eastAsia" w:ascii="仿宋_GB2312" w:hAnsi="仿宋_GB2312" w:eastAsia="仿宋_GB2312" w:cs="仿宋_GB2312"/>
                <w:bCs/>
                <w:sz w:val="28"/>
                <w:szCs w:val="28"/>
                <w:lang w:val="en-US" w:eastAsia="zh-CN"/>
              </w:rPr>
              <w:t>14</w:t>
            </w:r>
            <w:r>
              <w:rPr>
                <w:rFonts w:hint="eastAsia" w:ascii="仿宋_GB2312" w:hAnsi="仿宋_GB2312" w:eastAsia="仿宋_GB2312" w:cs="仿宋_GB2312"/>
                <w:bCs/>
                <w:sz w:val="28"/>
                <w:szCs w:val="28"/>
              </w:rPr>
              <w:t>名)；年末实有在职人员</w:t>
            </w:r>
            <w:r>
              <w:rPr>
                <w:rFonts w:hint="eastAsia" w:ascii="仿宋_GB2312" w:hAnsi="仿宋_GB2312" w:eastAsia="仿宋_GB2312" w:cs="仿宋_GB2312"/>
                <w:bCs/>
                <w:sz w:val="28"/>
                <w:szCs w:val="28"/>
                <w:lang w:val="en-US" w:eastAsia="zh-CN"/>
              </w:rPr>
              <w:t>12</w:t>
            </w:r>
            <w:r>
              <w:rPr>
                <w:rFonts w:hint="eastAsia" w:ascii="仿宋_GB2312" w:hAnsi="仿宋_GB2312" w:eastAsia="仿宋_GB2312" w:cs="仿宋_GB2312"/>
                <w:bCs/>
                <w:sz w:val="28"/>
                <w:szCs w:val="28"/>
              </w:rPr>
              <w:t>人（其中：全额人员</w:t>
            </w:r>
            <w:r>
              <w:rPr>
                <w:rFonts w:hint="eastAsia" w:ascii="仿宋_GB2312" w:hAnsi="仿宋_GB2312" w:eastAsia="仿宋_GB2312" w:cs="仿宋_GB2312"/>
                <w:bCs/>
                <w:sz w:val="28"/>
                <w:szCs w:val="28"/>
                <w:lang w:val="en-US" w:eastAsia="zh-CN"/>
              </w:rPr>
              <w:t>12</w:t>
            </w:r>
            <w:r>
              <w:rPr>
                <w:rFonts w:hint="eastAsia" w:ascii="仿宋_GB2312" w:hAnsi="仿宋_GB2312" w:eastAsia="仿宋_GB2312" w:cs="仿宋_GB2312"/>
                <w:bCs/>
                <w:sz w:val="28"/>
                <w:szCs w:val="28"/>
              </w:rPr>
              <w:t>人）。</w:t>
            </w:r>
          </w:p>
          <w:p>
            <w:pPr>
              <w:numPr>
                <w:ilvl w:val="0"/>
                <w:numId w:val="2"/>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 xml:space="preserve">    2021年我单位整体支出规模521.5万，</w:t>
            </w:r>
            <w:r>
              <w:rPr>
                <w:rFonts w:hint="eastAsia" w:ascii="仿宋_GB2312" w:hAnsi="仿宋_GB2312" w:eastAsia="仿宋_GB2312" w:cs="仿宋_GB2312"/>
                <w:bCs/>
                <w:sz w:val="28"/>
                <w:szCs w:val="28"/>
              </w:rPr>
              <w:t>主要用于维持单位</w:t>
            </w:r>
            <w:r>
              <w:rPr>
                <w:rFonts w:hint="eastAsia" w:ascii="仿宋_GB2312" w:hAnsi="仿宋_GB2312" w:eastAsia="仿宋_GB2312" w:cs="仿宋_GB2312"/>
                <w:bCs/>
                <w:sz w:val="28"/>
                <w:szCs w:val="28"/>
                <w:lang w:eastAsia="zh-CN"/>
              </w:rPr>
              <w:t>及</w:t>
            </w:r>
            <w:r>
              <w:rPr>
                <w:rFonts w:hint="eastAsia" w:ascii="仿宋_GB2312" w:hAnsi="仿宋_GB2312" w:eastAsia="仿宋_GB2312" w:cs="仿宋_GB2312"/>
                <w:bCs/>
                <w:sz w:val="28"/>
                <w:szCs w:val="28"/>
                <w:lang w:val="en-US" w:eastAsia="zh-CN"/>
              </w:rPr>
              <w:t>7大群团组织</w:t>
            </w:r>
            <w:r>
              <w:rPr>
                <w:rFonts w:hint="eastAsia" w:ascii="仿宋_GB2312" w:hAnsi="仿宋_GB2312" w:eastAsia="仿宋_GB2312" w:cs="仿宋_GB2312"/>
                <w:bCs/>
                <w:sz w:val="28"/>
                <w:szCs w:val="28"/>
              </w:rPr>
              <w:t>运行</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发展老干部事业。</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一是贴心入微保障待遇；政治待遇重在畅通知政助政渠道。组织召开了建党百周年老干部代表座谈会、老干部与新到任县四大家班子成员见面座谈会、庆祝重阳节暨向老干部工作汇报会。生活待遇重在解决急难愁盼问题。</w:t>
            </w:r>
            <w:r>
              <w:rPr>
                <w:rFonts w:hint="eastAsia" w:ascii="仿宋_GB2312" w:hAnsi="仿宋_GB2312" w:eastAsia="仿宋_GB2312" w:cs="仿宋_GB2312"/>
                <w:sz w:val="32"/>
                <w:szCs w:val="32"/>
                <w:lang w:val="en-US" w:eastAsia="zh-CN"/>
              </w:rPr>
              <w:t>离休干部各类生活待遇经费、医疗费报销、抚恤费办理、按照</w:t>
            </w:r>
            <w:r>
              <w:rPr>
                <w:rFonts w:hint="eastAsia" w:ascii="仿宋_GB2312" w:hAnsi="仿宋_GB2312" w:eastAsia="仿宋_GB2312" w:cs="仿宋_GB2312"/>
                <w:b w:val="0"/>
                <w:bCs w:val="0"/>
                <w:sz w:val="32"/>
                <w:szCs w:val="32"/>
                <w:lang w:eastAsia="zh-CN"/>
              </w:rPr>
              <w:t>省市</w:t>
            </w:r>
            <w:r>
              <w:rPr>
                <w:rFonts w:hint="eastAsia" w:ascii="仿宋_GB2312" w:hAnsi="仿宋_GB2312" w:eastAsia="仿宋_GB2312" w:cs="仿宋_GB2312"/>
                <w:b w:val="0"/>
                <w:bCs w:val="0"/>
                <w:sz w:val="32"/>
                <w:szCs w:val="32"/>
                <w:lang w:val="en-US" w:eastAsia="zh-CN"/>
              </w:rPr>
              <w:t>文件调标增发资金等，</w:t>
            </w:r>
            <w:r>
              <w:rPr>
                <w:rFonts w:hint="eastAsia" w:ascii="仿宋_GB2312" w:hAnsi="仿宋_GB2312" w:eastAsia="仿宋_GB2312" w:cs="仿宋_GB2312"/>
                <w:sz w:val="32"/>
                <w:szCs w:val="32"/>
                <w:lang w:val="en-US" w:eastAsia="zh-CN"/>
              </w:rPr>
              <w:t>全部按时发放到位</w:t>
            </w:r>
            <w:r>
              <w:rPr>
                <w:rFonts w:hint="eastAsia" w:ascii="仿宋_GB2312" w:hAnsi="仿宋_GB2312" w:eastAsia="仿宋_GB2312" w:cs="仿宋_GB2312"/>
                <w:b w:val="0"/>
                <w:bCs w:val="0"/>
                <w:sz w:val="32"/>
                <w:szCs w:val="32"/>
                <w:lang w:val="en-US" w:eastAsia="zh-CN"/>
              </w:rPr>
              <w:t>。从工作经费中挤出1万多元资金，组织开展“送温暖、办实事”走访慰问，为他们解决生活困难;为生活特别困难的离休干部和无固定收入离休干部遗孀，积极向</w:t>
            </w:r>
            <w:r>
              <w:rPr>
                <w:rFonts w:ascii="仿宋_GB2312" w:eastAsia="仿宋_GB2312"/>
                <w:spacing w:val="0"/>
                <w:sz w:val="32"/>
                <w:szCs w:val="32"/>
              </w:rPr>
              <w:t>县</w:t>
            </w:r>
            <w:r>
              <w:rPr>
                <w:rFonts w:hint="eastAsia" w:ascii="仿宋_GB2312" w:eastAsia="仿宋_GB2312"/>
                <w:spacing w:val="0"/>
                <w:sz w:val="32"/>
                <w:szCs w:val="32"/>
                <w:lang w:eastAsia="zh-CN"/>
              </w:rPr>
              <w:t>“</w:t>
            </w:r>
            <w:r>
              <w:rPr>
                <w:rFonts w:ascii="仿宋_GB2312" w:eastAsia="仿宋_GB2312"/>
                <w:spacing w:val="0"/>
                <w:sz w:val="32"/>
                <w:szCs w:val="32"/>
              </w:rPr>
              <w:t>离退休人员困难救助小组</w:t>
            </w:r>
            <w:r>
              <w:rPr>
                <w:rFonts w:hint="eastAsia" w:ascii="仿宋_GB2312" w:eastAsia="仿宋_GB2312"/>
                <w:spacing w:val="0"/>
                <w:sz w:val="32"/>
                <w:szCs w:val="32"/>
                <w:lang w:eastAsia="zh-CN"/>
              </w:rPr>
              <w:t>”申请，争取</w:t>
            </w:r>
            <w:r>
              <w:rPr>
                <w:rFonts w:ascii="仿宋_GB2312" w:eastAsia="仿宋_GB2312"/>
                <w:spacing w:val="0"/>
                <w:sz w:val="32"/>
                <w:szCs w:val="32"/>
              </w:rPr>
              <w:t>帮</w:t>
            </w:r>
            <w:r>
              <w:rPr>
                <w:rFonts w:hint="eastAsia" w:ascii="仿宋_GB2312" w:eastAsia="仿宋_GB2312"/>
                <w:spacing w:val="0"/>
                <w:sz w:val="32"/>
                <w:szCs w:val="32"/>
                <w:lang w:eastAsia="zh-CN"/>
              </w:rPr>
              <w:t>困资金。班子成员</w:t>
            </w:r>
            <w:r>
              <w:rPr>
                <w:rFonts w:hint="eastAsia" w:ascii="仿宋_GB2312" w:hAnsi="仿宋_GB2312" w:eastAsia="仿宋_GB2312" w:cs="仿宋_GB2312"/>
                <w:sz w:val="32"/>
                <w:szCs w:val="32"/>
                <w:lang w:val="en-US" w:eastAsia="zh-CN"/>
              </w:rPr>
              <w:t>慰问看望生日、住院离退休干部25人次，参加老干部过世吊唁6人次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对全县近110名离休干部和副县级以上退休干部开展党史学习教育、建党百周年讲话、老年保健手册免费送学上门3次，同时对信息化管理情况进行动态摸底和更新。持续为担任过县委副书记以</w:t>
            </w:r>
            <w:r>
              <w:rPr>
                <w:rFonts w:hint="eastAsia" w:ascii="仿宋_GB2312" w:hAnsi="仿宋_GB2312" w:eastAsia="仿宋_GB2312" w:cs="仿宋_GB2312"/>
                <w:bCs/>
                <w:sz w:val="28"/>
                <w:szCs w:val="28"/>
                <w:lang w:val="en-US" w:eastAsia="zh-CN"/>
              </w:rPr>
              <w:t>上职务的离退休干部，实行免费订、免费送报纸上门服务。</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是党史学习教育扎实有效。组织相关县直单位、老年诗词协会党支部聆听老同志、专家宣讲明碧山革命故事、建党百周年重要讲话精神、华容革命史，组织全体干部职工认真开展了“送学上门”、“我为群众办实事”、红色家书诵读等活动，精心选题挖掘资源拍摄制作了《南下干部在华容》宣传片。</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kern w:val="2"/>
                <w:sz w:val="32"/>
                <w:szCs w:val="32"/>
                <w:lang w:val="en-US" w:eastAsia="zh-CN" w:bidi="ar-SA"/>
              </w:rPr>
              <w:t>三是“活动组织年”圆满收官。</w:t>
            </w:r>
            <w:r>
              <w:rPr>
                <w:rFonts w:hint="eastAsia" w:ascii="仿宋_GB2312" w:hAnsi="仿宋_GB2312" w:eastAsia="仿宋_GB2312"/>
                <w:b w:val="0"/>
                <w:bCs w:val="0"/>
                <w:sz w:val="32"/>
                <w:szCs w:val="32"/>
                <w:lang w:val="en-US" w:eastAsia="zh-CN"/>
              </w:rPr>
              <w:t>组织建党100周年老干部代表座谈会、诗词书画展、老年体育</w:t>
            </w:r>
            <w:r>
              <w:rPr>
                <w:rFonts w:hint="eastAsia" w:ascii="仿宋_GB2312" w:hAnsi="仿宋_GB2312" w:eastAsia="仿宋_GB2312"/>
                <w:sz w:val="32"/>
                <w:szCs w:val="32"/>
                <w:lang w:val="en-US" w:eastAsia="zh-CN"/>
              </w:rPr>
              <w:t>五大系列赛事、重阳节老干部视察暨工作汇报会、健康知识讲座、党史学习教育、老年大学</w:t>
            </w:r>
            <w:r>
              <w:rPr>
                <w:rFonts w:hint="eastAsia" w:ascii="仿宋_GB2312" w:hAnsi="仿宋_GB2312" w:eastAsia="仿宋_GB2312"/>
                <w:b w:val="0"/>
                <w:bCs w:val="0"/>
                <w:sz w:val="32"/>
                <w:szCs w:val="32"/>
                <w:lang w:val="en-US" w:eastAsia="zh-CN"/>
              </w:rPr>
              <w:t>新时代文明实践志愿者行动</w:t>
            </w:r>
            <w:r>
              <w:rPr>
                <w:rFonts w:hint="eastAsia" w:ascii="仿宋_GB2312" w:hAnsi="仿宋_GB2312" w:eastAsia="仿宋_GB2312"/>
                <w:sz w:val="32"/>
                <w:szCs w:val="32"/>
                <w:lang w:val="en-US" w:eastAsia="zh-CN"/>
              </w:rPr>
              <w:t>等活动；老年大学开学复课后开设16个班，共招收老年学员近1000人次。协会活动标准高。</w:t>
            </w:r>
            <w:r>
              <w:rPr>
                <w:rFonts w:hint="eastAsia" w:ascii="仿宋_GB2312" w:hAnsi="仿宋_GB2312" w:eastAsia="仿宋_GB2312" w:cs="仿宋_GB2312"/>
                <w:sz w:val="32"/>
                <w:szCs w:val="32"/>
                <w:lang w:val="en-US" w:eastAsia="zh-CN"/>
              </w:rPr>
              <w:t>全力支持四个老年群体组织相关活动，全年接待省市</w:t>
            </w:r>
            <w:r>
              <w:rPr>
                <w:rFonts w:hint="eastAsia" w:ascii="仿宋" w:hAnsi="仿宋" w:eastAsia="仿宋" w:cs="仿宋"/>
                <w:sz w:val="32"/>
                <w:szCs w:val="32"/>
                <w:lang w:val="en-US" w:eastAsia="zh-CN"/>
              </w:rPr>
              <w:t>老</w:t>
            </w:r>
            <w:r>
              <w:rPr>
                <w:rFonts w:hint="eastAsia" w:ascii="仿宋_GB2312" w:hAnsi="仿宋_GB2312" w:eastAsia="仿宋_GB2312" w:cs="仿宋_GB2312"/>
                <w:sz w:val="32"/>
                <w:szCs w:val="32"/>
                <w:lang w:val="en-US" w:eastAsia="zh-CN"/>
              </w:rPr>
              <w:t>领导调研视察</w:t>
            </w: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lang w:val="en-US" w:eastAsia="zh-CN"/>
              </w:rPr>
              <w:t>次，包括</w:t>
            </w:r>
            <w:r>
              <w:rPr>
                <w:rFonts w:hint="eastAsia" w:ascii="仿宋_GB2312" w:hAnsi="仿宋_GB2312" w:eastAsia="仿宋_GB2312" w:cs="仿宋_GB2312"/>
                <w:sz w:val="32"/>
                <w:szCs w:val="32"/>
                <w:lang w:eastAsia="zh-CN"/>
              </w:rPr>
              <w:t>省关工委副主任蔡力峰</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val="en-US" w:eastAsia="zh-CN"/>
              </w:rPr>
              <w:t>黄祖示，省老科协会长欧阳斌，市关工委主任陈奇达，市老科协执行会长包忠清、顾问罗传根、赵协成等，县委领导高度重视，活动组织得到充分肯定；关工委结合乡村振兴工作在省级示范点三封寺镇华一村召开业务培训会议，县老年体协圆满完成庆祝建党百周年系列赛事，县老科协组织保健专家在县老年大学开设老年保健知识专题讲座，县老年保健协会开展全县“健康老人”和“长寿老人”评选活动并发放保健资料12000份，县诗词协会印制庆祝中国共产党成立100周年诗词作品专辑，县老年书画协会举办了书画作品展览活动。</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是“品牌”打造持续闪亮。开展“美在金秋”老党员之家品牌建设得到了蔡力峰、陈奇达等省市老领导和市委组织部、老干部局领导的充分肯定；开展老年大学新时代文明实践志愿者行动，组织老党员和文艺骨干成立新时代文明实践志愿者服务队，为庆祝建党100周年，开展“金秋颂党恩”系列活动，积极参加“华容县妇联庆祝建党100周年暨女性风采展示”、“一支红歌献给党”快闪、“现场救护第一目击者行动”启动仪式、“新时代华容好人”颁奖典礼、禹山镇第二届“泥鳅节”等活动，录制《老年大学开学了》、《二胡颂党恩、丝韵传真情》、《国画写意、太极人生》、《稻花“湘”里说丰年》、《我们的节日.重阳节》、《老年人防诈骗》、《抓紧时间打疫苗》等专题宣传片，《国画写意、太极人生》等微视频；节约型机关创建</w:t>
            </w:r>
            <w:r>
              <w:rPr>
                <w:rFonts w:hint="eastAsia" w:ascii="仿宋_GB2312" w:hAnsi="仿宋_GB2312" w:eastAsia="仿宋_GB2312" w:cs="仿宋_GB2312"/>
                <w:sz w:val="32"/>
                <w:szCs w:val="32"/>
                <w:lang w:val="zh-CN" w:eastAsia="zh-CN"/>
              </w:rPr>
              <w:t>顺利通过市里验收，将代表县里接受省里复核。</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（一）基本支出</w:t>
            </w:r>
          </w:p>
          <w:p>
            <w:pPr>
              <w:spacing w:line="560" w:lineRule="exact"/>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本支出的主要用途是人员经费和日常公用经费，主要包括人员工资、津贴补贴、年终一次性奖金、社会保障缴费、办公费、印刷费、咨询费、水费、电费、邮电费、差旅费、维修（护）费、会议费、培训费、“三公”经费、生活补助、住房公积金、其他对个人和家庭的补助支出；其中工资福利支出445.21万元，日常公用经费76.3万元。基本支出的管理通过国库集中支付；对“三公”经费的使用和管理，严格按照“只减不增”的原则控制，本单位“三公”经费其公务接</w:t>
            </w:r>
            <w:bookmarkStart w:id="0" w:name="_GoBack"/>
            <w:bookmarkEnd w:id="0"/>
            <w:r>
              <w:rPr>
                <w:rFonts w:hint="eastAsia" w:ascii="仿宋_GB2312" w:hAnsi="仿宋_GB2312" w:eastAsia="仿宋_GB2312" w:cs="仿宋_GB2312"/>
                <w:kern w:val="2"/>
                <w:sz w:val="28"/>
                <w:szCs w:val="28"/>
                <w:lang w:val="en-US" w:eastAsia="zh-CN" w:bidi="ar-SA"/>
              </w:rPr>
              <w:t>待费0.18万元，公车运行及维护费为0万元。</w:t>
            </w:r>
          </w:p>
          <w:p>
            <w:pPr>
              <w:spacing w:line="560" w:lineRule="exact"/>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（二）专项支出</w:t>
            </w:r>
          </w:p>
          <w:p>
            <w:pPr>
              <w:spacing w:line="560" w:lineRule="exact"/>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1、专项资金安排落实、总投入等情况分析</w:t>
            </w:r>
          </w:p>
          <w:p>
            <w:pPr>
              <w:spacing w:line="560" w:lineRule="exact"/>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资金计划。按项目预计支出，分批向县财政申报批复资金329.1万。</w:t>
            </w:r>
          </w:p>
          <w:p>
            <w:pPr>
              <w:spacing w:line="560" w:lineRule="exact"/>
              <w:ind w:firstLine="560" w:firstLineChars="200"/>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资金到位。截至2021年12月，计划资金全部到位，共329.1万。</w:t>
            </w:r>
          </w:p>
          <w:p>
            <w:pPr>
              <w:spacing w:line="560" w:lineRule="exact"/>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资金使用。截至2021年12月底，各项目全部足额支付到位，共计329.1万，其中预留老干部新春慰问金13.8万元。</w:t>
            </w:r>
          </w:p>
          <w:p>
            <w:pPr>
              <w:spacing w:line="560" w:lineRule="exact"/>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2、专项资金实际使用情况分析</w:t>
            </w:r>
          </w:p>
          <w:p>
            <w:pPr>
              <w:spacing w:line="560" w:lineRule="exact"/>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拨付离休干部政策性补贴164万，用于保障离休干部的经济生活待遇；拨付离退休干部特需费6.1万，用于离退休干部重要节日、生日、住院走访慰问，离退休干部学习教育，退休干部活动开支、疫情防控支出等其他老干部特别需要开支；拨付县老科协支出37万，主要用于县老年科协、基层乡镇科协的组织建设以及基层企业科技扶持；拨付县老科协接待省市调研支出1.2万，拨付县老科协接待市科协红色教育支出2万。拨付老干部服务支出（含“四就近”服务）6.3万，主要用于深入基层、深入社区，开展“一人一策”、“一人一档”、“送学上门”等就近服务，扶持社区建设老干组织；拨付关工委支出（含家庭教育支出）17万，主要用于关工委开展关爱教育活动，发挥老干部预余热，以及基层、本级的组织办公建设；拨付关工委接待省市调研工作经费4万。拨付老年体协19.3万，主要用于老年体育事业发展包括钓鱼、门球、拳剑歌舞等赛事活动；拨付老年大学支出24.2万，主要用于老年大学教学设备设施、办公设备设施维护，组织队伍建设、老年大学开班教师工资等；拨付乡村振兴专项支出2.2万，主要用于扶贫干部的待遇保障，扶贫结对慰问等；拨付离退休干部大型座谈会及慰问支出17万，用于离退休干部参会议会，加深组织联系；拨付老年保健协会支出9.3万，用于普及保健知识教育、健康长寿老人评选及办公支出；拨付美在金秋建设经费6.2万，用于“美在金秋”品牌建设；拨付老年诗词协会2.3万，书画协会1万用于各协会组织多样老年活动，加深老干部间的交流；拨付老干党支部建设创建4.6万，用于本级及老干党支部建设；拨付防汛工作经费2.1万，用于2020年防汛工作补助；拨付庆党一百周年活动经费3万。</w:t>
            </w:r>
          </w:p>
          <w:p>
            <w:pPr>
              <w:spacing w:line="560" w:lineRule="exact"/>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3、专项资金管理情况分析</w:t>
            </w:r>
          </w:p>
          <w:p>
            <w:pPr>
              <w:spacing w:line="560" w:lineRule="exact"/>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专项资金支付严格执行预算计划安排，大额支出经“三重一大”程序办理，切实保证专项资金落到实处。</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hint="eastAsia"/>
              </w:rPr>
            </w:pPr>
            <w:r>
              <w:rPr>
                <w:rFonts w:hint="eastAsia" w:ascii="仿宋_GB2312" w:hAnsi="仿宋_GB2312" w:eastAsia="仿宋_GB2312" w:cs="仿宋_GB2312"/>
                <w:bCs/>
                <w:sz w:val="28"/>
                <w:szCs w:val="28"/>
                <w:lang w:eastAsia="zh-CN"/>
              </w:rPr>
              <w:t>专项经费由各业务股室做年度规划，财务汇总审核上报财政局；实际执行时业务股室分月报送用款需求，财务审核并经单位领导同意上报财政局请求资金，当月资金到位后当月及时拨付，并做好核算处理。</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（二）</w:t>
            </w:r>
            <w:r>
              <w:rPr>
                <w:rFonts w:hint="eastAsia" w:ascii="仿宋_GB2312" w:hAnsi="仿宋_GB2312" w:eastAsia="仿宋_GB2312" w:cs="仿宋_GB2312"/>
                <w:bCs/>
                <w:sz w:val="28"/>
                <w:szCs w:val="28"/>
              </w:rPr>
              <w:t>专项管理情况分析</w:t>
            </w:r>
          </w:p>
          <w:p>
            <w:pPr>
              <w:spacing w:line="560" w:lineRule="exact"/>
              <w:ind w:firstLine="560" w:firstLineChars="200"/>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sz w:val="28"/>
                <w:szCs w:val="28"/>
                <w:lang w:val="en-US" w:eastAsia="zh-CN"/>
              </w:rPr>
              <w:t>项目经费采取</w:t>
            </w:r>
            <w:r>
              <w:rPr>
                <w:rFonts w:hint="eastAsia" w:ascii="仿宋_GB2312" w:hAnsi="仿宋_GB2312" w:eastAsia="仿宋_GB2312" w:cs="仿宋_GB2312"/>
                <w:bCs/>
                <w:kern w:val="2"/>
                <w:sz w:val="28"/>
                <w:szCs w:val="28"/>
                <w:lang w:val="en-US" w:eastAsia="zh-CN" w:bidi="ar-SA"/>
              </w:rPr>
              <w:t>直接支付方式，经由县财政局申报计划、划拨、使用，并接受单位内部相关负责人的监督审核，对收支进行规范处理与核算。</w:t>
            </w: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spacing w:line="560" w:lineRule="exact"/>
              <w:ind w:firstLine="560"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2021年，我单位在领导们的支持与正确决策下，圆满地完成了各项工作任务。我单位取得的主要履职效益包括落实老干部待遇，组织老干部开展活动。我单位把强化工作责任心，提高工作质量，优化工作态度，提高工作对象对我们工作满意度做为主要工作来抓，各股室工作按照年初的计划有序的开展，办事效益进一步提高，服务态度进一步优化，热情接待每一位来访的离退休老同志。</w:t>
            </w:r>
          </w:p>
          <w:p>
            <w:pPr>
              <w:numPr>
                <w:ilvl w:val="0"/>
                <w:numId w:val="3"/>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pStyle w:val="2"/>
              <w:keepNext w:val="0"/>
              <w:keepLines w:val="0"/>
              <w:pageBreakBefore w:val="0"/>
              <w:widowControl/>
              <w:numPr>
                <w:ilvl w:val="0"/>
                <w:numId w:val="0"/>
              </w:numPr>
              <w:kinsoku/>
              <w:wordWrap/>
              <w:overflowPunct/>
              <w:topLinePunct w:val="0"/>
              <w:autoSpaceDE/>
              <w:autoSpaceDN/>
              <w:bidi w:val="0"/>
              <w:adjustRightInd/>
              <w:snapToGrid/>
              <w:ind w:firstLine="640" w:firstLineChars="200"/>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财务管理制度需要进一步细化，以适应更加多样的用款需求，满足更加规范的财务管理要求；人员配备缺位，需要进一步完整干部队伍。</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eastAsia="楷体_GB2312"/>
                <w:bCs/>
                <w:sz w:val="28"/>
                <w:szCs w:val="28"/>
              </w:rPr>
            </w:pPr>
            <w:r>
              <w:rPr>
                <w:rFonts w:hint="eastAsia" w:ascii="Times New Roman" w:hAnsi="Times New Roman" w:eastAsia="仿宋_GB2312" w:cs="Times New Roman"/>
                <w:kern w:val="2"/>
                <w:sz w:val="32"/>
                <w:szCs w:val="32"/>
                <w:lang w:val="en-US" w:eastAsia="zh-CN" w:bidi="ar-SA"/>
              </w:rPr>
              <w:t>通过开会交流，进一步优化财务管理制度与单位管理制度，并组织单位成员学习，落实；做好分工计划，并推进队伍扩充。</w:t>
            </w: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   年   月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7"/>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rPr>
            </w:pP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eastAsia" w:eastAsia="仿宋_GB2312"/>
                <w:sz w:val="24"/>
              </w:rPr>
            </w:pP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eastAsia" w:eastAsia="仿宋_GB2312"/>
                <w:spacing w:val="-6"/>
                <w:sz w:val="24"/>
              </w:rPr>
            </w:pP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p>
        </w:tc>
        <w:tc>
          <w:tcPr>
            <w:tcW w:w="1822" w:type="dxa"/>
            <w:gridSpan w:val="2"/>
            <w:tcBorders>
              <w:bottom w:val="single" w:color="auto" w:sz="4" w:space="0"/>
            </w:tcBorders>
            <w:noWrap w:val="0"/>
            <w:vAlign w:val="center"/>
          </w:tcPr>
          <w:p>
            <w:pPr>
              <w:jc w:val="center"/>
              <w:rPr>
                <w:rFonts w:hint="eastAsia" w:eastAsia="仿宋_GB2312"/>
                <w:sz w:val="24"/>
              </w:rPr>
            </w:pP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eastAsia" w:eastAsia="仿宋_GB2312"/>
                <w:b/>
                <w:sz w:val="24"/>
              </w:rPr>
            </w:pPr>
          </w:p>
        </w:tc>
        <w:tc>
          <w:tcPr>
            <w:tcW w:w="2342"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spacing w:line="400" w:lineRule="exact"/>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rPr>
                <w:rFonts w:hint="eastAsia" w:eastAsia="仿宋_GB2312"/>
                <w:sz w:val="24"/>
              </w:rPr>
            </w:pPr>
          </w:p>
        </w:tc>
        <w:tc>
          <w:tcPr>
            <w:tcW w:w="2332" w:type="dxa"/>
            <w:gridSpan w:val="4"/>
            <w:noWrap w:val="0"/>
            <w:vAlign w:val="center"/>
          </w:tcPr>
          <w:p>
            <w:pPr>
              <w:rPr>
                <w:rFonts w:hint="eastAsia" w:eastAsia="仿宋_GB2312"/>
                <w:sz w:val="24"/>
              </w:rPr>
            </w:pPr>
          </w:p>
        </w:tc>
        <w:tc>
          <w:tcPr>
            <w:tcW w:w="1950" w:type="dxa"/>
            <w:gridSpan w:val="4"/>
            <w:noWrap w:val="0"/>
            <w:vAlign w:val="center"/>
          </w:tcPr>
          <w:p>
            <w:pPr>
              <w:rPr>
                <w:rFonts w:hint="eastAsia" w:eastAsia="仿宋_GB2312"/>
                <w:sz w:val="24"/>
              </w:rPr>
            </w:pPr>
          </w:p>
        </w:tc>
        <w:tc>
          <w:tcPr>
            <w:tcW w:w="303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7"/>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600" w:firstLineChars="200"/>
              <w:rPr>
                <w:rFonts w:hint="eastAsia" w:eastAsia="仿宋_GB2312"/>
                <w:sz w:val="30"/>
                <w:szCs w:val="30"/>
              </w:rPr>
            </w:pPr>
            <w:r>
              <w:rPr>
                <w:rFonts w:hint="eastAsia" w:eastAsia="仿宋_GB2312"/>
                <w:sz w:val="30"/>
                <w:szCs w:val="30"/>
              </w:rPr>
              <w:t>（一）项目基本概况</w:t>
            </w:r>
          </w:p>
          <w:p>
            <w:pPr>
              <w:spacing w:line="560" w:lineRule="exact"/>
              <w:ind w:firstLine="600" w:firstLineChars="200"/>
              <w:rPr>
                <w:rFonts w:hint="eastAsia" w:eastAsia="仿宋_GB2312"/>
                <w:sz w:val="30"/>
                <w:szCs w:val="30"/>
              </w:rPr>
            </w:pPr>
            <w:r>
              <w:rPr>
                <w:rFonts w:hint="eastAsia" w:eastAsia="仿宋_GB2312"/>
                <w:sz w:val="30"/>
                <w:szCs w:val="30"/>
              </w:rPr>
              <w:t>（二）项目资金使用及管理情况</w:t>
            </w:r>
          </w:p>
          <w:p>
            <w:pPr>
              <w:spacing w:line="560" w:lineRule="exact"/>
              <w:ind w:firstLine="600" w:firstLineChars="200"/>
              <w:rPr>
                <w:rFonts w:hint="eastAsia" w:eastAsia="仿宋_GB2312"/>
                <w:sz w:val="30"/>
                <w:szCs w:val="30"/>
              </w:rPr>
            </w:pPr>
            <w:r>
              <w:rPr>
                <w:rFonts w:hint="eastAsia" w:eastAsia="仿宋_GB2312"/>
                <w:sz w:val="30"/>
                <w:szCs w:val="30"/>
              </w:rPr>
              <w:t>（三）项目组织实施情况</w:t>
            </w:r>
          </w:p>
          <w:p>
            <w:pPr>
              <w:spacing w:line="560" w:lineRule="exact"/>
              <w:ind w:firstLine="600" w:firstLineChars="200"/>
              <w:rPr>
                <w:rFonts w:hint="eastAsia" w:eastAsia="仿宋_GB2312"/>
                <w:sz w:val="30"/>
                <w:szCs w:val="30"/>
              </w:rPr>
            </w:pPr>
            <w:r>
              <w:rPr>
                <w:rFonts w:hint="eastAsia" w:eastAsia="仿宋_GB2312"/>
                <w:sz w:val="30"/>
                <w:szCs w:val="30"/>
              </w:rPr>
              <w:t>（四）综合评价情况及评价结论</w:t>
            </w:r>
          </w:p>
          <w:p>
            <w:pPr>
              <w:spacing w:line="560" w:lineRule="exact"/>
              <w:ind w:firstLine="600" w:firstLineChars="200"/>
              <w:rPr>
                <w:rFonts w:hint="eastAsia" w:eastAsia="仿宋_GB2312"/>
                <w:sz w:val="30"/>
                <w:szCs w:val="30"/>
              </w:rPr>
            </w:pPr>
            <w:r>
              <w:rPr>
                <w:rFonts w:hint="eastAsia" w:eastAsia="仿宋_GB2312"/>
                <w:sz w:val="30"/>
                <w:szCs w:val="30"/>
              </w:rPr>
              <w:t>（五）项目主要绩效情况分析</w:t>
            </w:r>
          </w:p>
          <w:p>
            <w:pPr>
              <w:spacing w:line="560" w:lineRule="exact"/>
              <w:ind w:firstLine="600" w:firstLineChars="200"/>
              <w:rPr>
                <w:rFonts w:hint="eastAsia" w:eastAsia="仿宋_GB2312"/>
                <w:sz w:val="30"/>
                <w:szCs w:val="30"/>
              </w:rPr>
            </w:pPr>
            <w:r>
              <w:rPr>
                <w:rFonts w:hint="eastAsia" w:eastAsia="仿宋_GB2312"/>
                <w:sz w:val="30"/>
                <w:szCs w:val="30"/>
              </w:rPr>
              <w:t>（六）主要经验及做法、存在问题和建议</w:t>
            </w:r>
          </w:p>
          <w:p>
            <w:pPr>
              <w:spacing w:line="560" w:lineRule="exact"/>
              <w:ind w:firstLine="600" w:firstLineChars="200"/>
              <w:rPr>
                <w:rFonts w:hint="eastAsia" w:eastAsia="仿宋_GB2312"/>
                <w:sz w:val="30"/>
                <w:szCs w:val="30"/>
              </w:rPr>
            </w:pPr>
            <w:r>
              <w:rPr>
                <w:rFonts w:hint="eastAsia" w:eastAsia="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541"/>
        <w:gridCol w:w="1259"/>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541"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259"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5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259"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54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259"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8"/>
                <w:szCs w:val="18"/>
                <w:lang w:val="en-US" w:eastAsia="zh-CN"/>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5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259"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25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eastAsia="zh-CN"/>
              </w:rPr>
              <w:t>预算调整率</w:t>
            </w:r>
            <w:r>
              <w:rPr>
                <w:rFonts w:hint="eastAsia" w:ascii="仿宋_GB2312" w:hAnsi="宋体" w:eastAsia="仿宋_GB2312" w:cs="宋体"/>
                <w:color w:val="000000"/>
                <w:kern w:val="0"/>
                <w:sz w:val="18"/>
                <w:szCs w:val="18"/>
                <w:lang w:val="en-US" w:eastAsia="zh-CN"/>
              </w:rPr>
              <w:t>10%</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25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4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2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5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25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259"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仿宋_GB2312" w:hAnsi="宋体" w:eastAsia="仿宋_GB2312" w:cs="宋体"/>
                <w:color w:val="000000"/>
                <w:kern w:val="0"/>
                <w:sz w:val="18"/>
                <w:szCs w:val="18"/>
                <w:lang w:eastAsia="zh-CN"/>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25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4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259"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4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259"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政府采购执行率不足</w:t>
            </w: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4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259"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授权支付比率不足</w:t>
            </w: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41"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259"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7"/>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hint="eastAsia" w:ascii="仿宋_GB2312" w:hAnsi="宋体" w:eastAsia="仿宋_GB2312" w:cs="宋体"/>
                <w:kern w:val="0"/>
                <w:sz w:val="18"/>
                <w:szCs w:val="18"/>
                <w:lang w:eastAsia="zh-CN"/>
              </w:rPr>
              <w:t>部门</w:t>
            </w:r>
            <w:r>
              <w:rPr>
                <w:rFonts w:hint="eastAsia" w:ascii="仿宋_GB2312" w:hAnsi="宋体" w:eastAsia="仿宋_GB2312" w:cs="宋体"/>
                <w:kern w:val="0"/>
                <w:sz w:val="18"/>
                <w:szCs w:val="18"/>
              </w:rPr>
              <w:t>工作</w:t>
            </w:r>
            <w:r>
              <w:rPr>
                <w:rFonts w:hint="eastAsia" w:ascii="仿宋_GB2312" w:hAnsi="宋体" w:eastAsia="仿宋_GB2312" w:cs="宋体"/>
                <w:kern w:val="0"/>
                <w:sz w:val="18"/>
                <w:szCs w:val="18"/>
                <w:lang w:eastAsia="zh-CN"/>
              </w:rPr>
              <w:t>要点</w:t>
            </w:r>
            <w:r>
              <w:rPr>
                <w:rFonts w:hint="eastAsia" w:ascii="仿宋_GB2312" w:hAnsi="宋体" w:eastAsia="仿宋_GB2312" w:cs="宋体"/>
                <w:kern w:val="0"/>
                <w:sz w:val="18"/>
                <w:szCs w:val="18"/>
              </w:rPr>
              <w:t>》目标任务完成情况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重点工程和重大项目完成情况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97</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p>
    <w:p>
      <w:pPr>
        <w:adjustRightInd w:val="0"/>
        <w:snapToGrid w:val="0"/>
        <w:spacing w:before="156" w:beforeLines="50"/>
        <w:contextualSpacing/>
        <w:rPr>
          <w:rFonts w:hint="eastAsia" w:ascii="仿宋_GB2312" w:hAnsi="宋体" w:eastAsia="仿宋_GB2312" w:cs="宋体"/>
          <w:kern w:val="0"/>
          <w:szCs w:val="21"/>
          <w:lang w:eastAsia="zh-CN"/>
        </w:rPr>
      </w:pP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7"/>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widowControl/>
              <w:spacing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宋体" w:hAnsi="宋体" w:cs="宋体"/>
                <w:b/>
                <w:bCs/>
                <w:kern w:val="0"/>
                <w:sz w:val="24"/>
              </w:rPr>
            </w:pP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18030">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w:t>
    </w:r>
    <w:r>
      <w:rPr>
        <w:sz w:val="24"/>
        <w:szCs w:val="24"/>
      </w:rPr>
      <w:fldChar w:fldCharType="end"/>
    </w:r>
    <w:r>
      <w:rPr>
        <w:rStyle w:val="9"/>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18</w:t>
    </w:r>
    <w:r>
      <w:rPr>
        <w:sz w:val="24"/>
        <w:szCs w:val="24"/>
      </w:rPr>
      <w:fldChar w:fldCharType="end"/>
    </w:r>
    <w:r>
      <w:rPr>
        <w:rStyle w:val="9"/>
        <w:rFonts w:hint="eastAsia"/>
        <w:sz w:val="24"/>
        <w:szCs w:val="24"/>
      </w:rPr>
      <w:t xml:space="preserve"> —</w:t>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7B5B91"/>
    <w:multiLevelType w:val="singleLevel"/>
    <w:tmpl w:val="337B5B91"/>
    <w:lvl w:ilvl="0" w:tentative="0">
      <w:start w:val="4"/>
      <w:numFmt w:val="chineseCounting"/>
      <w:suff w:val="nothing"/>
      <w:lvlText w:val="%1、"/>
      <w:lvlJc w:val="left"/>
      <w:rPr>
        <w:rFonts w:hint="eastAsia"/>
      </w:rPr>
    </w:lvl>
  </w:abstractNum>
  <w:abstractNum w:abstractNumId="1">
    <w:nsid w:val="572AF0C3"/>
    <w:multiLevelType w:val="singleLevel"/>
    <w:tmpl w:val="572AF0C3"/>
    <w:lvl w:ilvl="0" w:tentative="0">
      <w:start w:val="2"/>
      <w:numFmt w:val="chineseCounting"/>
      <w:suff w:val="nothing"/>
      <w:lvlText w:val="（%1）"/>
      <w:lvlJc w:val="left"/>
      <w:rPr>
        <w:rFonts w:hint="eastAsia"/>
      </w:rPr>
    </w:lvl>
  </w:abstractNum>
  <w:abstractNum w:abstractNumId="2">
    <w:nsid w:val="7162E696"/>
    <w:multiLevelType w:val="singleLevel"/>
    <w:tmpl w:val="7162E696"/>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7B2063"/>
    <w:rsid w:val="01BA75ED"/>
    <w:rsid w:val="02F616C4"/>
    <w:rsid w:val="02F7630E"/>
    <w:rsid w:val="037144D5"/>
    <w:rsid w:val="04417D3B"/>
    <w:rsid w:val="063F0021"/>
    <w:rsid w:val="064468FE"/>
    <w:rsid w:val="0726567D"/>
    <w:rsid w:val="07993648"/>
    <w:rsid w:val="083749E7"/>
    <w:rsid w:val="097542BC"/>
    <w:rsid w:val="09B437E3"/>
    <w:rsid w:val="0A652518"/>
    <w:rsid w:val="0ADA576F"/>
    <w:rsid w:val="0C3D0CA0"/>
    <w:rsid w:val="0C9B36D4"/>
    <w:rsid w:val="0CB679B8"/>
    <w:rsid w:val="0DB83385"/>
    <w:rsid w:val="0DBD5B2D"/>
    <w:rsid w:val="0DC529CD"/>
    <w:rsid w:val="0DE528CD"/>
    <w:rsid w:val="0E937389"/>
    <w:rsid w:val="0F104C27"/>
    <w:rsid w:val="10A0661B"/>
    <w:rsid w:val="11FF68F6"/>
    <w:rsid w:val="121759A0"/>
    <w:rsid w:val="128016D3"/>
    <w:rsid w:val="1336279F"/>
    <w:rsid w:val="1403050E"/>
    <w:rsid w:val="14583814"/>
    <w:rsid w:val="158D2D96"/>
    <w:rsid w:val="1723707C"/>
    <w:rsid w:val="177A2E77"/>
    <w:rsid w:val="17D3090A"/>
    <w:rsid w:val="18725427"/>
    <w:rsid w:val="19970024"/>
    <w:rsid w:val="1B200816"/>
    <w:rsid w:val="1BB854D0"/>
    <w:rsid w:val="1C04689B"/>
    <w:rsid w:val="1C5D38C4"/>
    <w:rsid w:val="1D240686"/>
    <w:rsid w:val="1DF8785E"/>
    <w:rsid w:val="1DFD32D9"/>
    <w:rsid w:val="1E4B26C9"/>
    <w:rsid w:val="1E620A51"/>
    <w:rsid w:val="1E9D0B28"/>
    <w:rsid w:val="1FC562C1"/>
    <w:rsid w:val="20262D4C"/>
    <w:rsid w:val="20DE0A91"/>
    <w:rsid w:val="213912A6"/>
    <w:rsid w:val="21632742"/>
    <w:rsid w:val="21820C4C"/>
    <w:rsid w:val="21CD4E59"/>
    <w:rsid w:val="21F65B45"/>
    <w:rsid w:val="22375B4E"/>
    <w:rsid w:val="235B0A6A"/>
    <w:rsid w:val="243E7421"/>
    <w:rsid w:val="24472214"/>
    <w:rsid w:val="249742E7"/>
    <w:rsid w:val="24BF4786"/>
    <w:rsid w:val="254E2FC7"/>
    <w:rsid w:val="25B607B7"/>
    <w:rsid w:val="263C173A"/>
    <w:rsid w:val="264628F5"/>
    <w:rsid w:val="267223FC"/>
    <w:rsid w:val="27062105"/>
    <w:rsid w:val="275B1599"/>
    <w:rsid w:val="289D055E"/>
    <w:rsid w:val="28CD66C4"/>
    <w:rsid w:val="2A977999"/>
    <w:rsid w:val="2C321A58"/>
    <w:rsid w:val="2C8D17EF"/>
    <w:rsid w:val="2C9F197B"/>
    <w:rsid w:val="2CA33441"/>
    <w:rsid w:val="2CE55C20"/>
    <w:rsid w:val="2D2F16AA"/>
    <w:rsid w:val="2E3A7B4D"/>
    <w:rsid w:val="2E780716"/>
    <w:rsid w:val="2F287302"/>
    <w:rsid w:val="30426D13"/>
    <w:rsid w:val="30545084"/>
    <w:rsid w:val="305D51BE"/>
    <w:rsid w:val="30EF6C42"/>
    <w:rsid w:val="32A31119"/>
    <w:rsid w:val="354D1526"/>
    <w:rsid w:val="35C951B1"/>
    <w:rsid w:val="36373069"/>
    <w:rsid w:val="36621E43"/>
    <w:rsid w:val="393A61B8"/>
    <w:rsid w:val="3A43255A"/>
    <w:rsid w:val="3A9E60C7"/>
    <w:rsid w:val="3BB67EBF"/>
    <w:rsid w:val="3C8517F1"/>
    <w:rsid w:val="3CF33BEB"/>
    <w:rsid w:val="3D6201A1"/>
    <w:rsid w:val="3DED10F4"/>
    <w:rsid w:val="3EC46785"/>
    <w:rsid w:val="3F027A14"/>
    <w:rsid w:val="3F8A6044"/>
    <w:rsid w:val="3F9B0D8A"/>
    <w:rsid w:val="403438DB"/>
    <w:rsid w:val="42B33CD7"/>
    <w:rsid w:val="42B40E66"/>
    <w:rsid w:val="42E744D4"/>
    <w:rsid w:val="430921B8"/>
    <w:rsid w:val="437947F9"/>
    <w:rsid w:val="43A702D9"/>
    <w:rsid w:val="44592EA4"/>
    <w:rsid w:val="46B3149F"/>
    <w:rsid w:val="46B84FFD"/>
    <w:rsid w:val="475A0481"/>
    <w:rsid w:val="477245B4"/>
    <w:rsid w:val="486D7852"/>
    <w:rsid w:val="48837704"/>
    <w:rsid w:val="491D1A9A"/>
    <w:rsid w:val="49617FA5"/>
    <w:rsid w:val="497064D4"/>
    <w:rsid w:val="4A072D30"/>
    <w:rsid w:val="4A114486"/>
    <w:rsid w:val="4A3748DF"/>
    <w:rsid w:val="4A602859"/>
    <w:rsid w:val="4B427728"/>
    <w:rsid w:val="4D171D42"/>
    <w:rsid w:val="4DC73C60"/>
    <w:rsid w:val="4E4B791C"/>
    <w:rsid w:val="4E4F0BB0"/>
    <w:rsid w:val="50382A97"/>
    <w:rsid w:val="504D46BF"/>
    <w:rsid w:val="514806A4"/>
    <w:rsid w:val="51A8018D"/>
    <w:rsid w:val="51D65B8C"/>
    <w:rsid w:val="51E26C60"/>
    <w:rsid w:val="52125A34"/>
    <w:rsid w:val="52F52326"/>
    <w:rsid w:val="541B3945"/>
    <w:rsid w:val="54FF077A"/>
    <w:rsid w:val="55375A33"/>
    <w:rsid w:val="558C01DE"/>
    <w:rsid w:val="561711C7"/>
    <w:rsid w:val="56517AA3"/>
    <w:rsid w:val="56A20A05"/>
    <w:rsid w:val="56C215D8"/>
    <w:rsid w:val="579C0607"/>
    <w:rsid w:val="57C65DC5"/>
    <w:rsid w:val="58774915"/>
    <w:rsid w:val="591D222D"/>
    <w:rsid w:val="593A55AD"/>
    <w:rsid w:val="5A485BBD"/>
    <w:rsid w:val="5A7A1CB1"/>
    <w:rsid w:val="5B843F54"/>
    <w:rsid w:val="5BE95901"/>
    <w:rsid w:val="5C2F71E6"/>
    <w:rsid w:val="5C645FFA"/>
    <w:rsid w:val="5C7062CB"/>
    <w:rsid w:val="5CDE29F9"/>
    <w:rsid w:val="5DDD0DBB"/>
    <w:rsid w:val="5F1C6B39"/>
    <w:rsid w:val="5F2640EE"/>
    <w:rsid w:val="5F5E591F"/>
    <w:rsid w:val="643402D7"/>
    <w:rsid w:val="64BD0DAF"/>
    <w:rsid w:val="64D405E2"/>
    <w:rsid w:val="650136A9"/>
    <w:rsid w:val="65210EEA"/>
    <w:rsid w:val="66A606B1"/>
    <w:rsid w:val="66F909ED"/>
    <w:rsid w:val="677D4FA6"/>
    <w:rsid w:val="68B42A6E"/>
    <w:rsid w:val="69D260A1"/>
    <w:rsid w:val="6A0A15CD"/>
    <w:rsid w:val="6A147DB3"/>
    <w:rsid w:val="6A5875CE"/>
    <w:rsid w:val="6A8C4355"/>
    <w:rsid w:val="6B0277FC"/>
    <w:rsid w:val="6C3B488C"/>
    <w:rsid w:val="6CAF22FF"/>
    <w:rsid w:val="6CC474A8"/>
    <w:rsid w:val="6D452F22"/>
    <w:rsid w:val="6D58084E"/>
    <w:rsid w:val="6DF352BD"/>
    <w:rsid w:val="6DF3634A"/>
    <w:rsid w:val="6E0469C7"/>
    <w:rsid w:val="6FA71A3C"/>
    <w:rsid w:val="702C17F8"/>
    <w:rsid w:val="703C79C0"/>
    <w:rsid w:val="705E3E6D"/>
    <w:rsid w:val="7082092F"/>
    <w:rsid w:val="70982444"/>
    <w:rsid w:val="71656AD8"/>
    <w:rsid w:val="718B0558"/>
    <w:rsid w:val="71C1048A"/>
    <w:rsid w:val="71D60AC6"/>
    <w:rsid w:val="7306085C"/>
    <w:rsid w:val="7396188C"/>
    <w:rsid w:val="73A9774C"/>
    <w:rsid w:val="73CC58EF"/>
    <w:rsid w:val="73F00AF2"/>
    <w:rsid w:val="73F35F5B"/>
    <w:rsid w:val="74057FFF"/>
    <w:rsid w:val="74184327"/>
    <w:rsid w:val="74933CD7"/>
    <w:rsid w:val="74FA55CD"/>
    <w:rsid w:val="754A2589"/>
    <w:rsid w:val="76212AA1"/>
    <w:rsid w:val="7670710F"/>
    <w:rsid w:val="77042B96"/>
    <w:rsid w:val="77B611EF"/>
    <w:rsid w:val="7800518C"/>
    <w:rsid w:val="78C43164"/>
    <w:rsid w:val="79C04582"/>
    <w:rsid w:val="7AD328D3"/>
    <w:rsid w:val="7BB85CB1"/>
    <w:rsid w:val="7CF25F53"/>
    <w:rsid w:val="7D1F0DA2"/>
    <w:rsid w:val="7D7D085F"/>
    <w:rsid w:val="7D884030"/>
    <w:rsid w:val="7D906E2D"/>
    <w:rsid w:val="7E6312FC"/>
    <w:rsid w:val="7FE011B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Text"/>
    <w:next w:val="3"/>
    <w:qFormat/>
    <w:uiPriority w:val="0"/>
    <w:pPr>
      <w:widowControl/>
      <w:spacing w:before="100" w:beforeAutospacing="1" w:after="120" w:line="560" w:lineRule="exact"/>
      <w:ind w:firstLine="640" w:firstLineChars="200"/>
      <w:jc w:val="both"/>
      <w:textAlignment w:val="baseline"/>
    </w:pPr>
    <w:rPr>
      <w:rFonts w:ascii="Times New Roman" w:hAnsi="Times New Roman" w:eastAsia="仿宋_GB2312" w:cs="Times New Roman"/>
      <w:kern w:val="2"/>
      <w:sz w:val="32"/>
      <w:szCs w:val="32"/>
      <w:lang w:val="en-US" w:eastAsia="zh-CN" w:bidi="ar-SA"/>
    </w:rPr>
  </w:style>
  <w:style w:type="paragraph" w:customStyle="1" w:styleId="3">
    <w:name w:val="UserStyle_3"/>
    <w:qFormat/>
    <w:uiPriority w:val="0"/>
    <w:pPr>
      <w:widowControl/>
      <w:pBdr>
        <w:top w:val="single" w:color="000000" w:sz="4" w:space="0"/>
        <w:left w:val="single" w:color="000000" w:sz="8" w:space="0"/>
        <w:bottom w:val="single" w:color="000000" w:sz="4" w:space="0"/>
        <w:right w:val="single" w:color="000000" w:sz="4" w:space="0"/>
      </w:pBdr>
      <w:spacing w:before="100" w:beforeAutospacing="1" w:after="100" w:afterAutospacing="1" w:line="560" w:lineRule="exact"/>
      <w:ind w:firstLine="640" w:firstLineChars="200"/>
      <w:jc w:val="center"/>
      <w:textAlignment w:val="baseline"/>
    </w:pPr>
    <w:rPr>
      <w:rFonts w:ascii="???-18030" w:hAnsi="???-18030" w:eastAsia="仿宋_GB2312" w:cs="Times New Roman"/>
      <w:kern w:val="0"/>
      <w:sz w:val="32"/>
      <w:szCs w:val="22"/>
      <w:lang w:val="en-US" w:eastAsia="zh-CN" w:bidi="ar-SA"/>
    </w:rPr>
  </w:style>
  <w:style w:type="paragraph" w:styleId="4">
    <w:name w:val="Body Text Indent 2"/>
    <w:basedOn w:val="1"/>
    <w:unhideWhenUsed/>
    <w:qFormat/>
    <w:uiPriority w:val="0"/>
    <w:pPr>
      <w:ind w:firstLine="588" w:firstLineChars="200"/>
    </w:pPr>
    <w:rPr>
      <w:rFonts w:ascii="仿宋_GB2312" w:hAnsi="Calibri" w:eastAsia="仿宋_GB2312"/>
      <w:sz w:val="32"/>
    </w:rPr>
  </w:style>
  <w:style w:type="paragraph" w:styleId="5">
    <w:name w:val="footer"/>
    <w:basedOn w:val="1"/>
    <w:qFormat/>
    <w:uiPriority w:val="0"/>
    <w:pPr>
      <w:tabs>
        <w:tab w:val="center" w:pos="4153"/>
        <w:tab w:val="right" w:pos="8306"/>
      </w:tabs>
      <w:snapToGrid w:val="0"/>
      <w:jc w:val="left"/>
    </w:pPr>
    <w:rPr>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qFormat/>
    <w:uiPriority w:val="0"/>
  </w:style>
  <w:style w:type="character" w:customStyle="1" w:styleId="10">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8481</Words>
  <Characters>8943</Characters>
  <Lines>0</Lines>
  <Paragraphs>0</Paragraphs>
  <TotalTime>2</TotalTime>
  <ScaleCrop>false</ScaleCrop>
  <LinksUpToDate>false</LinksUpToDate>
  <CharactersWithSpaces>10074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2022-06-07T09:09:00Z</cp:lastPrinted>
  <dcterms:modified xsi:type="dcterms:W3CDTF">2022-11-08T03:28:56Z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377A56B318954603893BD5B869B7BB42</vt:lpwstr>
  </property>
</Properties>
</file>